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US"/>
        </w:rPr>
        <w:id w:val="-1906134153"/>
        <w:docPartObj>
          <w:docPartGallery w:val="Cover Pages"/>
          <w:docPartUnique/>
        </w:docPartObj>
      </w:sdtPr>
      <w:sdtEndPr/>
      <w:sdtContent>
        <w:p w14:paraId="4C8BB58C" w14:textId="437DFB32" w:rsidR="00767AB8" w:rsidRPr="00AB7D1E" w:rsidRDefault="00E47BA2" w:rsidP="00767AB8">
          <w:pPr>
            <w:jc w:val="center"/>
            <w:rPr>
              <w:lang w:val="en-US"/>
            </w:rPr>
          </w:pPr>
          <w:r w:rsidRPr="00AB7D1E">
            <w:rPr>
              <w:noProof/>
              <w:lang w:val="en-US" w:eastAsia="hr-HR"/>
            </w:rPr>
            <w:drawing>
              <wp:inline distT="0" distB="0" distL="0" distR="0" wp14:anchorId="452F3ADA" wp14:editId="7FF4EEB9">
                <wp:extent cx="5731510" cy="3823046"/>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3046"/>
                        </a:xfrm>
                        <a:prstGeom prst="rect">
                          <a:avLst/>
                        </a:prstGeom>
                        <a:noFill/>
                        <a:ln>
                          <a:noFill/>
                        </a:ln>
                      </pic:spPr>
                    </pic:pic>
                  </a:graphicData>
                </a:graphic>
              </wp:inline>
            </w:drawing>
          </w:r>
          <w:r w:rsidR="00495100" w:rsidRPr="00AB7D1E">
            <w:rPr>
              <w:noProof/>
              <w:lang w:val="en-US" w:eastAsia="hr-HR"/>
            </w:rPr>
            <mc:AlternateContent>
              <mc:Choice Requires="wpg">
                <w:drawing>
                  <wp:anchor distT="0" distB="0" distL="114300" distR="114300" simplePos="0" relativeHeight="251674624" behindDoc="0" locked="0" layoutInCell="1" allowOverlap="1" wp14:anchorId="2179FF0F" wp14:editId="1138382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avokutni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avokutni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http://schemas.microsoft.com/office/word/2018/wordml" xmlns:w16cex="http://schemas.microsoft.com/office/word/2018/wordml/cex">
                <w:pict>
                  <v:group w14:anchorId="7CC0535F" id="Grupa 114" o:spid="_x0000_s1026" style="position:absolute;margin-left:0;margin-top:0;width:18pt;height:10in;z-index:25167462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">
                    <v:rect id="Pravokutni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Pravokutni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p>
        <w:p w14:paraId="661C7D3B" w14:textId="6799C3CC" w:rsidR="00495100" w:rsidRPr="00AB7D1E" w:rsidRDefault="00767AB8" w:rsidP="00767AB8">
          <w:pPr>
            <w:suppressAutoHyphens w:val="0"/>
            <w:spacing w:before="0" w:after="160" w:line="256" w:lineRule="auto"/>
            <w:jc w:val="left"/>
            <w:rPr>
              <w:lang w:val="en-US"/>
            </w:rPr>
          </w:pPr>
          <w:r w:rsidRPr="00AB7D1E">
            <w:rPr>
              <w:noProof/>
              <w:lang w:val="en-US" w:eastAsia="hr-HR"/>
            </w:rPr>
            <mc:AlternateContent>
              <mc:Choice Requires="wps">
                <w:drawing>
                  <wp:anchor distT="0" distB="0" distL="114300" distR="114300" simplePos="0" relativeHeight="251675648" behindDoc="0" locked="0" layoutInCell="1" allowOverlap="1" wp14:anchorId="07034BC5" wp14:editId="4F71548B">
                    <wp:simplePos x="0" y="0"/>
                    <wp:positionH relativeFrom="page">
                      <wp:posOffset>983863</wp:posOffset>
                    </wp:positionH>
                    <wp:positionV relativeFrom="page">
                      <wp:posOffset>5106532</wp:posOffset>
                    </wp:positionV>
                    <wp:extent cx="5730875" cy="2765145"/>
                    <wp:effectExtent l="0" t="0" r="3175" b="0"/>
                    <wp:wrapSquare wrapText="bothSides"/>
                    <wp:docPr id="113" name="Tekstni okvir 113"/>
                    <wp:cNvGraphicFramePr/>
                    <a:graphic xmlns:a="http://schemas.openxmlformats.org/drawingml/2006/main">
                      <a:graphicData uri="http://schemas.microsoft.com/office/word/2010/wordprocessingShape">
                        <wps:wsp>
                          <wps:cNvSpPr txBox="1"/>
                          <wps:spPr>
                            <a:xfrm>
                              <a:off x="0" y="0"/>
                              <a:ext cx="5730875" cy="276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32ED4" w14:textId="1ECE7803" w:rsidR="007D1E1B" w:rsidRDefault="00C40C75" w:rsidP="00495100">
                                <w:pPr>
                                  <w:pStyle w:val="NoSpacing"/>
                                  <w:jc w:val="center"/>
                                  <w:rPr>
                                    <w:caps/>
                                    <w:color w:val="292733" w:themeColor="text2" w:themeShade="BF"/>
                                    <w:sz w:val="52"/>
                                    <w:szCs w:val="52"/>
                                  </w:rPr>
                                </w:pPr>
                                <w:sdt>
                                  <w:sdtPr>
                                    <w:rPr>
                                      <w:caps/>
                                      <w:color w:val="292733" w:themeColor="text2" w:themeShade="BF"/>
                                      <w:sz w:val="52"/>
                                      <w:szCs w:val="52"/>
                                    </w:rPr>
                                    <w:alias w:val="Naslov"/>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D1E1B" w:rsidRPr="00495100">
                                      <w:rPr>
                                        <w:caps/>
                                        <w:color w:val="292733" w:themeColor="text2" w:themeShade="BF"/>
                                        <w:sz w:val="52"/>
                                        <w:szCs w:val="52"/>
                                      </w:rPr>
                                      <w:t>Croatia Earthquake Recovery and Public Health Preparedness Project (P173998)</w:t>
                                    </w:r>
                                  </w:sdtContent>
                                </w:sdt>
                              </w:p>
                              <w:sdt>
                                <w:sdtPr>
                                  <w:rPr>
                                    <w:rFonts w:cstheme="minorHAnsi"/>
                                    <w:b/>
                                    <w:bCs/>
                                    <w:smallCaps/>
                                    <w:color w:val="373545" w:themeColor="text2"/>
                                    <w:sz w:val="40"/>
                                    <w:szCs w:val="40"/>
                                  </w:rPr>
                                  <w:alias w:val="Podnaslov"/>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5886C29" w14:textId="0E4FE0A6" w:rsidR="007D1E1B" w:rsidRPr="00495100" w:rsidRDefault="007D1E1B" w:rsidP="00495100">
                                    <w:pPr>
                                      <w:pStyle w:val="NoSpacing"/>
                                      <w:jc w:val="center"/>
                                      <w:rPr>
                                        <w:rFonts w:cstheme="minorHAnsi"/>
                                        <w:b/>
                                        <w:bCs/>
                                        <w:smallCaps/>
                                        <w:color w:val="373545" w:themeColor="text2"/>
                                        <w:sz w:val="40"/>
                                        <w:szCs w:val="40"/>
                                      </w:rPr>
                                    </w:pPr>
                                    <w:r w:rsidRPr="00495100">
                                      <w:rPr>
                                        <w:rFonts w:cstheme="minorHAnsi"/>
                                        <w:b/>
                                        <w:bCs/>
                                        <w:smallCaps/>
                                        <w:color w:val="373545" w:themeColor="text2"/>
                                        <w:sz w:val="40"/>
                                        <w:szCs w:val="40"/>
                                      </w:rPr>
                                      <w:t>ENVIRONMENTAL AND SOCIAL MANAGEMENT FRAMEWORK</w:t>
                                    </w:r>
                                    <w:r>
                                      <w:rPr>
                                        <w:rFonts w:cstheme="minorHAnsi"/>
                                        <w:b/>
                                        <w:bCs/>
                                        <w:smallCaps/>
                                        <w:color w:val="373545" w:themeColor="text2"/>
                                        <w:sz w:val="40"/>
                                        <w:szCs w:val="40"/>
                                      </w:rPr>
                                      <w:t xml:space="preserve"> FOR </w:t>
                                    </w:r>
                                    <w:r w:rsidRPr="00495100">
                                      <w:rPr>
                                        <w:rFonts w:cstheme="minorHAnsi"/>
                                        <w:b/>
                                        <w:bCs/>
                                        <w:smallCaps/>
                                        <w:color w:val="373545" w:themeColor="text2"/>
                                        <w:sz w:val="40"/>
                                        <w:szCs w:val="40"/>
                                      </w:rPr>
                                      <w:t>COMPONENT (</w:t>
                                    </w:r>
                                    <w:r>
                                      <w:rPr>
                                        <w:rFonts w:cstheme="minorHAnsi"/>
                                        <w:b/>
                                        <w:bCs/>
                                        <w:smallCaps/>
                                        <w:color w:val="373545" w:themeColor="text2"/>
                                        <w:sz w:val="40"/>
                                        <w:szCs w:val="40"/>
                                      </w:rPr>
                                      <w:t>2</w:t>
                                    </w:r>
                                    <w:r w:rsidRPr="00495100">
                                      <w:rPr>
                                        <w:rFonts w:cstheme="minorHAnsi"/>
                                        <w:b/>
                                        <w:bCs/>
                                        <w:smallCaps/>
                                        <w:color w:val="373545" w:themeColor="text2"/>
                                        <w:sz w:val="40"/>
                                        <w:szCs w:val="40"/>
                                      </w:rPr>
                                      <w:t xml:space="preserve">) </w:t>
                                    </w:r>
                                    <w:r>
                                      <w:rPr>
                                        <w:rFonts w:cstheme="minorHAnsi"/>
                                        <w:b/>
                                        <w:bCs/>
                                        <w:smallCaps/>
                                        <w:color w:val="373545" w:themeColor="text2"/>
                                        <w:sz w:val="40"/>
                                        <w:szCs w:val="40"/>
                                      </w:rPr>
                                      <w:t>–</w:t>
                                    </w:r>
                                    <w:r w:rsidRPr="00495100">
                                      <w:rPr>
                                        <w:rFonts w:cstheme="minorHAnsi"/>
                                        <w:b/>
                                        <w:bCs/>
                                        <w:smallCaps/>
                                        <w:color w:val="373545" w:themeColor="text2"/>
                                        <w:sz w:val="40"/>
                                        <w:szCs w:val="40"/>
                                      </w:rPr>
                                      <w:t xml:space="preserve"> </w:t>
                                    </w:r>
                                    <w:r>
                                      <w:rPr>
                                        <w:rFonts w:cstheme="minorHAnsi"/>
                                        <w:b/>
                                        <w:bCs/>
                                        <w:smallCaps/>
                                        <w:color w:val="373545" w:themeColor="text2"/>
                                        <w:sz w:val="40"/>
                                        <w:szCs w:val="40"/>
                                      </w:rPr>
                                      <w:t>PUBLIC HEALTH SURVEILLANCE AND PREPAREDNESS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034BC5" id="_x0000_t202" coordsize="21600,21600" o:spt="202" path="m,l,21600r21600,l21600,xe">
                    <v:stroke joinstyle="miter"/>
                    <v:path gradientshapeok="t" o:connecttype="rect"/>
                  </v:shapetype>
                  <v:shape id="Tekstni okvir 113" o:spid="_x0000_s1026" type="#_x0000_t202" style="position:absolute;margin-left:77.45pt;margin-top:402.1pt;width:451.25pt;height:217.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" filled="f" stroked="f" strokeweight=".5pt">
                    <v:textbox inset="0,0,0,0">
                      <w:txbxContent>
                        <w:p w14:paraId="6BE32ED4" w14:textId="1ECE7803" w:rsidR="007D1E1B" w:rsidRDefault="00C40C75" w:rsidP="00495100">
                          <w:pPr>
                            <w:pStyle w:val="NoSpacing"/>
                            <w:jc w:val="center"/>
                            <w:rPr>
                              <w:caps/>
                              <w:color w:val="292733" w:themeColor="text2" w:themeShade="BF"/>
                              <w:sz w:val="52"/>
                              <w:szCs w:val="52"/>
                            </w:rPr>
                          </w:pPr>
                          <w:sdt>
                            <w:sdtPr>
                              <w:rPr>
                                <w:caps/>
                                <w:color w:val="292733" w:themeColor="text2" w:themeShade="BF"/>
                                <w:sz w:val="52"/>
                                <w:szCs w:val="52"/>
                              </w:rPr>
                              <w:alias w:val="Naslov"/>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7D1E1B" w:rsidRPr="00495100">
                                <w:rPr>
                                  <w:caps/>
                                  <w:color w:val="292733" w:themeColor="text2" w:themeShade="BF"/>
                                  <w:sz w:val="52"/>
                                  <w:szCs w:val="52"/>
                                </w:rPr>
                                <w:t>Croatia Earthquake Recovery and Public Health Preparedness Project (P173998)</w:t>
                              </w:r>
                            </w:sdtContent>
                          </w:sdt>
                        </w:p>
                        <w:sdt>
                          <w:sdtPr>
                            <w:rPr>
                              <w:rFonts w:cstheme="minorHAnsi"/>
                              <w:b/>
                              <w:bCs/>
                              <w:smallCaps/>
                              <w:color w:val="373545" w:themeColor="text2"/>
                              <w:sz w:val="40"/>
                              <w:szCs w:val="40"/>
                            </w:rPr>
                            <w:alias w:val="Podnaslov"/>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05886C29" w14:textId="0E4FE0A6" w:rsidR="007D1E1B" w:rsidRPr="00495100" w:rsidRDefault="007D1E1B" w:rsidP="00495100">
                              <w:pPr>
                                <w:pStyle w:val="NoSpacing"/>
                                <w:jc w:val="center"/>
                                <w:rPr>
                                  <w:rFonts w:cstheme="minorHAnsi"/>
                                  <w:b/>
                                  <w:bCs/>
                                  <w:smallCaps/>
                                  <w:color w:val="373545" w:themeColor="text2"/>
                                  <w:sz w:val="40"/>
                                  <w:szCs w:val="40"/>
                                </w:rPr>
                              </w:pPr>
                              <w:r w:rsidRPr="00495100">
                                <w:rPr>
                                  <w:rFonts w:cstheme="minorHAnsi"/>
                                  <w:b/>
                                  <w:bCs/>
                                  <w:smallCaps/>
                                  <w:color w:val="373545" w:themeColor="text2"/>
                                  <w:sz w:val="40"/>
                                  <w:szCs w:val="40"/>
                                </w:rPr>
                                <w:t>ENVIRONMENTAL AND SOCIAL MANAGEMENT FRAMEWORK</w:t>
                              </w:r>
                              <w:r>
                                <w:rPr>
                                  <w:rFonts w:cstheme="minorHAnsi"/>
                                  <w:b/>
                                  <w:bCs/>
                                  <w:smallCaps/>
                                  <w:color w:val="373545" w:themeColor="text2"/>
                                  <w:sz w:val="40"/>
                                  <w:szCs w:val="40"/>
                                </w:rPr>
                                <w:t xml:space="preserve"> FOR </w:t>
                              </w:r>
                              <w:r w:rsidRPr="00495100">
                                <w:rPr>
                                  <w:rFonts w:cstheme="minorHAnsi"/>
                                  <w:b/>
                                  <w:bCs/>
                                  <w:smallCaps/>
                                  <w:color w:val="373545" w:themeColor="text2"/>
                                  <w:sz w:val="40"/>
                                  <w:szCs w:val="40"/>
                                </w:rPr>
                                <w:t>COMPONENT (</w:t>
                              </w:r>
                              <w:r>
                                <w:rPr>
                                  <w:rFonts w:cstheme="minorHAnsi"/>
                                  <w:b/>
                                  <w:bCs/>
                                  <w:smallCaps/>
                                  <w:color w:val="373545" w:themeColor="text2"/>
                                  <w:sz w:val="40"/>
                                  <w:szCs w:val="40"/>
                                </w:rPr>
                                <w:t>2</w:t>
                              </w:r>
                              <w:r w:rsidRPr="00495100">
                                <w:rPr>
                                  <w:rFonts w:cstheme="minorHAnsi"/>
                                  <w:b/>
                                  <w:bCs/>
                                  <w:smallCaps/>
                                  <w:color w:val="373545" w:themeColor="text2"/>
                                  <w:sz w:val="40"/>
                                  <w:szCs w:val="40"/>
                                </w:rPr>
                                <w:t xml:space="preserve">) </w:t>
                              </w:r>
                              <w:r>
                                <w:rPr>
                                  <w:rFonts w:cstheme="minorHAnsi"/>
                                  <w:b/>
                                  <w:bCs/>
                                  <w:smallCaps/>
                                  <w:color w:val="373545" w:themeColor="text2"/>
                                  <w:sz w:val="40"/>
                                  <w:szCs w:val="40"/>
                                </w:rPr>
                                <w:t>–</w:t>
                              </w:r>
                              <w:r w:rsidRPr="00495100">
                                <w:rPr>
                                  <w:rFonts w:cstheme="minorHAnsi"/>
                                  <w:b/>
                                  <w:bCs/>
                                  <w:smallCaps/>
                                  <w:color w:val="373545" w:themeColor="text2"/>
                                  <w:sz w:val="40"/>
                                  <w:szCs w:val="40"/>
                                </w:rPr>
                                <w:t xml:space="preserve"> </w:t>
                              </w:r>
                              <w:r>
                                <w:rPr>
                                  <w:rFonts w:cstheme="minorHAnsi"/>
                                  <w:b/>
                                  <w:bCs/>
                                  <w:smallCaps/>
                                  <w:color w:val="373545" w:themeColor="text2"/>
                                  <w:sz w:val="40"/>
                                  <w:szCs w:val="40"/>
                                </w:rPr>
                                <w:t>PUBLIC HEALTH SURVEILLANCE AND PREPAREDNESS</w:t>
                              </w:r>
                            </w:p>
                          </w:sdtContent>
                        </w:sdt>
                      </w:txbxContent>
                    </v:textbox>
                    <w10:wrap type="square" anchorx="page" anchory="page"/>
                  </v:shape>
                </w:pict>
              </mc:Fallback>
            </mc:AlternateContent>
          </w:r>
          <w:r w:rsidRPr="00AB7D1E">
            <w:rPr>
              <w:lang w:val="en-US"/>
            </w:rPr>
            <w:t xml:space="preserve">     </w:t>
          </w:r>
        </w:p>
      </w:sdtContent>
    </w:sdt>
    <w:p w14:paraId="33EFB5DD" w14:textId="449B1880" w:rsidR="00FC2320" w:rsidRPr="00AB7D1E" w:rsidRDefault="00695355" w:rsidP="00495100">
      <w:pPr>
        <w:suppressAutoHyphens w:val="0"/>
        <w:spacing w:before="0" w:after="160" w:line="256" w:lineRule="auto"/>
        <w:jc w:val="left"/>
        <w:rPr>
          <w:lang w:val="en-US"/>
        </w:rPr>
      </w:pPr>
      <w:r w:rsidRPr="00AB7D1E">
        <w:rPr>
          <w:noProof/>
          <w:lang w:val="en-US" w:eastAsia="hr-HR"/>
        </w:rPr>
        <w:drawing>
          <wp:anchor distT="0" distB="0" distL="114300" distR="114300" simplePos="0" relativeHeight="251677696" behindDoc="1" locked="0" layoutInCell="1" allowOverlap="1" wp14:anchorId="2309FB95" wp14:editId="09550A2B">
            <wp:simplePos x="0" y="0"/>
            <wp:positionH relativeFrom="column">
              <wp:posOffset>-28575</wp:posOffset>
            </wp:positionH>
            <wp:positionV relativeFrom="paragraph">
              <wp:posOffset>3994785</wp:posOffset>
            </wp:positionV>
            <wp:extent cx="1866900" cy="552486"/>
            <wp:effectExtent l="0" t="0" r="0" b="0"/>
            <wp:wrapTight wrapText="bothSides">
              <wp:wrapPolygon edited="0">
                <wp:start x="0" y="0"/>
                <wp:lineTo x="0" y="20855"/>
                <wp:lineTo x="21380" y="20855"/>
                <wp:lineTo x="213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67022" cy="552522"/>
                    </a:xfrm>
                    <a:prstGeom prst="rect">
                      <a:avLst/>
                    </a:prstGeom>
                  </pic:spPr>
                </pic:pic>
              </a:graphicData>
            </a:graphic>
            <wp14:sizeRelH relativeFrom="page">
              <wp14:pctWidth>0</wp14:pctWidth>
            </wp14:sizeRelH>
            <wp14:sizeRelV relativeFrom="page">
              <wp14:pctHeight>0</wp14:pctHeight>
            </wp14:sizeRelV>
          </wp:anchor>
        </w:drawing>
      </w:r>
      <w:r w:rsidRPr="00AB7D1E">
        <w:rPr>
          <w:noProof/>
          <w:lang w:val="en-US" w:eastAsia="hr-HR"/>
        </w:rPr>
        <mc:AlternateContent>
          <mc:Choice Requires="wps">
            <w:drawing>
              <wp:anchor distT="0" distB="0" distL="114300" distR="114300" simplePos="0" relativeHeight="251676672" behindDoc="0" locked="0" layoutInCell="1" allowOverlap="1" wp14:anchorId="643A4E64" wp14:editId="25887A1C">
                <wp:simplePos x="0" y="0"/>
                <wp:positionH relativeFrom="page">
                  <wp:posOffset>5112385</wp:posOffset>
                </wp:positionH>
                <wp:positionV relativeFrom="page">
                  <wp:posOffset>8582660</wp:posOffset>
                </wp:positionV>
                <wp:extent cx="2022889" cy="1174281"/>
                <wp:effectExtent l="0" t="0" r="0" b="6985"/>
                <wp:wrapSquare wrapText="bothSides"/>
                <wp:docPr id="112" name="Tekstni okvir 112"/>
                <wp:cNvGraphicFramePr/>
                <a:graphic xmlns:a="http://schemas.openxmlformats.org/drawingml/2006/main">
                  <a:graphicData uri="http://schemas.microsoft.com/office/word/2010/wordprocessingShape">
                    <wps:wsp>
                      <wps:cNvSpPr txBox="1"/>
                      <wps:spPr>
                        <a:xfrm>
                          <a:off x="0" y="0"/>
                          <a:ext cx="2022889" cy="1174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46F69" w14:textId="77777777" w:rsidR="00FA04FC" w:rsidRPr="00FA04FC" w:rsidRDefault="00FA04FC" w:rsidP="00FA04FC">
                            <w:pPr>
                              <w:pStyle w:val="NoSpacing"/>
                              <w:jc w:val="right"/>
                              <w:rPr>
                                <w:b/>
                                <w:bCs/>
                                <w:caps/>
                                <w:color w:val="262626" w:themeColor="text1" w:themeTint="D9"/>
                                <w:sz w:val="24"/>
                                <w:szCs w:val="24"/>
                              </w:rPr>
                            </w:pPr>
                            <w:bookmarkStart w:id="0" w:name="_Hlk48079750"/>
                            <w:r w:rsidRPr="00FA04FC">
                              <w:rPr>
                                <w:b/>
                                <w:bCs/>
                                <w:caps/>
                                <w:color w:val="262626" w:themeColor="text1" w:themeTint="D9"/>
                                <w:sz w:val="24"/>
                                <w:szCs w:val="24"/>
                              </w:rPr>
                              <w:t>MINISTRY OF HEALTH</w:t>
                            </w:r>
                          </w:p>
                          <w:p w14:paraId="42EB0EF8" w14:textId="35A2DF05" w:rsidR="007D1E1B" w:rsidRDefault="00FA04FC" w:rsidP="00FA04FC">
                            <w:pPr>
                              <w:pStyle w:val="NoSpacing"/>
                              <w:jc w:val="right"/>
                              <w:rPr>
                                <w:caps/>
                                <w:color w:val="262626" w:themeColor="text1" w:themeTint="D9"/>
                                <w:sz w:val="20"/>
                                <w:szCs w:val="20"/>
                              </w:rPr>
                            </w:pPr>
                            <w:r w:rsidRPr="00FA04FC">
                              <w:rPr>
                                <w:b/>
                                <w:bCs/>
                                <w:caps/>
                                <w:color w:val="262626" w:themeColor="text1" w:themeTint="D9"/>
                                <w:sz w:val="24"/>
                                <w:szCs w:val="24"/>
                              </w:rPr>
                              <w:t xml:space="preserve">     </w:t>
                            </w:r>
                            <w:sdt>
                              <w:sdtPr>
                                <w:rPr>
                                  <w:caps/>
                                  <w:color w:val="262626" w:themeColor="text1" w:themeTint="D9"/>
                                  <w:sz w:val="20"/>
                                  <w:szCs w:val="20"/>
                                </w:rPr>
                                <w:alias w:val="Tvrtka"/>
                                <w:tag w:val=""/>
                                <w:id w:val="-661235724"/>
                                <w:showingPlcHdr/>
                                <w:dataBinding w:prefixMappings="xmlns:ns0='http://schemas.openxmlformats.org/officeDocument/2006/extended-properties' " w:xpath="/ns0:Properties[1]/ns0:Company[1]" w:storeItemID="{6668398D-A668-4E3E-A5EB-62B293D839F1}"/>
                                <w:text/>
                              </w:sdtPr>
                              <w:sdtEndPr/>
                              <w:sdtContent>
                                <w:r w:rsidR="007D1E1B">
                                  <w:rPr>
                                    <w:caps/>
                                    <w:color w:val="262626" w:themeColor="text1" w:themeTint="D9"/>
                                    <w:sz w:val="20"/>
                                    <w:szCs w:val="20"/>
                                  </w:rPr>
                                  <w:t xml:space="preserve">     </w:t>
                                </w:r>
                              </w:sdtContent>
                            </w:sdt>
                            <w:bookmarkEnd w:id="0"/>
                          </w:p>
                          <w:p w14:paraId="4EAA0734" w14:textId="63920854" w:rsidR="007D1E1B" w:rsidRDefault="00C40C75">
                            <w:pPr>
                              <w:pStyle w:val="NoSpacing"/>
                              <w:jc w:val="right"/>
                              <w:rPr>
                                <w:caps/>
                                <w:color w:val="262626" w:themeColor="text1" w:themeTint="D9"/>
                                <w:sz w:val="20"/>
                                <w:szCs w:val="20"/>
                              </w:rPr>
                            </w:pPr>
                            <w:sdt>
                              <w:sdtPr>
                                <w:rPr>
                                  <w:color w:val="262626" w:themeColor="text1" w:themeTint="D9"/>
                                  <w:sz w:val="20"/>
                                  <w:szCs w:val="20"/>
                                </w:rPr>
                                <w:alias w:val="Adresa"/>
                                <w:tag w:val=""/>
                                <w:id w:val="171227497"/>
                                <w:dataBinding w:prefixMappings="xmlns:ns0='http://schemas.microsoft.com/office/2006/coverPageProps' " w:xpath="/ns0:CoverPageProperties[1]/ns0:CompanyAddress[1]" w:storeItemID="{55AF091B-3C7A-41E3-B477-F2FDAA23CFDA}"/>
                                <w:text/>
                              </w:sdtPr>
                              <w:sdtEndPr/>
                              <w:sdtContent>
                                <w:r w:rsidR="00AF3B6B">
                                  <w:rPr>
                                    <w:color w:val="262626" w:themeColor="text1" w:themeTint="D9"/>
                                    <w:sz w:val="20"/>
                                    <w:szCs w:val="20"/>
                                  </w:rPr>
                                  <w:t>December</w:t>
                                </w:r>
                                <w:r w:rsidR="0028510F">
                                  <w:rPr>
                                    <w:color w:val="262626" w:themeColor="text1" w:themeTint="D9"/>
                                    <w:sz w:val="20"/>
                                    <w:szCs w:val="20"/>
                                  </w:rPr>
                                  <w:t xml:space="preserve"> </w:t>
                                </w:r>
                                <w:r w:rsidR="007D1E1B">
                                  <w:rPr>
                                    <w:color w:val="262626" w:themeColor="text1" w:themeTint="D9"/>
                                    <w:sz w:val="20"/>
                                    <w:szCs w:val="20"/>
                                  </w:rPr>
                                  <w:t>2020</w:t>
                                </w:r>
                              </w:sdtContent>
                            </w:sdt>
                            <w:r w:rsidR="007D1E1B">
                              <w:rPr>
                                <w:color w:val="262626" w:themeColor="text1" w:themeTint="D9"/>
                                <w:sz w:val="20"/>
                                <w:szCs w:val="20"/>
                                <w:lang w:val="hr-HR"/>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A4E64" id="Tekstni okvir 112" o:spid="_x0000_s1027" type="#_x0000_t202" style="position:absolute;margin-left:402.55pt;margin-top:675.8pt;width:159.3pt;height:92.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" filled="f" stroked="f" strokeweight=".5pt">
                <v:textbox inset="0,0,0,0">
                  <w:txbxContent>
                    <w:p w14:paraId="4B346F69" w14:textId="77777777" w:rsidR="00FA04FC" w:rsidRPr="00FA04FC" w:rsidRDefault="00FA04FC" w:rsidP="00FA04FC">
                      <w:pPr>
                        <w:pStyle w:val="NoSpacing"/>
                        <w:jc w:val="right"/>
                        <w:rPr>
                          <w:b/>
                          <w:bCs/>
                          <w:caps/>
                          <w:color w:val="262626" w:themeColor="text1" w:themeTint="D9"/>
                          <w:sz w:val="24"/>
                          <w:szCs w:val="24"/>
                        </w:rPr>
                      </w:pPr>
                      <w:bookmarkStart w:id="1" w:name="_Hlk48079750"/>
                      <w:r w:rsidRPr="00FA04FC">
                        <w:rPr>
                          <w:b/>
                          <w:bCs/>
                          <w:caps/>
                          <w:color w:val="262626" w:themeColor="text1" w:themeTint="D9"/>
                          <w:sz w:val="24"/>
                          <w:szCs w:val="24"/>
                        </w:rPr>
                        <w:t>MINISTRY OF HEALTH</w:t>
                      </w:r>
                    </w:p>
                    <w:p w14:paraId="42EB0EF8" w14:textId="35A2DF05" w:rsidR="007D1E1B" w:rsidRDefault="00FA04FC" w:rsidP="00FA04FC">
                      <w:pPr>
                        <w:pStyle w:val="NoSpacing"/>
                        <w:jc w:val="right"/>
                        <w:rPr>
                          <w:caps/>
                          <w:color w:val="262626" w:themeColor="text1" w:themeTint="D9"/>
                          <w:sz w:val="20"/>
                          <w:szCs w:val="20"/>
                        </w:rPr>
                      </w:pPr>
                      <w:r w:rsidRPr="00FA04FC">
                        <w:rPr>
                          <w:b/>
                          <w:bCs/>
                          <w:caps/>
                          <w:color w:val="262626" w:themeColor="text1" w:themeTint="D9"/>
                          <w:sz w:val="24"/>
                          <w:szCs w:val="24"/>
                        </w:rPr>
                        <w:t xml:space="preserve">     </w:t>
                      </w:r>
                      <w:sdt>
                        <w:sdtPr>
                          <w:rPr>
                            <w:caps/>
                            <w:color w:val="262626" w:themeColor="text1" w:themeTint="D9"/>
                            <w:sz w:val="20"/>
                            <w:szCs w:val="20"/>
                          </w:rPr>
                          <w:alias w:val="Tvrtka"/>
                          <w:tag w:val=""/>
                          <w:id w:val="-661235724"/>
                          <w:showingPlcHdr/>
                          <w:dataBinding w:prefixMappings="xmlns:ns0='http://schemas.openxmlformats.org/officeDocument/2006/extended-properties' " w:xpath="/ns0:Properties[1]/ns0:Company[1]" w:storeItemID="{6668398D-A668-4E3E-A5EB-62B293D839F1}"/>
                          <w:text/>
                        </w:sdtPr>
                        <w:sdtEndPr/>
                        <w:sdtContent>
                          <w:r w:rsidR="007D1E1B">
                            <w:rPr>
                              <w:caps/>
                              <w:color w:val="262626" w:themeColor="text1" w:themeTint="D9"/>
                              <w:sz w:val="20"/>
                              <w:szCs w:val="20"/>
                            </w:rPr>
                            <w:t xml:space="preserve">     </w:t>
                          </w:r>
                        </w:sdtContent>
                      </w:sdt>
                      <w:bookmarkEnd w:id="1"/>
                    </w:p>
                    <w:p w14:paraId="4EAA0734" w14:textId="63920854" w:rsidR="007D1E1B" w:rsidRDefault="00C40C75">
                      <w:pPr>
                        <w:pStyle w:val="NoSpacing"/>
                        <w:jc w:val="right"/>
                        <w:rPr>
                          <w:caps/>
                          <w:color w:val="262626" w:themeColor="text1" w:themeTint="D9"/>
                          <w:sz w:val="20"/>
                          <w:szCs w:val="20"/>
                        </w:rPr>
                      </w:pPr>
                      <w:sdt>
                        <w:sdtPr>
                          <w:rPr>
                            <w:color w:val="262626" w:themeColor="text1" w:themeTint="D9"/>
                            <w:sz w:val="20"/>
                            <w:szCs w:val="20"/>
                          </w:rPr>
                          <w:alias w:val="Adresa"/>
                          <w:tag w:val=""/>
                          <w:id w:val="171227497"/>
                          <w:dataBinding w:prefixMappings="xmlns:ns0='http://schemas.microsoft.com/office/2006/coverPageProps' " w:xpath="/ns0:CoverPageProperties[1]/ns0:CompanyAddress[1]" w:storeItemID="{55AF091B-3C7A-41E3-B477-F2FDAA23CFDA}"/>
                          <w:text/>
                        </w:sdtPr>
                        <w:sdtEndPr/>
                        <w:sdtContent>
                          <w:r w:rsidR="00AF3B6B">
                            <w:rPr>
                              <w:color w:val="262626" w:themeColor="text1" w:themeTint="D9"/>
                              <w:sz w:val="20"/>
                              <w:szCs w:val="20"/>
                            </w:rPr>
                            <w:t>December</w:t>
                          </w:r>
                          <w:r w:rsidR="0028510F">
                            <w:rPr>
                              <w:color w:val="262626" w:themeColor="text1" w:themeTint="D9"/>
                              <w:sz w:val="20"/>
                              <w:szCs w:val="20"/>
                            </w:rPr>
                            <w:t xml:space="preserve"> </w:t>
                          </w:r>
                          <w:r w:rsidR="007D1E1B">
                            <w:rPr>
                              <w:color w:val="262626" w:themeColor="text1" w:themeTint="D9"/>
                              <w:sz w:val="20"/>
                              <w:szCs w:val="20"/>
                            </w:rPr>
                            <w:t>2020</w:t>
                          </w:r>
                        </w:sdtContent>
                      </w:sdt>
                      <w:r w:rsidR="007D1E1B">
                        <w:rPr>
                          <w:color w:val="262626" w:themeColor="text1" w:themeTint="D9"/>
                          <w:sz w:val="20"/>
                          <w:szCs w:val="20"/>
                          <w:lang w:val="hr-HR"/>
                        </w:rPr>
                        <w:t xml:space="preserve"> </w:t>
                      </w:r>
                    </w:p>
                  </w:txbxContent>
                </v:textbox>
                <w10:wrap type="square" anchorx="page" anchory="page"/>
              </v:shape>
            </w:pict>
          </mc:Fallback>
        </mc:AlternateContent>
      </w:r>
      <w:r w:rsidR="00FC2320" w:rsidRPr="00AB7D1E">
        <w:rPr>
          <w:lang w:val="en-US"/>
        </w:rPr>
        <w:br w:type="page"/>
      </w:r>
    </w:p>
    <w:sdt>
      <w:sdtPr>
        <w:rPr>
          <w:rFonts w:asciiTheme="minorHAnsi" w:eastAsia="Calibri" w:hAnsiTheme="minorHAnsi" w:cs="Times New Roman"/>
          <w:caps w:val="0"/>
          <w:color w:val="auto"/>
          <w:sz w:val="22"/>
          <w:szCs w:val="22"/>
          <w:lang w:val="hr-HR"/>
        </w:rPr>
        <w:id w:val="1668901602"/>
        <w:docPartObj>
          <w:docPartGallery w:val="Table of Contents"/>
          <w:docPartUnique/>
        </w:docPartObj>
      </w:sdtPr>
      <w:sdtEndPr>
        <w:rPr>
          <w:b/>
          <w:bCs/>
          <w:noProof/>
        </w:rPr>
      </w:sdtEndPr>
      <w:sdtContent>
        <w:p w14:paraId="7CBDFE80" w14:textId="4B4BB072" w:rsidR="00996B58" w:rsidRDefault="00996B58">
          <w:pPr>
            <w:pStyle w:val="TOCHeading"/>
          </w:pPr>
          <w:r>
            <w:t>Contents</w:t>
          </w:r>
        </w:p>
        <w:p w14:paraId="035976AA" w14:textId="322F3019" w:rsidR="000B21F5" w:rsidRDefault="00996B58">
          <w:pPr>
            <w:pStyle w:val="TOC1"/>
            <w:tabs>
              <w:tab w:val="right" w:leader="dot" w:pos="9016"/>
            </w:tabs>
            <w:rPr>
              <w:rFonts w:eastAsiaTheme="minorEastAsia" w:cstheme="minorBidi"/>
              <w:noProof/>
              <w:lang w:eastAsia="hr-HR"/>
            </w:rPr>
          </w:pPr>
          <w:r>
            <w:fldChar w:fldCharType="begin"/>
          </w:r>
          <w:r>
            <w:instrText xml:space="preserve"> TOC \o "1-3" \h \z \u </w:instrText>
          </w:r>
          <w:r>
            <w:fldChar w:fldCharType="separate"/>
          </w:r>
          <w:hyperlink w:anchor="_Toc56954023" w:history="1">
            <w:r w:rsidR="000B21F5" w:rsidRPr="00D478C0">
              <w:rPr>
                <w:rStyle w:val="Hyperlink"/>
                <w:noProof/>
                <w:lang w:val="en-US"/>
              </w:rPr>
              <w:t>LIST OF ABBREVIATIONS &amp; ACRONYMS</w:t>
            </w:r>
            <w:r w:rsidR="000B21F5">
              <w:rPr>
                <w:noProof/>
                <w:webHidden/>
              </w:rPr>
              <w:tab/>
            </w:r>
            <w:r w:rsidR="000B21F5">
              <w:rPr>
                <w:noProof/>
                <w:webHidden/>
              </w:rPr>
              <w:fldChar w:fldCharType="begin"/>
            </w:r>
            <w:r w:rsidR="000B21F5">
              <w:rPr>
                <w:noProof/>
                <w:webHidden/>
              </w:rPr>
              <w:instrText xml:space="preserve"> PAGEREF _Toc56954023 \h </w:instrText>
            </w:r>
            <w:r w:rsidR="000B21F5">
              <w:rPr>
                <w:noProof/>
                <w:webHidden/>
              </w:rPr>
            </w:r>
            <w:r w:rsidR="000B21F5">
              <w:rPr>
                <w:noProof/>
                <w:webHidden/>
              </w:rPr>
              <w:fldChar w:fldCharType="separate"/>
            </w:r>
            <w:r w:rsidR="000B21F5">
              <w:rPr>
                <w:noProof/>
                <w:webHidden/>
              </w:rPr>
              <w:t>6</w:t>
            </w:r>
            <w:r w:rsidR="000B21F5">
              <w:rPr>
                <w:noProof/>
                <w:webHidden/>
              </w:rPr>
              <w:fldChar w:fldCharType="end"/>
            </w:r>
          </w:hyperlink>
        </w:p>
        <w:p w14:paraId="1A29F6DB" w14:textId="5036B400" w:rsidR="000B21F5" w:rsidRDefault="00C40C75">
          <w:pPr>
            <w:pStyle w:val="TOC1"/>
            <w:tabs>
              <w:tab w:val="right" w:leader="dot" w:pos="9016"/>
            </w:tabs>
            <w:rPr>
              <w:rFonts w:eastAsiaTheme="minorEastAsia" w:cstheme="minorBidi"/>
              <w:noProof/>
              <w:lang w:eastAsia="hr-HR"/>
            </w:rPr>
          </w:pPr>
          <w:hyperlink w:anchor="_Toc56954024" w:history="1">
            <w:r w:rsidR="000B21F5" w:rsidRPr="00D478C0">
              <w:rPr>
                <w:rStyle w:val="Hyperlink"/>
                <w:noProof/>
                <w:lang w:val="en-US"/>
              </w:rPr>
              <w:t>EXECUTIVE SUMMARY</w:t>
            </w:r>
            <w:r w:rsidR="000B21F5">
              <w:rPr>
                <w:noProof/>
                <w:webHidden/>
              </w:rPr>
              <w:tab/>
            </w:r>
            <w:r w:rsidR="000B21F5">
              <w:rPr>
                <w:noProof/>
                <w:webHidden/>
              </w:rPr>
              <w:fldChar w:fldCharType="begin"/>
            </w:r>
            <w:r w:rsidR="000B21F5">
              <w:rPr>
                <w:noProof/>
                <w:webHidden/>
              </w:rPr>
              <w:instrText xml:space="preserve"> PAGEREF _Toc56954024 \h </w:instrText>
            </w:r>
            <w:r w:rsidR="000B21F5">
              <w:rPr>
                <w:noProof/>
                <w:webHidden/>
              </w:rPr>
            </w:r>
            <w:r w:rsidR="000B21F5">
              <w:rPr>
                <w:noProof/>
                <w:webHidden/>
              </w:rPr>
              <w:fldChar w:fldCharType="separate"/>
            </w:r>
            <w:r w:rsidR="000B21F5">
              <w:rPr>
                <w:noProof/>
                <w:webHidden/>
              </w:rPr>
              <w:t>8</w:t>
            </w:r>
            <w:r w:rsidR="000B21F5">
              <w:rPr>
                <w:noProof/>
                <w:webHidden/>
              </w:rPr>
              <w:fldChar w:fldCharType="end"/>
            </w:r>
          </w:hyperlink>
        </w:p>
        <w:p w14:paraId="56EFF1A5" w14:textId="4B381A70" w:rsidR="000B21F5" w:rsidRDefault="00C40C75">
          <w:pPr>
            <w:pStyle w:val="TOC1"/>
            <w:tabs>
              <w:tab w:val="left" w:pos="440"/>
              <w:tab w:val="right" w:leader="dot" w:pos="9016"/>
            </w:tabs>
            <w:rPr>
              <w:rFonts w:eastAsiaTheme="minorEastAsia" w:cstheme="minorBidi"/>
              <w:noProof/>
              <w:lang w:eastAsia="hr-HR"/>
            </w:rPr>
          </w:pPr>
          <w:hyperlink w:anchor="_Toc56954025" w:history="1">
            <w:r w:rsidR="000B21F5" w:rsidRPr="00D478C0">
              <w:rPr>
                <w:rStyle w:val="Hyperlink"/>
                <w:bCs/>
                <w:noProof/>
                <w:lang w:val="en-US"/>
              </w:rPr>
              <w:t>1</w:t>
            </w:r>
            <w:r w:rsidR="000B21F5">
              <w:rPr>
                <w:rFonts w:eastAsiaTheme="minorEastAsia" w:cstheme="minorBidi"/>
                <w:noProof/>
                <w:lang w:eastAsia="hr-HR"/>
              </w:rPr>
              <w:tab/>
            </w:r>
            <w:r w:rsidR="000B21F5" w:rsidRPr="00D478C0">
              <w:rPr>
                <w:rStyle w:val="Hyperlink"/>
                <w:noProof/>
                <w:lang w:val="en-US"/>
              </w:rPr>
              <w:t>INTRODUCTION</w:t>
            </w:r>
            <w:r w:rsidR="000B21F5">
              <w:rPr>
                <w:noProof/>
                <w:webHidden/>
              </w:rPr>
              <w:tab/>
            </w:r>
            <w:r w:rsidR="000B21F5">
              <w:rPr>
                <w:noProof/>
                <w:webHidden/>
              </w:rPr>
              <w:fldChar w:fldCharType="begin"/>
            </w:r>
            <w:r w:rsidR="000B21F5">
              <w:rPr>
                <w:noProof/>
                <w:webHidden/>
              </w:rPr>
              <w:instrText xml:space="preserve"> PAGEREF _Toc56954025 \h </w:instrText>
            </w:r>
            <w:r w:rsidR="000B21F5">
              <w:rPr>
                <w:noProof/>
                <w:webHidden/>
              </w:rPr>
            </w:r>
            <w:r w:rsidR="000B21F5">
              <w:rPr>
                <w:noProof/>
                <w:webHidden/>
              </w:rPr>
              <w:fldChar w:fldCharType="separate"/>
            </w:r>
            <w:r w:rsidR="000B21F5">
              <w:rPr>
                <w:noProof/>
                <w:webHidden/>
              </w:rPr>
              <w:t>14</w:t>
            </w:r>
            <w:r w:rsidR="000B21F5">
              <w:rPr>
                <w:noProof/>
                <w:webHidden/>
              </w:rPr>
              <w:fldChar w:fldCharType="end"/>
            </w:r>
          </w:hyperlink>
        </w:p>
        <w:p w14:paraId="4E1628B9" w14:textId="426D4DB9" w:rsidR="000B21F5" w:rsidRDefault="00C40C75">
          <w:pPr>
            <w:pStyle w:val="TOC2"/>
            <w:tabs>
              <w:tab w:val="left" w:pos="880"/>
              <w:tab w:val="right" w:leader="dot" w:pos="9016"/>
            </w:tabs>
            <w:rPr>
              <w:rFonts w:eastAsiaTheme="minorEastAsia" w:cstheme="minorBidi"/>
              <w:noProof/>
              <w:lang w:eastAsia="hr-HR"/>
            </w:rPr>
          </w:pPr>
          <w:hyperlink w:anchor="_Toc56954026" w:history="1">
            <w:r w:rsidR="000B21F5" w:rsidRPr="00D478C0">
              <w:rPr>
                <w:rStyle w:val="Hyperlink"/>
                <w:bCs/>
                <w:noProof/>
                <w:lang w:val="en-US"/>
              </w:rPr>
              <w:t>1.1</w:t>
            </w:r>
            <w:r w:rsidR="000B21F5">
              <w:rPr>
                <w:rFonts w:eastAsiaTheme="minorEastAsia" w:cstheme="minorBidi"/>
                <w:noProof/>
                <w:lang w:eastAsia="hr-HR"/>
              </w:rPr>
              <w:tab/>
            </w:r>
            <w:r w:rsidR="000B21F5" w:rsidRPr="00D478C0">
              <w:rPr>
                <w:rStyle w:val="Hyperlink"/>
                <w:noProof/>
                <w:lang w:val="en-US"/>
              </w:rPr>
              <w:t>The Environmental and Social Management Framework objective</w:t>
            </w:r>
            <w:r w:rsidR="000B21F5">
              <w:rPr>
                <w:noProof/>
                <w:webHidden/>
              </w:rPr>
              <w:tab/>
            </w:r>
            <w:r w:rsidR="000B21F5">
              <w:rPr>
                <w:noProof/>
                <w:webHidden/>
              </w:rPr>
              <w:fldChar w:fldCharType="begin"/>
            </w:r>
            <w:r w:rsidR="000B21F5">
              <w:rPr>
                <w:noProof/>
                <w:webHidden/>
              </w:rPr>
              <w:instrText xml:space="preserve"> PAGEREF _Toc56954026 \h </w:instrText>
            </w:r>
            <w:r w:rsidR="000B21F5">
              <w:rPr>
                <w:noProof/>
                <w:webHidden/>
              </w:rPr>
            </w:r>
            <w:r w:rsidR="000B21F5">
              <w:rPr>
                <w:noProof/>
                <w:webHidden/>
              </w:rPr>
              <w:fldChar w:fldCharType="separate"/>
            </w:r>
            <w:r w:rsidR="000B21F5">
              <w:rPr>
                <w:noProof/>
                <w:webHidden/>
              </w:rPr>
              <w:t>15</w:t>
            </w:r>
            <w:r w:rsidR="000B21F5">
              <w:rPr>
                <w:noProof/>
                <w:webHidden/>
              </w:rPr>
              <w:fldChar w:fldCharType="end"/>
            </w:r>
          </w:hyperlink>
        </w:p>
        <w:p w14:paraId="43251C9F" w14:textId="5D7BBCF5" w:rsidR="000B21F5" w:rsidRDefault="00C40C75">
          <w:pPr>
            <w:pStyle w:val="TOC2"/>
            <w:tabs>
              <w:tab w:val="left" w:pos="880"/>
              <w:tab w:val="right" w:leader="dot" w:pos="9016"/>
            </w:tabs>
            <w:rPr>
              <w:rFonts w:eastAsiaTheme="minorEastAsia" w:cstheme="minorBidi"/>
              <w:noProof/>
              <w:lang w:eastAsia="hr-HR"/>
            </w:rPr>
          </w:pPr>
          <w:hyperlink w:anchor="_Toc56954027" w:history="1">
            <w:r w:rsidR="000B21F5" w:rsidRPr="00D478C0">
              <w:rPr>
                <w:rStyle w:val="Hyperlink"/>
                <w:bCs/>
                <w:noProof/>
                <w:lang w:val="en-US"/>
              </w:rPr>
              <w:t>1.2</w:t>
            </w:r>
            <w:r w:rsidR="000B21F5">
              <w:rPr>
                <w:rFonts w:eastAsiaTheme="minorEastAsia" w:cstheme="minorBidi"/>
                <w:noProof/>
                <w:lang w:eastAsia="hr-HR"/>
              </w:rPr>
              <w:tab/>
            </w:r>
            <w:r w:rsidR="000B21F5" w:rsidRPr="00D478C0">
              <w:rPr>
                <w:rStyle w:val="Hyperlink"/>
                <w:noProof/>
                <w:lang w:val="en-US"/>
              </w:rPr>
              <w:t>Public disclosure and consultation of ESMF</w:t>
            </w:r>
            <w:r w:rsidR="000B21F5">
              <w:rPr>
                <w:noProof/>
                <w:webHidden/>
              </w:rPr>
              <w:tab/>
            </w:r>
            <w:r w:rsidR="000B21F5">
              <w:rPr>
                <w:noProof/>
                <w:webHidden/>
              </w:rPr>
              <w:fldChar w:fldCharType="begin"/>
            </w:r>
            <w:r w:rsidR="000B21F5">
              <w:rPr>
                <w:noProof/>
                <w:webHidden/>
              </w:rPr>
              <w:instrText xml:space="preserve"> PAGEREF _Toc56954027 \h </w:instrText>
            </w:r>
            <w:r w:rsidR="000B21F5">
              <w:rPr>
                <w:noProof/>
                <w:webHidden/>
              </w:rPr>
            </w:r>
            <w:r w:rsidR="000B21F5">
              <w:rPr>
                <w:noProof/>
                <w:webHidden/>
              </w:rPr>
              <w:fldChar w:fldCharType="separate"/>
            </w:r>
            <w:r w:rsidR="000B21F5">
              <w:rPr>
                <w:noProof/>
                <w:webHidden/>
              </w:rPr>
              <w:t>15</w:t>
            </w:r>
            <w:r w:rsidR="000B21F5">
              <w:rPr>
                <w:noProof/>
                <w:webHidden/>
              </w:rPr>
              <w:fldChar w:fldCharType="end"/>
            </w:r>
          </w:hyperlink>
        </w:p>
        <w:p w14:paraId="01C7CA52" w14:textId="51AAF528" w:rsidR="000B21F5" w:rsidRDefault="00C40C75">
          <w:pPr>
            <w:pStyle w:val="TOC1"/>
            <w:tabs>
              <w:tab w:val="left" w:pos="440"/>
              <w:tab w:val="right" w:leader="dot" w:pos="9016"/>
            </w:tabs>
            <w:rPr>
              <w:rFonts w:eastAsiaTheme="minorEastAsia" w:cstheme="minorBidi"/>
              <w:noProof/>
              <w:lang w:eastAsia="hr-HR"/>
            </w:rPr>
          </w:pPr>
          <w:hyperlink w:anchor="_Toc56954028" w:history="1">
            <w:r w:rsidR="000B21F5" w:rsidRPr="00D478C0">
              <w:rPr>
                <w:rStyle w:val="Hyperlink"/>
                <w:bCs/>
                <w:noProof/>
                <w:lang w:val="en-US"/>
              </w:rPr>
              <w:t>2</w:t>
            </w:r>
            <w:r w:rsidR="000B21F5">
              <w:rPr>
                <w:rFonts w:eastAsiaTheme="minorEastAsia" w:cstheme="minorBidi"/>
                <w:noProof/>
                <w:lang w:eastAsia="hr-HR"/>
              </w:rPr>
              <w:tab/>
            </w:r>
            <w:r w:rsidR="000B21F5" w:rsidRPr="00D478C0">
              <w:rPr>
                <w:rStyle w:val="Hyperlink"/>
                <w:noProof/>
                <w:lang w:val="en-US"/>
              </w:rPr>
              <w:t>PROJECT DESCRIPTION AND ELIGIBILITY</w:t>
            </w:r>
            <w:r w:rsidR="000B21F5">
              <w:rPr>
                <w:noProof/>
                <w:webHidden/>
              </w:rPr>
              <w:tab/>
            </w:r>
            <w:r w:rsidR="000B21F5">
              <w:rPr>
                <w:noProof/>
                <w:webHidden/>
              </w:rPr>
              <w:fldChar w:fldCharType="begin"/>
            </w:r>
            <w:r w:rsidR="000B21F5">
              <w:rPr>
                <w:noProof/>
                <w:webHidden/>
              </w:rPr>
              <w:instrText xml:space="preserve"> PAGEREF _Toc56954028 \h </w:instrText>
            </w:r>
            <w:r w:rsidR="000B21F5">
              <w:rPr>
                <w:noProof/>
                <w:webHidden/>
              </w:rPr>
            </w:r>
            <w:r w:rsidR="000B21F5">
              <w:rPr>
                <w:noProof/>
                <w:webHidden/>
              </w:rPr>
              <w:fldChar w:fldCharType="separate"/>
            </w:r>
            <w:r w:rsidR="000B21F5">
              <w:rPr>
                <w:noProof/>
                <w:webHidden/>
              </w:rPr>
              <w:t>17</w:t>
            </w:r>
            <w:r w:rsidR="000B21F5">
              <w:rPr>
                <w:noProof/>
                <w:webHidden/>
              </w:rPr>
              <w:fldChar w:fldCharType="end"/>
            </w:r>
          </w:hyperlink>
        </w:p>
        <w:p w14:paraId="68A954FF" w14:textId="0D550EF5" w:rsidR="000B21F5" w:rsidRDefault="00C40C75">
          <w:pPr>
            <w:pStyle w:val="TOC2"/>
            <w:tabs>
              <w:tab w:val="left" w:pos="880"/>
              <w:tab w:val="right" w:leader="dot" w:pos="9016"/>
            </w:tabs>
            <w:rPr>
              <w:rFonts w:eastAsiaTheme="minorEastAsia" w:cstheme="minorBidi"/>
              <w:noProof/>
              <w:lang w:eastAsia="hr-HR"/>
            </w:rPr>
          </w:pPr>
          <w:hyperlink w:anchor="_Toc56954029" w:history="1">
            <w:r w:rsidR="000B21F5" w:rsidRPr="00D478C0">
              <w:rPr>
                <w:rStyle w:val="Hyperlink"/>
                <w:bCs/>
                <w:noProof/>
                <w:lang w:val="en-US"/>
              </w:rPr>
              <w:t>2.1</w:t>
            </w:r>
            <w:r w:rsidR="000B21F5">
              <w:rPr>
                <w:rFonts w:eastAsiaTheme="minorEastAsia" w:cstheme="minorBidi"/>
                <w:noProof/>
                <w:lang w:eastAsia="hr-HR"/>
              </w:rPr>
              <w:tab/>
            </w:r>
            <w:r w:rsidR="000B21F5" w:rsidRPr="00D478C0">
              <w:rPr>
                <w:rStyle w:val="Hyperlink"/>
                <w:noProof/>
                <w:lang w:val="en-US"/>
              </w:rPr>
              <w:t>Baseline information on earthquake event and COVID-19</w:t>
            </w:r>
            <w:r w:rsidR="000B21F5">
              <w:rPr>
                <w:noProof/>
                <w:webHidden/>
              </w:rPr>
              <w:tab/>
            </w:r>
            <w:r w:rsidR="000B21F5">
              <w:rPr>
                <w:noProof/>
                <w:webHidden/>
              </w:rPr>
              <w:fldChar w:fldCharType="begin"/>
            </w:r>
            <w:r w:rsidR="000B21F5">
              <w:rPr>
                <w:noProof/>
                <w:webHidden/>
              </w:rPr>
              <w:instrText xml:space="preserve"> PAGEREF _Toc56954029 \h </w:instrText>
            </w:r>
            <w:r w:rsidR="000B21F5">
              <w:rPr>
                <w:noProof/>
                <w:webHidden/>
              </w:rPr>
            </w:r>
            <w:r w:rsidR="000B21F5">
              <w:rPr>
                <w:noProof/>
                <w:webHidden/>
              </w:rPr>
              <w:fldChar w:fldCharType="separate"/>
            </w:r>
            <w:r w:rsidR="000B21F5">
              <w:rPr>
                <w:noProof/>
                <w:webHidden/>
              </w:rPr>
              <w:t>17</w:t>
            </w:r>
            <w:r w:rsidR="000B21F5">
              <w:rPr>
                <w:noProof/>
                <w:webHidden/>
              </w:rPr>
              <w:fldChar w:fldCharType="end"/>
            </w:r>
          </w:hyperlink>
        </w:p>
        <w:p w14:paraId="432EB718" w14:textId="62D221C8" w:rsidR="000B21F5" w:rsidRDefault="00C40C75">
          <w:pPr>
            <w:pStyle w:val="TOC3"/>
            <w:tabs>
              <w:tab w:val="left" w:pos="1320"/>
              <w:tab w:val="right" w:leader="dot" w:pos="9016"/>
            </w:tabs>
            <w:rPr>
              <w:rFonts w:eastAsiaTheme="minorEastAsia" w:cstheme="minorBidi"/>
              <w:noProof/>
              <w:lang w:eastAsia="hr-HR"/>
            </w:rPr>
          </w:pPr>
          <w:hyperlink w:anchor="_Toc56954030" w:history="1">
            <w:r w:rsidR="000B21F5" w:rsidRPr="00D478C0">
              <w:rPr>
                <w:rStyle w:val="Hyperlink"/>
                <w:bCs/>
                <w:noProof/>
                <w:lang w:val="en-US"/>
              </w:rPr>
              <w:t>2.1.1</w:t>
            </w:r>
            <w:r w:rsidR="000B21F5">
              <w:rPr>
                <w:rFonts w:eastAsiaTheme="minorEastAsia" w:cstheme="minorBidi"/>
                <w:noProof/>
                <w:lang w:eastAsia="hr-HR"/>
              </w:rPr>
              <w:tab/>
            </w:r>
            <w:r w:rsidR="000B21F5" w:rsidRPr="00D478C0">
              <w:rPr>
                <w:rStyle w:val="Hyperlink"/>
                <w:noProof/>
                <w:lang w:val="en-US"/>
              </w:rPr>
              <w:t>COVID-19 situation in the Republic of Croatia</w:t>
            </w:r>
            <w:r w:rsidR="000B21F5">
              <w:rPr>
                <w:noProof/>
                <w:webHidden/>
              </w:rPr>
              <w:tab/>
            </w:r>
            <w:r w:rsidR="000B21F5">
              <w:rPr>
                <w:noProof/>
                <w:webHidden/>
              </w:rPr>
              <w:fldChar w:fldCharType="begin"/>
            </w:r>
            <w:r w:rsidR="000B21F5">
              <w:rPr>
                <w:noProof/>
                <w:webHidden/>
              </w:rPr>
              <w:instrText xml:space="preserve"> PAGEREF _Toc56954030 \h </w:instrText>
            </w:r>
            <w:r w:rsidR="000B21F5">
              <w:rPr>
                <w:noProof/>
                <w:webHidden/>
              </w:rPr>
            </w:r>
            <w:r w:rsidR="000B21F5">
              <w:rPr>
                <w:noProof/>
                <w:webHidden/>
              </w:rPr>
              <w:fldChar w:fldCharType="separate"/>
            </w:r>
            <w:r w:rsidR="000B21F5">
              <w:rPr>
                <w:noProof/>
                <w:webHidden/>
              </w:rPr>
              <w:t>18</w:t>
            </w:r>
            <w:r w:rsidR="000B21F5">
              <w:rPr>
                <w:noProof/>
                <w:webHidden/>
              </w:rPr>
              <w:fldChar w:fldCharType="end"/>
            </w:r>
          </w:hyperlink>
        </w:p>
        <w:p w14:paraId="7232F93E" w14:textId="3DC492CB" w:rsidR="000B21F5" w:rsidRDefault="00C40C75">
          <w:pPr>
            <w:pStyle w:val="TOC2"/>
            <w:tabs>
              <w:tab w:val="left" w:pos="880"/>
              <w:tab w:val="right" w:leader="dot" w:pos="9016"/>
            </w:tabs>
            <w:rPr>
              <w:rFonts w:eastAsiaTheme="minorEastAsia" w:cstheme="minorBidi"/>
              <w:noProof/>
              <w:lang w:eastAsia="hr-HR"/>
            </w:rPr>
          </w:pPr>
          <w:hyperlink w:anchor="_Toc56954031" w:history="1">
            <w:r w:rsidR="000B21F5" w:rsidRPr="00D478C0">
              <w:rPr>
                <w:rStyle w:val="Hyperlink"/>
                <w:bCs/>
                <w:noProof/>
                <w:lang w:val="en-US"/>
              </w:rPr>
              <w:t>2.2</w:t>
            </w:r>
            <w:r w:rsidR="000B21F5">
              <w:rPr>
                <w:rFonts w:eastAsiaTheme="minorEastAsia" w:cstheme="minorBidi"/>
                <w:noProof/>
                <w:lang w:eastAsia="hr-HR"/>
              </w:rPr>
              <w:tab/>
            </w:r>
            <w:r w:rsidR="000B21F5" w:rsidRPr="00D478C0">
              <w:rPr>
                <w:rStyle w:val="Hyperlink"/>
                <w:noProof/>
                <w:lang w:val="en-US"/>
              </w:rPr>
              <w:t>Project development objective and project components</w:t>
            </w:r>
            <w:r w:rsidR="000B21F5">
              <w:rPr>
                <w:noProof/>
                <w:webHidden/>
              </w:rPr>
              <w:tab/>
            </w:r>
            <w:r w:rsidR="000B21F5">
              <w:rPr>
                <w:noProof/>
                <w:webHidden/>
              </w:rPr>
              <w:fldChar w:fldCharType="begin"/>
            </w:r>
            <w:r w:rsidR="000B21F5">
              <w:rPr>
                <w:noProof/>
                <w:webHidden/>
              </w:rPr>
              <w:instrText xml:space="preserve"> PAGEREF _Toc56954031 \h </w:instrText>
            </w:r>
            <w:r w:rsidR="000B21F5">
              <w:rPr>
                <w:noProof/>
                <w:webHidden/>
              </w:rPr>
            </w:r>
            <w:r w:rsidR="000B21F5">
              <w:rPr>
                <w:noProof/>
                <w:webHidden/>
              </w:rPr>
              <w:fldChar w:fldCharType="separate"/>
            </w:r>
            <w:r w:rsidR="000B21F5">
              <w:rPr>
                <w:noProof/>
                <w:webHidden/>
              </w:rPr>
              <w:t>21</w:t>
            </w:r>
            <w:r w:rsidR="000B21F5">
              <w:rPr>
                <w:noProof/>
                <w:webHidden/>
              </w:rPr>
              <w:fldChar w:fldCharType="end"/>
            </w:r>
          </w:hyperlink>
        </w:p>
        <w:p w14:paraId="2890C473" w14:textId="57E92948" w:rsidR="000B21F5" w:rsidRDefault="00C40C75">
          <w:pPr>
            <w:pStyle w:val="TOC2"/>
            <w:tabs>
              <w:tab w:val="left" w:pos="880"/>
              <w:tab w:val="right" w:leader="dot" w:pos="9016"/>
            </w:tabs>
            <w:rPr>
              <w:rFonts w:eastAsiaTheme="minorEastAsia" w:cstheme="minorBidi"/>
              <w:noProof/>
              <w:lang w:eastAsia="hr-HR"/>
            </w:rPr>
          </w:pPr>
          <w:hyperlink w:anchor="_Toc56954032" w:history="1">
            <w:r w:rsidR="000B21F5" w:rsidRPr="00D478C0">
              <w:rPr>
                <w:rStyle w:val="Hyperlink"/>
                <w:bCs/>
                <w:noProof/>
                <w:lang w:val="en-US"/>
              </w:rPr>
              <w:t>2.3</w:t>
            </w:r>
            <w:r w:rsidR="000B21F5">
              <w:rPr>
                <w:rFonts w:eastAsiaTheme="minorEastAsia" w:cstheme="minorBidi"/>
                <w:noProof/>
                <w:lang w:eastAsia="hr-HR"/>
              </w:rPr>
              <w:tab/>
            </w:r>
            <w:r w:rsidR="000B21F5" w:rsidRPr="00D478C0">
              <w:rPr>
                <w:rStyle w:val="Hyperlink"/>
                <w:noProof/>
                <w:lang w:val="en-US"/>
              </w:rPr>
              <w:t>Project beneficiaries</w:t>
            </w:r>
            <w:r w:rsidR="000B21F5">
              <w:rPr>
                <w:noProof/>
                <w:webHidden/>
              </w:rPr>
              <w:tab/>
            </w:r>
            <w:r w:rsidR="000B21F5">
              <w:rPr>
                <w:noProof/>
                <w:webHidden/>
              </w:rPr>
              <w:fldChar w:fldCharType="begin"/>
            </w:r>
            <w:r w:rsidR="000B21F5">
              <w:rPr>
                <w:noProof/>
                <w:webHidden/>
              </w:rPr>
              <w:instrText xml:space="preserve"> PAGEREF _Toc56954032 \h </w:instrText>
            </w:r>
            <w:r w:rsidR="000B21F5">
              <w:rPr>
                <w:noProof/>
                <w:webHidden/>
              </w:rPr>
            </w:r>
            <w:r w:rsidR="000B21F5">
              <w:rPr>
                <w:noProof/>
                <w:webHidden/>
              </w:rPr>
              <w:fldChar w:fldCharType="separate"/>
            </w:r>
            <w:r w:rsidR="000B21F5">
              <w:rPr>
                <w:noProof/>
                <w:webHidden/>
              </w:rPr>
              <w:t>23</w:t>
            </w:r>
            <w:r w:rsidR="000B21F5">
              <w:rPr>
                <w:noProof/>
                <w:webHidden/>
              </w:rPr>
              <w:fldChar w:fldCharType="end"/>
            </w:r>
          </w:hyperlink>
        </w:p>
        <w:p w14:paraId="54CD2C3E" w14:textId="1C9546BB" w:rsidR="000B21F5" w:rsidRDefault="00C40C75">
          <w:pPr>
            <w:pStyle w:val="TOC2"/>
            <w:tabs>
              <w:tab w:val="left" w:pos="880"/>
              <w:tab w:val="right" w:leader="dot" w:pos="9016"/>
            </w:tabs>
            <w:rPr>
              <w:rFonts w:eastAsiaTheme="minorEastAsia" w:cstheme="minorBidi"/>
              <w:noProof/>
              <w:lang w:eastAsia="hr-HR"/>
            </w:rPr>
          </w:pPr>
          <w:hyperlink w:anchor="_Toc56954033" w:history="1">
            <w:r w:rsidR="000B21F5" w:rsidRPr="00D478C0">
              <w:rPr>
                <w:rStyle w:val="Hyperlink"/>
                <w:bCs/>
                <w:noProof/>
                <w:lang w:val="en-US"/>
              </w:rPr>
              <w:t>2.4</w:t>
            </w:r>
            <w:r w:rsidR="000B21F5">
              <w:rPr>
                <w:rFonts w:eastAsiaTheme="minorEastAsia" w:cstheme="minorBidi"/>
                <w:noProof/>
                <w:lang w:eastAsia="hr-HR"/>
              </w:rPr>
              <w:tab/>
            </w:r>
            <w:r w:rsidR="000B21F5" w:rsidRPr="00D478C0">
              <w:rPr>
                <w:rStyle w:val="Hyperlink"/>
                <w:noProof/>
                <w:lang w:val="en-US"/>
              </w:rPr>
              <w:t>Results Chain</w:t>
            </w:r>
            <w:r w:rsidR="000B21F5">
              <w:rPr>
                <w:noProof/>
                <w:webHidden/>
              </w:rPr>
              <w:tab/>
            </w:r>
            <w:r w:rsidR="000B21F5">
              <w:rPr>
                <w:noProof/>
                <w:webHidden/>
              </w:rPr>
              <w:fldChar w:fldCharType="begin"/>
            </w:r>
            <w:r w:rsidR="000B21F5">
              <w:rPr>
                <w:noProof/>
                <w:webHidden/>
              </w:rPr>
              <w:instrText xml:space="preserve"> PAGEREF _Toc56954033 \h </w:instrText>
            </w:r>
            <w:r w:rsidR="000B21F5">
              <w:rPr>
                <w:noProof/>
                <w:webHidden/>
              </w:rPr>
            </w:r>
            <w:r w:rsidR="000B21F5">
              <w:rPr>
                <w:noProof/>
                <w:webHidden/>
              </w:rPr>
              <w:fldChar w:fldCharType="separate"/>
            </w:r>
            <w:r w:rsidR="000B21F5">
              <w:rPr>
                <w:noProof/>
                <w:webHidden/>
              </w:rPr>
              <w:t>23</w:t>
            </w:r>
            <w:r w:rsidR="000B21F5">
              <w:rPr>
                <w:noProof/>
                <w:webHidden/>
              </w:rPr>
              <w:fldChar w:fldCharType="end"/>
            </w:r>
          </w:hyperlink>
        </w:p>
        <w:p w14:paraId="5E2736C4" w14:textId="61A3FC77" w:rsidR="000B21F5" w:rsidRDefault="00C40C75">
          <w:pPr>
            <w:pStyle w:val="TOC2"/>
            <w:tabs>
              <w:tab w:val="left" w:pos="880"/>
              <w:tab w:val="right" w:leader="dot" w:pos="9016"/>
            </w:tabs>
            <w:rPr>
              <w:rFonts w:eastAsiaTheme="minorEastAsia" w:cstheme="minorBidi"/>
              <w:noProof/>
              <w:lang w:eastAsia="hr-HR"/>
            </w:rPr>
          </w:pPr>
          <w:hyperlink w:anchor="_Toc56954034" w:history="1">
            <w:r w:rsidR="000B21F5" w:rsidRPr="00D478C0">
              <w:rPr>
                <w:rStyle w:val="Hyperlink"/>
                <w:bCs/>
                <w:noProof/>
                <w:lang w:val="en-US"/>
              </w:rPr>
              <w:t>2.5</w:t>
            </w:r>
            <w:r w:rsidR="000B21F5">
              <w:rPr>
                <w:rFonts w:eastAsiaTheme="minorEastAsia" w:cstheme="minorBidi"/>
                <w:noProof/>
                <w:lang w:eastAsia="hr-HR"/>
              </w:rPr>
              <w:tab/>
            </w:r>
            <w:r w:rsidR="000B21F5" w:rsidRPr="00D478C0">
              <w:rPr>
                <w:rStyle w:val="Hyperlink"/>
                <w:noProof/>
                <w:lang w:val="en-US"/>
              </w:rPr>
              <w:t>World Bank Group (IFC) Exclusion List</w:t>
            </w:r>
            <w:r w:rsidR="000B21F5">
              <w:rPr>
                <w:noProof/>
                <w:webHidden/>
              </w:rPr>
              <w:tab/>
            </w:r>
            <w:r w:rsidR="000B21F5">
              <w:rPr>
                <w:noProof/>
                <w:webHidden/>
              </w:rPr>
              <w:fldChar w:fldCharType="begin"/>
            </w:r>
            <w:r w:rsidR="000B21F5">
              <w:rPr>
                <w:noProof/>
                <w:webHidden/>
              </w:rPr>
              <w:instrText xml:space="preserve"> PAGEREF _Toc56954034 \h </w:instrText>
            </w:r>
            <w:r w:rsidR="000B21F5">
              <w:rPr>
                <w:noProof/>
                <w:webHidden/>
              </w:rPr>
            </w:r>
            <w:r w:rsidR="000B21F5">
              <w:rPr>
                <w:noProof/>
                <w:webHidden/>
              </w:rPr>
              <w:fldChar w:fldCharType="separate"/>
            </w:r>
            <w:r w:rsidR="000B21F5">
              <w:rPr>
                <w:noProof/>
                <w:webHidden/>
              </w:rPr>
              <w:t>24</w:t>
            </w:r>
            <w:r w:rsidR="000B21F5">
              <w:rPr>
                <w:noProof/>
                <w:webHidden/>
              </w:rPr>
              <w:fldChar w:fldCharType="end"/>
            </w:r>
          </w:hyperlink>
        </w:p>
        <w:p w14:paraId="216CDACA" w14:textId="41A37E7F" w:rsidR="000B21F5" w:rsidRDefault="00C40C75">
          <w:pPr>
            <w:pStyle w:val="TOC2"/>
            <w:tabs>
              <w:tab w:val="left" w:pos="880"/>
              <w:tab w:val="right" w:leader="dot" w:pos="9016"/>
            </w:tabs>
            <w:rPr>
              <w:rFonts w:eastAsiaTheme="minorEastAsia" w:cstheme="minorBidi"/>
              <w:noProof/>
              <w:lang w:eastAsia="hr-HR"/>
            </w:rPr>
          </w:pPr>
          <w:hyperlink w:anchor="_Toc56954035" w:history="1">
            <w:r w:rsidR="000B21F5" w:rsidRPr="00D478C0">
              <w:rPr>
                <w:rStyle w:val="Hyperlink"/>
                <w:bCs/>
                <w:noProof/>
                <w:lang w:val="en-US"/>
              </w:rPr>
              <w:t>2.6</w:t>
            </w:r>
            <w:r w:rsidR="000B21F5">
              <w:rPr>
                <w:rFonts w:eastAsiaTheme="minorEastAsia" w:cstheme="minorBidi"/>
                <w:noProof/>
                <w:lang w:eastAsia="hr-HR"/>
              </w:rPr>
              <w:tab/>
            </w:r>
            <w:r w:rsidR="000B21F5" w:rsidRPr="00D478C0">
              <w:rPr>
                <w:rStyle w:val="Hyperlink"/>
                <w:noProof/>
                <w:lang w:val="en-US"/>
              </w:rPr>
              <w:t>Risk Rating</w:t>
            </w:r>
            <w:r w:rsidR="000B21F5">
              <w:rPr>
                <w:noProof/>
                <w:webHidden/>
              </w:rPr>
              <w:tab/>
            </w:r>
            <w:r w:rsidR="000B21F5">
              <w:rPr>
                <w:noProof/>
                <w:webHidden/>
              </w:rPr>
              <w:fldChar w:fldCharType="begin"/>
            </w:r>
            <w:r w:rsidR="000B21F5">
              <w:rPr>
                <w:noProof/>
                <w:webHidden/>
              </w:rPr>
              <w:instrText xml:space="preserve"> PAGEREF _Toc56954035 \h </w:instrText>
            </w:r>
            <w:r w:rsidR="000B21F5">
              <w:rPr>
                <w:noProof/>
                <w:webHidden/>
              </w:rPr>
            </w:r>
            <w:r w:rsidR="000B21F5">
              <w:rPr>
                <w:noProof/>
                <w:webHidden/>
              </w:rPr>
              <w:fldChar w:fldCharType="separate"/>
            </w:r>
            <w:r w:rsidR="000B21F5">
              <w:rPr>
                <w:noProof/>
                <w:webHidden/>
              </w:rPr>
              <w:t>24</w:t>
            </w:r>
            <w:r w:rsidR="000B21F5">
              <w:rPr>
                <w:noProof/>
                <w:webHidden/>
              </w:rPr>
              <w:fldChar w:fldCharType="end"/>
            </w:r>
          </w:hyperlink>
        </w:p>
        <w:p w14:paraId="68124C33" w14:textId="5836833B" w:rsidR="000B21F5" w:rsidRDefault="00C40C75">
          <w:pPr>
            <w:pStyle w:val="TOC1"/>
            <w:tabs>
              <w:tab w:val="left" w:pos="440"/>
              <w:tab w:val="right" w:leader="dot" w:pos="9016"/>
            </w:tabs>
            <w:rPr>
              <w:rFonts w:eastAsiaTheme="minorEastAsia" w:cstheme="minorBidi"/>
              <w:noProof/>
              <w:lang w:eastAsia="hr-HR"/>
            </w:rPr>
          </w:pPr>
          <w:hyperlink w:anchor="_Toc56954036" w:history="1">
            <w:r w:rsidR="000B21F5" w:rsidRPr="00D478C0">
              <w:rPr>
                <w:rStyle w:val="Hyperlink"/>
                <w:bCs/>
                <w:noProof/>
                <w:lang w:val="en-US"/>
              </w:rPr>
              <w:t>3</w:t>
            </w:r>
            <w:r w:rsidR="000B21F5">
              <w:rPr>
                <w:rFonts w:eastAsiaTheme="minorEastAsia" w:cstheme="minorBidi"/>
                <w:noProof/>
                <w:lang w:eastAsia="hr-HR"/>
              </w:rPr>
              <w:tab/>
            </w:r>
            <w:r w:rsidR="000B21F5" w:rsidRPr="00D478C0">
              <w:rPr>
                <w:rStyle w:val="Hyperlink"/>
                <w:noProof/>
                <w:lang w:val="en-US"/>
              </w:rPr>
              <w:t>ENVIRONMENTAL AND SOCIAL BASELINE INFORMATION</w:t>
            </w:r>
            <w:r w:rsidR="000B21F5">
              <w:rPr>
                <w:noProof/>
                <w:webHidden/>
              </w:rPr>
              <w:tab/>
            </w:r>
            <w:r w:rsidR="000B21F5">
              <w:rPr>
                <w:noProof/>
                <w:webHidden/>
              </w:rPr>
              <w:fldChar w:fldCharType="begin"/>
            </w:r>
            <w:r w:rsidR="000B21F5">
              <w:rPr>
                <w:noProof/>
                <w:webHidden/>
              </w:rPr>
              <w:instrText xml:space="preserve"> PAGEREF _Toc56954036 \h </w:instrText>
            </w:r>
            <w:r w:rsidR="000B21F5">
              <w:rPr>
                <w:noProof/>
                <w:webHidden/>
              </w:rPr>
            </w:r>
            <w:r w:rsidR="000B21F5">
              <w:rPr>
                <w:noProof/>
                <w:webHidden/>
              </w:rPr>
              <w:fldChar w:fldCharType="separate"/>
            </w:r>
            <w:r w:rsidR="000B21F5">
              <w:rPr>
                <w:noProof/>
                <w:webHidden/>
              </w:rPr>
              <w:t>26</w:t>
            </w:r>
            <w:r w:rsidR="000B21F5">
              <w:rPr>
                <w:noProof/>
                <w:webHidden/>
              </w:rPr>
              <w:fldChar w:fldCharType="end"/>
            </w:r>
          </w:hyperlink>
        </w:p>
        <w:p w14:paraId="2102320C" w14:textId="31138395" w:rsidR="000B21F5" w:rsidRDefault="00C40C75">
          <w:pPr>
            <w:pStyle w:val="TOC2"/>
            <w:tabs>
              <w:tab w:val="left" w:pos="880"/>
              <w:tab w:val="right" w:leader="dot" w:pos="9016"/>
            </w:tabs>
            <w:rPr>
              <w:rFonts w:eastAsiaTheme="minorEastAsia" w:cstheme="minorBidi"/>
              <w:noProof/>
              <w:lang w:eastAsia="hr-HR"/>
            </w:rPr>
          </w:pPr>
          <w:hyperlink w:anchor="_Toc56954037" w:history="1">
            <w:r w:rsidR="000B21F5" w:rsidRPr="00D478C0">
              <w:rPr>
                <w:rStyle w:val="Hyperlink"/>
                <w:bCs/>
                <w:noProof/>
                <w:lang w:val="en-US"/>
              </w:rPr>
              <w:t>3.1</w:t>
            </w:r>
            <w:r w:rsidR="000B21F5">
              <w:rPr>
                <w:rFonts w:eastAsiaTheme="minorEastAsia" w:cstheme="minorBidi"/>
                <w:noProof/>
                <w:lang w:eastAsia="hr-HR"/>
              </w:rPr>
              <w:tab/>
            </w:r>
            <w:r w:rsidR="000B21F5" w:rsidRPr="00D478C0">
              <w:rPr>
                <w:rStyle w:val="Hyperlink"/>
                <w:noProof/>
                <w:lang w:val="en-US"/>
              </w:rPr>
              <w:t>Environmental baseline and relevant potential issues</w:t>
            </w:r>
            <w:r w:rsidR="000B21F5">
              <w:rPr>
                <w:noProof/>
                <w:webHidden/>
              </w:rPr>
              <w:tab/>
            </w:r>
            <w:r w:rsidR="000B21F5">
              <w:rPr>
                <w:noProof/>
                <w:webHidden/>
              </w:rPr>
              <w:fldChar w:fldCharType="begin"/>
            </w:r>
            <w:r w:rsidR="000B21F5">
              <w:rPr>
                <w:noProof/>
                <w:webHidden/>
              </w:rPr>
              <w:instrText xml:space="preserve"> PAGEREF _Toc56954037 \h </w:instrText>
            </w:r>
            <w:r w:rsidR="000B21F5">
              <w:rPr>
                <w:noProof/>
                <w:webHidden/>
              </w:rPr>
            </w:r>
            <w:r w:rsidR="000B21F5">
              <w:rPr>
                <w:noProof/>
                <w:webHidden/>
              </w:rPr>
              <w:fldChar w:fldCharType="separate"/>
            </w:r>
            <w:r w:rsidR="000B21F5">
              <w:rPr>
                <w:noProof/>
                <w:webHidden/>
              </w:rPr>
              <w:t>26</w:t>
            </w:r>
            <w:r w:rsidR="000B21F5">
              <w:rPr>
                <w:noProof/>
                <w:webHidden/>
              </w:rPr>
              <w:fldChar w:fldCharType="end"/>
            </w:r>
          </w:hyperlink>
        </w:p>
        <w:p w14:paraId="6C46B0F3" w14:textId="1CDBBC4B" w:rsidR="000B21F5" w:rsidRDefault="00C40C75">
          <w:pPr>
            <w:pStyle w:val="TOC3"/>
            <w:tabs>
              <w:tab w:val="left" w:pos="1320"/>
              <w:tab w:val="right" w:leader="dot" w:pos="9016"/>
            </w:tabs>
            <w:rPr>
              <w:rFonts w:eastAsiaTheme="minorEastAsia" w:cstheme="minorBidi"/>
              <w:noProof/>
              <w:lang w:eastAsia="hr-HR"/>
            </w:rPr>
          </w:pPr>
          <w:hyperlink w:anchor="_Toc56954038" w:history="1">
            <w:r w:rsidR="000B21F5" w:rsidRPr="00D478C0">
              <w:rPr>
                <w:rStyle w:val="Hyperlink"/>
                <w:bCs/>
                <w:noProof/>
                <w:lang w:val="en-US"/>
              </w:rPr>
              <w:t>3.1.1</w:t>
            </w:r>
            <w:r w:rsidR="000B21F5">
              <w:rPr>
                <w:rFonts w:eastAsiaTheme="minorEastAsia" w:cstheme="minorBidi"/>
                <w:noProof/>
                <w:lang w:eastAsia="hr-HR"/>
              </w:rPr>
              <w:tab/>
            </w:r>
            <w:r w:rsidR="000B21F5" w:rsidRPr="00D478C0">
              <w:rPr>
                <w:rStyle w:val="Hyperlink"/>
                <w:noProof/>
                <w:lang w:val="en-US"/>
              </w:rPr>
              <w:t>Air emissions and air quality</w:t>
            </w:r>
            <w:r w:rsidR="000B21F5">
              <w:rPr>
                <w:noProof/>
                <w:webHidden/>
              </w:rPr>
              <w:tab/>
            </w:r>
            <w:r w:rsidR="000B21F5">
              <w:rPr>
                <w:noProof/>
                <w:webHidden/>
              </w:rPr>
              <w:fldChar w:fldCharType="begin"/>
            </w:r>
            <w:r w:rsidR="000B21F5">
              <w:rPr>
                <w:noProof/>
                <w:webHidden/>
              </w:rPr>
              <w:instrText xml:space="preserve"> PAGEREF _Toc56954038 \h </w:instrText>
            </w:r>
            <w:r w:rsidR="000B21F5">
              <w:rPr>
                <w:noProof/>
                <w:webHidden/>
              </w:rPr>
            </w:r>
            <w:r w:rsidR="000B21F5">
              <w:rPr>
                <w:noProof/>
                <w:webHidden/>
              </w:rPr>
              <w:fldChar w:fldCharType="separate"/>
            </w:r>
            <w:r w:rsidR="000B21F5">
              <w:rPr>
                <w:noProof/>
                <w:webHidden/>
              </w:rPr>
              <w:t>26</w:t>
            </w:r>
            <w:r w:rsidR="000B21F5">
              <w:rPr>
                <w:noProof/>
                <w:webHidden/>
              </w:rPr>
              <w:fldChar w:fldCharType="end"/>
            </w:r>
          </w:hyperlink>
        </w:p>
        <w:p w14:paraId="6EFF5C20" w14:textId="3C5D3C4B" w:rsidR="000B21F5" w:rsidRDefault="00C40C75">
          <w:pPr>
            <w:pStyle w:val="TOC3"/>
            <w:tabs>
              <w:tab w:val="left" w:pos="1320"/>
              <w:tab w:val="right" w:leader="dot" w:pos="9016"/>
            </w:tabs>
            <w:rPr>
              <w:rFonts w:eastAsiaTheme="minorEastAsia" w:cstheme="minorBidi"/>
              <w:noProof/>
              <w:lang w:eastAsia="hr-HR"/>
            </w:rPr>
          </w:pPr>
          <w:hyperlink w:anchor="_Toc56954039" w:history="1">
            <w:r w:rsidR="000B21F5" w:rsidRPr="00D478C0">
              <w:rPr>
                <w:rStyle w:val="Hyperlink"/>
                <w:bCs/>
                <w:noProof/>
                <w:lang w:val="en-US"/>
              </w:rPr>
              <w:t>3.1.2</w:t>
            </w:r>
            <w:r w:rsidR="000B21F5">
              <w:rPr>
                <w:rFonts w:eastAsiaTheme="minorEastAsia" w:cstheme="minorBidi"/>
                <w:noProof/>
                <w:lang w:eastAsia="hr-HR"/>
              </w:rPr>
              <w:tab/>
            </w:r>
            <w:r w:rsidR="000B21F5" w:rsidRPr="00D478C0">
              <w:rPr>
                <w:rStyle w:val="Hyperlink"/>
                <w:noProof/>
                <w:lang w:val="en-US"/>
              </w:rPr>
              <w:t>Water quality</w:t>
            </w:r>
            <w:r w:rsidR="000B21F5">
              <w:rPr>
                <w:noProof/>
                <w:webHidden/>
              </w:rPr>
              <w:tab/>
            </w:r>
            <w:r w:rsidR="000B21F5">
              <w:rPr>
                <w:noProof/>
                <w:webHidden/>
              </w:rPr>
              <w:fldChar w:fldCharType="begin"/>
            </w:r>
            <w:r w:rsidR="000B21F5">
              <w:rPr>
                <w:noProof/>
                <w:webHidden/>
              </w:rPr>
              <w:instrText xml:space="preserve"> PAGEREF _Toc56954039 \h </w:instrText>
            </w:r>
            <w:r w:rsidR="000B21F5">
              <w:rPr>
                <w:noProof/>
                <w:webHidden/>
              </w:rPr>
            </w:r>
            <w:r w:rsidR="000B21F5">
              <w:rPr>
                <w:noProof/>
                <w:webHidden/>
              </w:rPr>
              <w:fldChar w:fldCharType="separate"/>
            </w:r>
            <w:r w:rsidR="000B21F5">
              <w:rPr>
                <w:noProof/>
                <w:webHidden/>
              </w:rPr>
              <w:t>29</w:t>
            </w:r>
            <w:r w:rsidR="000B21F5">
              <w:rPr>
                <w:noProof/>
                <w:webHidden/>
              </w:rPr>
              <w:fldChar w:fldCharType="end"/>
            </w:r>
          </w:hyperlink>
        </w:p>
        <w:p w14:paraId="557E2F96" w14:textId="65661045" w:rsidR="000B21F5" w:rsidRDefault="00C40C75">
          <w:pPr>
            <w:pStyle w:val="TOC3"/>
            <w:tabs>
              <w:tab w:val="left" w:pos="1320"/>
              <w:tab w:val="right" w:leader="dot" w:pos="9016"/>
            </w:tabs>
            <w:rPr>
              <w:rFonts w:eastAsiaTheme="minorEastAsia" w:cstheme="minorBidi"/>
              <w:noProof/>
              <w:lang w:eastAsia="hr-HR"/>
            </w:rPr>
          </w:pPr>
          <w:hyperlink w:anchor="_Toc56954040" w:history="1">
            <w:r w:rsidR="000B21F5" w:rsidRPr="00D478C0">
              <w:rPr>
                <w:rStyle w:val="Hyperlink"/>
                <w:bCs/>
                <w:noProof/>
                <w:lang w:val="en-US"/>
              </w:rPr>
              <w:t>3.1.3</w:t>
            </w:r>
            <w:r w:rsidR="000B21F5">
              <w:rPr>
                <w:rFonts w:eastAsiaTheme="minorEastAsia" w:cstheme="minorBidi"/>
                <w:noProof/>
                <w:lang w:eastAsia="hr-HR"/>
              </w:rPr>
              <w:tab/>
            </w:r>
            <w:r w:rsidR="000B21F5" w:rsidRPr="00D478C0">
              <w:rPr>
                <w:rStyle w:val="Hyperlink"/>
                <w:noProof/>
                <w:lang w:val="en-US"/>
              </w:rPr>
              <w:t>Waste management</w:t>
            </w:r>
            <w:r w:rsidR="000B21F5">
              <w:rPr>
                <w:noProof/>
                <w:webHidden/>
              </w:rPr>
              <w:tab/>
            </w:r>
            <w:r w:rsidR="000B21F5">
              <w:rPr>
                <w:noProof/>
                <w:webHidden/>
              </w:rPr>
              <w:fldChar w:fldCharType="begin"/>
            </w:r>
            <w:r w:rsidR="000B21F5">
              <w:rPr>
                <w:noProof/>
                <w:webHidden/>
              </w:rPr>
              <w:instrText xml:space="preserve"> PAGEREF _Toc56954040 \h </w:instrText>
            </w:r>
            <w:r w:rsidR="000B21F5">
              <w:rPr>
                <w:noProof/>
                <w:webHidden/>
              </w:rPr>
            </w:r>
            <w:r w:rsidR="000B21F5">
              <w:rPr>
                <w:noProof/>
                <w:webHidden/>
              </w:rPr>
              <w:fldChar w:fldCharType="separate"/>
            </w:r>
            <w:r w:rsidR="000B21F5">
              <w:rPr>
                <w:noProof/>
                <w:webHidden/>
              </w:rPr>
              <w:t>31</w:t>
            </w:r>
            <w:r w:rsidR="000B21F5">
              <w:rPr>
                <w:noProof/>
                <w:webHidden/>
              </w:rPr>
              <w:fldChar w:fldCharType="end"/>
            </w:r>
          </w:hyperlink>
        </w:p>
        <w:p w14:paraId="64F45FFC" w14:textId="0EED5427" w:rsidR="000B21F5" w:rsidRDefault="00C40C75">
          <w:pPr>
            <w:pStyle w:val="TOC3"/>
            <w:tabs>
              <w:tab w:val="left" w:pos="1320"/>
              <w:tab w:val="right" w:leader="dot" w:pos="9016"/>
            </w:tabs>
            <w:rPr>
              <w:rFonts w:eastAsiaTheme="minorEastAsia" w:cstheme="minorBidi"/>
              <w:noProof/>
              <w:lang w:eastAsia="hr-HR"/>
            </w:rPr>
          </w:pPr>
          <w:hyperlink w:anchor="_Toc56954041" w:history="1">
            <w:r w:rsidR="000B21F5" w:rsidRPr="00D478C0">
              <w:rPr>
                <w:rStyle w:val="Hyperlink"/>
                <w:bCs/>
                <w:noProof/>
                <w:lang w:val="en-US"/>
              </w:rPr>
              <w:t>3.1.4</w:t>
            </w:r>
            <w:r w:rsidR="000B21F5">
              <w:rPr>
                <w:rFonts w:eastAsiaTheme="minorEastAsia" w:cstheme="minorBidi"/>
                <w:noProof/>
                <w:lang w:eastAsia="hr-HR"/>
              </w:rPr>
              <w:tab/>
            </w:r>
            <w:r w:rsidR="000B21F5" w:rsidRPr="00D478C0">
              <w:rPr>
                <w:rStyle w:val="Hyperlink"/>
                <w:noProof/>
                <w:lang w:val="en-US"/>
              </w:rPr>
              <w:t>Noise</w:t>
            </w:r>
            <w:r w:rsidR="000B21F5">
              <w:rPr>
                <w:noProof/>
                <w:webHidden/>
              </w:rPr>
              <w:tab/>
            </w:r>
            <w:r w:rsidR="000B21F5">
              <w:rPr>
                <w:noProof/>
                <w:webHidden/>
              </w:rPr>
              <w:fldChar w:fldCharType="begin"/>
            </w:r>
            <w:r w:rsidR="000B21F5">
              <w:rPr>
                <w:noProof/>
                <w:webHidden/>
              </w:rPr>
              <w:instrText xml:space="preserve"> PAGEREF _Toc56954041 \h </w:instrText>
            </w:r>
            <w:r w:rsidR="000B21F5">
              <w:rPr>
                <w:noProof/>
                <w:webHidden/>
              </w:rPr>
            </w:r>
            <w:r w:rsidR="000B21F5">
              <w:rPr>
                <w:noProof/>
                <w:webHidden/>
              </w:rPr>
              <w:fldChar w:fldCharType="separate"/>
            </w:r>
            <w:r w:rsidR="000B21F5">
              <w:rPr>
                <w:noProof/>
                <w:webHidden/>
              </w:rPr>
              <w:t>34</w:t>
            </w:r>
            <w:r w:rsidR="000B21F5">
              <w:rPr>
                <w:noProof/>
                <w:webHidden/>
              </w:rPr>
              <w:fldChar w:fldCharType="end"/>
            </w:r>
          </w:hyperlink>
        </w:p>
        <w:p w14:paraId="0E13463A" w14:textId="41611175" w:rsidR="000B21F5" w:rsidRDefault="00C40C75">
          <w:pPr>
            <w:pStyle w:val="TOC3"/>
            <w:tabs>
              <w:tab w:val="left" w:pos="1320"/>
              <w:tab w:val="right" w:leader="dot" w:pos="9016"/>
            </w:tabs>
            <w:rPr>
              <w:rFonts w:eastAsiaTheme="minorEastAsia" w:cstheme="minorBidi"/>
              <w:noProof/>
              <w:lang w:eastAsia="hr-HR"/>
            </w:rPr>
          </w:pPr>
          <w:hyperlink w:anchor="_Toc56954042" w:history="1">
            <w:r w:rsidR="000B21F5" w:rsidRPr="00D478C0">
              <w:rPr>
                <w:rStyle w:val="Hyperlink"/>
                <w:bCs/>
                <w:noProof/>
                <w:lang w:val="en-US"/>
              </w:rPr>
              <w:t>3.1.5</w:t>
            </w:r>
            <w:r w:rsidR="000B21F5">
              <w:rPr>
                <w:rFonts w:eastAsiaTheme="minorEastAsia" w:cstheme="minorBidi"/>
                <w:noProof/>
                <w:lang w:eastAsia="hr-HR"/>
              </w:rPr>
              <w:tab/>
            </w:r>
            <w:r w:rsidR="000B21F5" w:rsidRPr="00D478C0">
              <w:rPr>
                <w:rStyle w:val="Hyperlink"/>
                <w:noProof/>
                <w:lang w:val="en-US"/>
              </w:rPr>
              <w:t>Nature protection</w:t>
            </w:r>
            <w:r w:rsidR="000B21F5">
              <w:rPr>
                <w:noProof/>
                <w:webHidden/>
              </w:rPr>
              <w:tab/>
            </w:r>
            <w:r w:rsidR="000B21F5">
              <w:rPr>
                <w:noProof/>
                <w:webHidden/>
              </w:rPr>
              <w:fldChar w:fldCharType="begin"/>
            </w:r>
            <w:r w:rsidR="000B21F5">
              <w:rPr>
                <w:noProof/>
                <w:webHidden/>
              </w:rPr>
              <w:instrText xml:space="preserve"> PAGEREF _Toc56954042 \h </w:instrText>
            </w:r>
            <w:r w:rsidR="000B21F5">
              <w:rPr>
                <w:noProof/>
                <w:webHidden/>
              </w:rPr>
            </w:r>
            <w:r w:rsidR="000B21F5">
              <w:rPr>
                <w:noProof/>
                <w:webHidden/>
              </w:rPr>
              <w:fldChar w:fldCharType="separate"/>
            </w:r>
            <w:r w:rsidR="000B21F5">
              <w:rPr>
                <w:noProof/>
                <w:webHidden/>
              </w:rPr>
              <w:t>35</w:t>
            </w:r>
            <w:r w:rsidR="000B21F5">
              <w:rPr>
                <w:noProof/>
                <w:webHidden/>
              </w:rPr>
              <w:fldChar w:fldCharType="end"/>
            </w:r>
          </w:hyperlink>
        </w:p>
        <w:p w14:paraId="1479E655" w14:textId="7CCE6F8A" w:rsidR="000B21F5" w:rsidRDefault="00C40C75">
          <w:pPr>
            <w:pStyle w:val="TOC3"/>
            <w:tabs>
              <w:tab w:val="left" w:pos="1320"/>
              <w:tab w:val="right" w:leader="dot" w:pos="9016"/>
            </w:tabs>
            <w:rPr>
              <w:rFonts w:eastAsiaTheme="minorEastAsia" w:cstheme="minorBidi"/>
              <w:noProof/>
              <w:lang w:eastAsia="hr-HR"/>
            </w:rPr>
          </w:pPr>
          <w:hyperlink w:anchor="_Toc56954043" w:history="1">
            <w:r w:rsidR="000B21F5" w:rsidRPr="00D478C0">
              <w:rPr>
                <w:rStyle w:val="Hyperlink"/>
                <w:bCs/>
                <w:noProof/>
                <w:lang w:val="en-US"/>
              </w:rPr>
              <w:t>3.1.6</w:t>
            </w:r>
            <w:r w:rsidR="000B21F5">
              <w:rPr>
                <w:rFonts w:eastAsiaTheme="minorEastAsia" w:cstheme="minorBidi"/>
                <w:noProof/>
                <w:lang w:eastAsia="hr-HR"/>
              </w:rPr>
              <w:tab/>
            </w:r>
            <w:r w:rsidR="000B21F5" w:rsidRPr="00D478C0">
              <w:rPr>
                <w:rStyle w:val="Hyperlink"/>
                <w:noProof/>
                <w:lang w:val="en-US"/>
              </w:rPr>
              <w:t>Climate change</w:t>
            </w:r>
            <w:r w:rsidR="000B21F5">
              <w:rPr>
                <w:noProof/>
                <w:webHidden/>
              </w:rPr>
              <w:tab/>
            </w:r>
            <w:r w:rsidR="000B21F5">
              <w:rPr>
                <w:noProof/>
                <w:webHidden/>
              </w:rPr>
              <w:fldChar w:fldCharType="begin"/>
            </w:r>
            <w:r w:rsidR="000B21F5">
              <w:rPr>
                <w:noProof/>
                <w:webHidden/>
              </w:rPr>
              <w:instrText xml:space="preserve"> PAGEREF _Toc56954043 \h </w:instrText>
            </w:r>
            <w:r w:rsidR="000B21F5">
              <w:rPr>
                <w:noProof/>
                <w:webHidden/>
              </w:rPr>
            </w:r>
            <w:r w:rsidR="000B21F5">
              <w:rPr>
                <w:noProof/>
                <w:webHidden/>
              </w:rPr>
              <w:fldChar w:fldCharType="separate"/>
            </w:r>
            <w:r w:rsidR="000B21F5">
              <w:rPr>
                <w:noProof/>
                <w:webHidden/>
              </w:rPr>
              <w:t>38</w:t>
            </w:r>
            <w:r w:rsidR="000B21F5">
              <w:rPr>
                <w:noProof/>
                <w:webHidden/>
              </w:rPr>
              <w:fldChar w:fldCharType="end"/>
            </w:r>
          </w:hyperlink>
        </w:p>
        <w:p w14:paraId="2385F464" w14:textId="125ECB8F" w:rsidR="000B21F5" w:rsidRDefault="00C40C75">
          <w:pPr>
            <w:pStyle w:val="TOC3"/>
            <w:tabs>
              <w:tab w:val="left" w:pos="1320"/>
              <w:tab w:val="right" w:leader="dot" w:pos="9016"/>
            </w:tabs>
            <w:rPr>
              <w:rFonts w:eastAsiaTheme="minorEastAsia" w:cstheme="minorBidi"/>
              <w:noProof/>
              <w:lang w:eastAsia="hr-HR"/>
            </w:rPr>
          </w:pPr>
          <w:hyperlink w:anchor="_Toc56954044" w:history="1">
            <w:r w:rsidR="000B21F5" w:rsidRPr="00D478C0">
              <w:rPr>
                <w:rStyle w:val="Hyperlink"/>
                <w:bCs/>
                <w:noProof/>
                <w:lang w:val="en-GB"/>
              </w:rPr>
              <w:t>3.1.7</w:t>
            </w:r>
            <w:r w:rsidR="000B21F5">
              <w:rPr>
                <w:rFonts w:eastAsiaTheme="minorEastAsia" w:cstheme="minorBidi"/>
                <w:noProof/>
                <w:lang w:eastAsia="hr-HR"/>
              </w:rPr>
              <w:tab/>
            </w:r>
            <w:r w:rsidR="000B21F5" w:rsidRPr="00D478C0">
              <w:rPr>
                <w:rStyle w:val="Hyperlink"/>
                <w:noProof/>
                <w:lang w:val="en-GB"/>
              </w:rPr>
              <w:t>Cultural heritage</w:t>
            </w:r>
            <w:r w:rsidR="000B21F5">
              <w:rPr>
                <w:noProof/>
                <w:webHidden/>
              </w:rPr>
              <w:tab/>
            </w:r>
            <w:r w:rsidR="000B21F5">
              <w:rPr>
                <w:noProof/>
                <w:webHidden/>
              </w:rPr>
              <w:fldChar w:fldCharType="begin"/>
            </w:r>
            <w:r w:rsidR="000B21F5">
              <w:rPr>
                <w:noProof/>
                <w:webHidden/>
              </w:rPr>
              <w:instrText xml:space="preserve"> PAGEREF _Toc56954044 \h </w:instrText>
            </w:r>
            <w:r w:rsidR="000B21F5">
              <w:rPr>
                <w:noProof/>
                <w:webHidden/>
              </w:rPr>
            </w:r>
            <w:r w:rsidR="000B21F5">
              <w:rPr>
                <w:noProof/>
                <w:webHidden/>
              </w:rPr>
              <w:fldChar w:fldCharType="separate"/>
            </w:r>
            <w:r w:rsidR="000B21F5">
              <w:rPr>
                <w:noProof/>
                <w:webHidden/>
              </w:rPr>
              <w:t>39</w:t>
            </w:r>
            <w:r w:rsidR="000B21F5">
              <w:rPr>
                <w:noProof/>
                <w:webHidden/>
              </w:rPr>
              <w:fldChar w:fldCharType="end"/>
            </w:r>
          </w:hyperlink>
        </w:p>
        <w:p w14:paraId="64FD6BEE" w14:textId="5031B131" w:rsidR="000B21F5" w:rsidRDefault="00C40C75">
          <w:pPr>
            <w:pStyle w:val="TOC2"/>
            <w:tabs>
              <w:tab w:val="left" w:pos="880"/>
              <w:tab w:val="right" w:leader="dot" w:pos="9016"/>
            </w:tabs>
            <w:rPr>
              <w:rFonts w:eastAsiaTheme="minorEastAsia" w:cstheme="minorBidi"/>
              <w:noProof/>
              <w:lang w:eastAsia="hr-HR"/>
            </w:rPr>
          </w:pPr>
          <w:hyperlink w:anchor="_Toc56954045" w:history="1">
            <w:r w:rsidR="000B21F5" w:rsidRPr="00D478C0">
              <w:rPr>
                <w:rStyle w:val="Hyperlink"/>
                <w:bCs/>
                <w:noProof/>
                <w:lang w:val="en-US"/>
              </w:rPr>
              <w:t>3.2</w:t>
            </w:r>
            <w:r w:rsidR="000B21F5">
              <w:rPr>
                <w:rFonts w:eastAsiaTheme="minorEastAsia" w:cstheme="minorBidi"/>
                <w:noProof/>
                <w:lang w:eastAsia="hr-HR"/>
              </w:rPr>
              <w:tab/>
            </w:r>
            <w:r w:rsidR="000B21F5" w:rsidRPr="00D478C0">
              <w:rPr>
                <w:rStyle w:val="Hyperlink"/>
                <w:noProof/>
                <w:lang w:val="en-US"/>
              </w:rPr>
              <w:t>Social baseline and relevant potential issues</w:t>
            </w:r>
            <w:r w:rsidR="000B21F5">
              <w:rPr>
                <w:noProof/>
                <w:webHidden/>
              </w:rPr>
              <w:tab/>
            </w:r>
            <w:r w:rsidR="000B21F5">
              <w:rPr>
                <w:noProof/>
                <w:webHidden/>
              </w:rPr>
              <w:fldChar w:fldCharType="begin"/>
            </w:r>
            <w:r w:rsidR="000B21F5">
              <w:rPr>
                <w:noProof/>
                <w:webHidden/>
              </w:rPr>
              <w:instrText xml:space="preserve"> PAGEREF _Toc56954045 \h </w:instrText>
            </w:r>
            <w:r w:rsidR="000B21F5">
              <w:rPr>
                <w:noProof/>
                <w:webHidden/>
              </w:rPr>
            </w:r>
            <w:r w:rsidR="000B21F5">
              <w:rPr>
                <w:noProof/>
                <w:webHidden/>
              </w:rPr>
              <w:fldChar w:fldCharType="separate"/>
            </w:r>
            <w:r w:rsidR="000B21F5">
              <w:rPr>
                <w:noProof/>
                <w:webHidden/>
              </w:rPr>
              <w:t>42</w:t>
            </w:r>
            <w:r w:rsidR="000B21F5">
              <w:rPr>
                <w:noProof/>
                <w:webHidden/>
              </w:rPr>
              <w:fldChar w:fldCharType="end"/>
            </w:r>
          </w:hyperlink>
        </w:p>
        <w:p w14:paraId="69226DDD" w14:textId="0B50A71B" w:rsidR="000B21F5" w:rsidRDefault="00C40C75">
          <w:pPr>
            <w:pStyle w:val="TOC3"/>
            <w:tabs>
              <w:tab w:val="left" w:pos="1320"/>
              <w:tab w:val="right" w:leader="dot" w:pos="9016"/>
            </w:tabs>
            <w:rPr>
              <w:rFonts w:eastAsiaTheme="minorEastAsia" w:cstheme="minorBidi"/>
              <w:noProof/>
              <w:lang w:eastAsia="hr-HR"/>
            </w:rPr>
          </w:pPr>
          <w:hyperlink w:anchor="_Toc56954046" w:history="1">
            <w:r w:rsidR="000B21F5" w:rsidRPr="00D478C0">
              <w:rPr>
                <w:rStyle w:val="Hyperlink"/>
                <w:bCs/>
                <w:noProof/>
                <w:lang w:val="en-US"/>
              </w:rPr>
              <w:t>3.2.1</w:t>
            </w:r>
            <w:r w:rsidR="000B21F5">
              <w:rPr>
                <w:rFonts w:eastAsiaTheme="minorEastAsia" w:cstheme="minorBidi"/>
                <w:noProof/>
                <w:lang w:eastAsia="hr-HR"/>
              </w:rPr>
              <w:tab/>
            </w:r>
            <w:r w:rsidR="000B21F5" w:rsidRPr="00D478C0">
              <w:rPr>
                <w:rStyle w:val="Hyperlink"/>
                <w:noProof/>
                <w:lang w:val="en-US"/>
              </w:rPr>
              <w:t>General Information on Administrative division</w:t>
            </w:r>
            <w:r w:rsidR="000B21F5">
              <w:rPr>
                <w:noProof/>
                <w:webHidden/>
              </w:rPr>
              <w:tab/>
            </w:r>
            <w:r w:rsidR="000B21F5">
              <w:rPr>
                <w:noProof/>
                <w:webHidden/>
              </w:rPr>
              <w:fldChar w:fldCharType="begin"/>
            </w:r>
            <w:r w:rsidR="000B21F5">
              <w:rPr>
                <w:noProof/>
                <w:webHidden/>
              </w:rPr>
              <w:instrText xml:space="preserve"> PAGEREF _Toc56954046 \h </w:instrText>
            </w:r>
            <w:r w:rsidR="000B21F5">
              <w:rPr>
                <w:noProof/>
                <w:webHidden/>
              </w:rPr>
            </w:r>
            <w:r w:rsidR="000B21F5">
              <w:rPr>
                <w:noProof/>
                <w:webHidden/>
              </w:rPr>
              <w:fldChar w:fldCharType="separate"/>
            </w:r>
            <w:r w:rsidR="000B21F5">
              <w:rPr>
                <w:noProof/>
                <w:webHidden/>
              </w:rPr>
              <w:t>42</w:t>
            </w:r>
            <w:r w:rsidR="000B21F5">
              <w:rPr>
                <w:noProof/>
                <w:webHidden/>
              </w:rPr>
              <w:fldChar w:fldCharType="end"/>
            </w:r>
          </w:hyperlink>
        </w:p>
        <w:p w14:paraId="68DDA068" w14:textId="6C573FF5" w:rsidR="000B21F5" w:rsidRDefault="00C40C75">
          <w:pPr>
            <w:pStyle w:val="TOC3"/>
            <w:tabs>
              <w:tab w:val="left" w:pos="1320"/>
              <w:tab w:val="right" w:leader="dot" w:pos="9016"/>
            </w:tabs>
            <w:rPr>
              <w:rFonts w:eastAsiaTheme="minorEastAsia" w:cstheme="minorBidi"/>
              <w:noProof/>
              <w:lang w:eastAsia="hr-HR"/>
            </w:rPr>
          </w:pPr>
          <w:hyperlink w:anchor="_Toc56954047" w:history="1">
            <w:r w:rsidR="000B21F5" w:rsidRPr="00D478C0">
              <w:rPr>
                <w:rStyle w:val="Hyperlink"/>
                <w:bCs/>
                <w:noProof/>
                <w:lang w:val="en-US"/>
              </w:rPr>
              <w:t>3.2.2</w:t>
            </w:r>
            <w:r w:rsidR="000B21F5">
              <w:rPr>
                <w:rFonts w:eastAsiaTheme="minorEastAsia" w:cstheme="minorBidi"/>
                <w:noProof/>
                <w:lang w:eastAsia="hr-HR"/>
              </w:rPr>
              <w:tab/>
            </w:r>
            <w:r w:rsidR="000B21F5" w:rsidRPr="00D478C0">
              <w:rPr>
                <w:rStyle w:val="Hyperlink"/>
                <w:noProof/>
                <w:lang w:val="en-US"/>
              </w:rPr>
              <w:t>Population</w:t>
            </w:r>
            <w:r w:rsidR="000B21F5">
              <w:rPr>
                <w:noProof/>
                <w:webHidden/>
              </w:rPr>
              <w:tab/>
            </w:r>
            <w:r w:rsidR="000B21F5">
              <w:rPr>
                <w:noProof/>
                <w:webHidden/>
              </w:rPr>
              <w:fldChar w:fldCharType="begin"/>
            </w:r>
            <w:r w:rsidR="000B21F5">
              <w:rPr>
                <w:noProof/>
                <w:webHidden/>
              </w:rPr>
              <w:instrText xml:space="preserve"> PAGEREF _Toc56954047 \h </w:instrText>
            </w:r>
            <w:r w:rsidR="000B21F5">
              <w:rPr>
                <w:noProof/>
                <w:webHidden/>
              </w:rPr>
            </w:r>
            <w:r w:rsidR="000B21F5">
              <w:rPr>
                <w:noProof/>
                <w:webHidden/>
              </w:rPr>
              <w:fldChar w:fldCharType="separate"/>
            </w:r>
            <w:r w:rsidR="000B21F5">
              <w:rPr>
                <w:noProof/>
                <w:webHidden/>
              </w:rPr>
              <w:t>44</w:t>
            </w:r>
            <w:r w:rsidR="000B21F5">
              <w:rPr>
                <w:noProof/>
                <w:webHidden/>
              </w:rPr>
              <w:fldChar w:fldCharType="end"/>
            </w:r>
          </w:hyperlink>
        </w:p>
        <w:p w14:paraId="195FAFEB" w14:textId="679379B1" w:rsidR="000B21F5" w:rsidRDefault="00C40C75">
          <w:pPr>
            <w:pStyle w:val="TOC3"/>
            <w:tabs>
              <w:tab w:val="left" w:pos="1320"/>
              <w:tab w:val="right" w:leader="dot" w:pos="9016"/>
            </w:tabs>
            <w:rPr>
              <w:rFonts w:eastAsiaTheme="minorEastAsia" w:cstheme="minorBidi"/>
              <w:noProof/>
              <w:lang w:eastAsia="hr-HR"/>
            </w:rPr>
          </w:pPr>
          <w:hyperlink w:anchor="_Toc56954048" w:history="1">
            <w:r w:rsidR="000B21F5" w:rsidRPr="00D478C0">
              <w:rPr>
                <w:rStyle w:val="Hyperlink"/>
                <w:bCs/>
                <w:noProof/>
                <w:lang w:val="en-US"/>
              </w:rPr>
              <w:t>3.2.3</w:t>
            </w:r>
            <w:r w:rsidR="000B21F5">
              <w:rPr>
                <w:rFonts w:eastAsiaTheme="minorEastAsia" w:cstheme="minorBidi"/>
                <w:noProof/>
                <w:lang w:eastAsia="hr-HR"/>
              </w:rPr>
              <w:tab/>
            </w:r>
            <w:r w:rsidR="000B21F5" w:rsidRPr="00D478C0">
              <w:rPr>
                <w:rStyle w:val="Hyperlink"/>
                <w:noProof/>
                <w:lang w:val="en-US"/>
              </w:rPr>
              <w:t>Economy</w:t>
            </w:r>
            <w:r w:rsidR="000B21F5">
              <w:rPr>
                <w:noProof/>
                <w:webHidden/>
              </w:rPr>
              <w:tab/>
            </w:r>
            <w:r w:rsidR="000B21F5">
              <w:rPr>
                <w:noProof/>
                <w:webHidden/>
              </w:rPr>
              <w:fldChar w:fldCharType="begin"/>
            </w:r>
            <w:r w:rsidR="000B21F5">
              <w:rPr>
                <w:noProof/>
                <w:webHidden/>
              </w:rPr>
              <w:instrText xml:space="preserve"> PAGEREF _Toc56954048 \h </w:instrText>
            </w:r>
            <w:r w:rsidR="000B21F5">
              <w:rPr>
                <w:noProof/>
                <w:webHidden/>
              </w:rPr>
            </w:r>
            <w:r w:rsidR="000B21F5">
              <w:rPr>
                <w:noProof/>
                <w:webHidden/>
              </w:rPr>
              <w:fldChar w:fldCharType="separate"/>
            </w:r>
            <w:r w:rsidR="000B21F5">
              <w:rPr>
                <w:noProof/>
                <w:webHidden/>
              </w:rPr>
              <w:t>45</w:t>
            </w:r>
            <w:r w:rsidR="000B21F5">
              <w:rPr>
                <w:noProof/>
                <w:webHidden/>
              </w:rPr>
              <w:fldChar w:fldCharType="end"/>
            </w:r>
          </w:hyperlink>
        </w:p>
        <w:p w14:paraId="06EC80B3" w14:textId="3852BB8D" w:rsidR="000B21F5" w:rsidRDefault="00C40C75">
          <w:pPr>
            <w:pStyle w:val="TOC3"/>
            <w:tabs>
              <w:tab w:val="left" w:pos="1320"/>
              <w:tab w:val="right" w:leader="dot" w:pos="9016"/>
            </w:tabs>
            <w:rPr>
              <w:rFonts w:eastAsiaTheme="minorEastAsia" w:cstheme="minorBidi"/>
              <w:noProof/>
              <w:lang w:eastAsia="hr-HR"/>
            </w:rPr>
          </w:pPr>
          <w:hyperlink w:anchor="_Toc56954049" w:history="1">
            <w:r w:rsidR="000B21F5" w:rsidRPr="00D478C0">
              <w:rPr>
                <w:rStyle w:val="Hyperlink"/>
                <w:bCs/>
                <w:noProof/>
                <w:lang w:val="en-US"/>
              </w:rPr>
              <w:t>3.2.4</w:t>
            </w:r>
            <w:r w:rsidR="000B21F5">
              <w:rPr>
                <w:rFonts w:eastAsiaTheme="minorEastAsia" w:cstheme="minorBidi"/>
                <w:noProof/>
                <w:lang w:eastAsia="hr-HR"/>
              </w:rPr>
              <w:tab/>
            </w:r>
            <w:r w:rsidR="000B21F5" w:rsidRPr="00D478C0">
              <w:rPr>
                <w:rStyle w:val="Hyperlink"/>
                <w:noProof/>
                <w:lang w:val="en-US"/>
              </w:rPr>
              <w:t>Social protection</w:t>
            </w:r>
            <w:r w:rsidR="000B21F5">
              <w:rPr>
                <w:noProof/>
                <w:webHidden/>
              </w:rPr>
              <w:tab/>
            </w:r>
            <w:r w:rsidR="000B21F5">
              <w:rPr>
                <w:noProof/>
                <w:webHidden/>
              </w:rPr>
              <w:fldChar w:fldCharType="begin"/>
            </w:r>
            <w:r w:rsidR="000B21F5">
              <w:rPr>
                <w:noProof/>
                <w:webHidden/>
              </w:rPr>
              <w:instrText xml:space="preserve"> PAGEREF _Toc56954049 \h </w:instrText>
            </w:r>
            <w:r w:rsidR="000B21F5">
              <w:rPr>
                <w:noProof/>
                <w:webHidden/>
              </w:rPr>
            </w:r>
            <w:r w:rsidR="000B21F5">
              <w:rPr>
                <w:noProof/>
                <w:webHidden/>
              </w:rPr>
              <w:fldChar w:fldCharType="separate"/>
            </w:r>
            <w:r w:rsidR="000B21F5">
              <w:rPr>
                <w:noProof/>
                <w:webHidden/>
              </w:rPr>
              <w:t>47</w:t>
            </w:r>
            <w:r w:rsidR="000B21F5">
              <w:rPr>
                <w:noProof/>
                <w:webHidden/>
              </w:rPr>
              <w:fldChar w:fldCharType="end"/>
            </w:r>
          </w:hyperlink>
        </w:p>
        <w:p w14:paraId="3A11FA97" w14:textId="16E53A7A" w:rsidR="000B21F5" w:rsidRDefault="00C40C75">
          <w:pPr>
            <w:pStyle w:val="TOC3"/>
            <w:tabs>
              <w:tab w:val="left" w:pos="1320"/>
              <w:tab w:val="right" w:leader="dot" w:pos="9016"/>
            </w:tabs>
            <w:rPr>
              <w:rFonts w:eastAsiaTheme="minorEastAsia" w:cstheme="minorBidi"/>
              <w:noProof/>
              <w:lang w:eastAsia="hr-HR"/>
            </w:rPr>
          </w:pPr>
          <w:hyperlink w:anchor="_Toc56954050" w:history="1">
            <w:r w:rsidR="000B21F5" w:rsidRPr="00D478C0">
              <w:rPr>
                <w:rStyle w:val="Hyperlink"/>
                <w:bCs/>
                <w:noProof/>
                <w:lang w:val="en-US"/>
              </w:rPr>
              <w:t>3.2.5</w:t>
            </w:r>
            <w:r w:rsidR="000B21F5">
              <w:rPr>
                <w:rFonts w:eastAsiaTheme="minorEastAsia" w:cstheme="minorBidi"/>
                <w:noProof/>
                <w:lang w:eastAsia="hr-HR"/>
              </w:rPr>
              <w:tab/>
            </w:r>
            <w:r w:rsidR="000B21F5" w:rsidRPr="00D478C0">
              <w:rPr>
                <w:rStyle w:val="Hyperlink"/>
                <w:noProof/>
                <w:lang w:val="en-US"/>
              </w:rPr>
              <w:t>Health Care</w:t>
            </w:r>
            <w:r w:rsidR="000B21F5">
              <w:rPr>
                <w:noProof/>
                <w:webHidden/>
              </w:rPr>
              <w:tab/>
            </w:r>
            <w:r w:rsidR="000B21F5">
              <w:rPr>
                <w:noProof/>
                <w:webHidden/>
              </w:rPr>
              <w:fldChar w:fldCharType="begin"/>
            </w:r>
            <w:r w:rsidR="000B21F5">
              <w:rPr>
                <w:noProof/>
                <w:webHidden/>
              </w:rPr>
              <w:instrText xml:space="preserve"> PAGEREF _Toc56954050 \h </w:instrText>
            </w:r>
            <w:r w:rsidR="000B21F5">
              <w:rPr>
                <w:noProof/>
                <w:webHidden/>
              </w:rPr>
            </w:r>
            <w:r w:rsidR="000B21F5">
              <w:rPr>
                <w:noProof/>
                <w:webHidden/>
              </w:rPr>
              <w:fldChar w:fldCharType="separate"/>
            </w:r>
            <w:r w:rsidR="000B21F5">
              <w:rPr>
                <w:noProof/>
                <w:webHidden/>
              </w:rPr>
              <w:t>48</w:t>
            </w:r>
            <w:r w:rsidR="000B21F5">
              <w:rPr>
                <w:noProof/>
                <w:webHidden/>
              </w:rPr>
              <w:fldChar w:fldCharType="end"/>
            </w:r>
          </w:hyperlink>
        </w:p>
        <w:p w14:paraId="5EC74919" w14:textId="09FCD442" w:rsidR="000B21F5" w:rsidRDefault="00C40C75">
          <w:pPr>
            <w:pStyle w:val="TOC1"/>
            <w:tabs>
              <w:tab w:val="left" w:pos="440"/>
              <w:tab w:val="right" w:leader="dot" w:pos="9016"/>
            </w:tabs>
            <w:rPr>
              <w:rFonts w:eastAsiaTheme="minorEastAsia" w:cstheme="minorBidi"/>
              <w:noProof/>
              <w:lang w:eastAsia="hr-HR"/>
            </w:rPr>
          </w:pPr>
          <w:hyperlink w:anchor="_Toc56954051" w:history="1">
            <w:r w:rsidR="000B21F5" w:rsidRPr="00D478C0">
              <w:rPr>
                <w:rStyle w:val="Hyperlink"/>
                <w:bCs/>
                <w:noProof/>
                <w:lang w:val="en-US"/>
              </w:rPr>
              <w:t>4</w:t>
            </w:r>
            <w:r w:rsidR="000B21F5">
              <w:rPr>
                <w:rFonts w:eastAsiaTheme="minorEastAsia" w:cstheme="minorBidi"/>
                <w:noProof/>
                <w:lang w:eastAsia="hr-HR"/>
              </w:rPr>
              <w:tab/>
            </w:r>
            <w:r w:rsidR="000B21F5" w:rsidRPr="00D478C0">
              <w:rPr>
                <w:rStyle w:val="Hyperlink"/>
                <w:noProof/>
                <w:lang w:val="en-US"/>
              </w:rPr>
              <w:t>NATIONAL ENVIRONMENTAL AND SOCIAL LEGISLATION AND INSTITUTIONS RELEVANT FOR THE PROJECT IMPLEMENTATION</w:t>
            </w:r>
            <w:r w:rsidR="000B21F5">
              <w:rPr>
                <w:noProof/>
                <w:webHidden/>
              </w:rPr>
              <w:tab/>
            </w:r>
            <w:r w:rsidR="000B21F5">
              <w:rPr>
                <w:noProof/>
                <w:webHidden/>
              </w:rPr>
              <w:fldChar w:fldCharType="begin"/>
            </w:r>
            <w:r w:rsidR="000B21F5">
              <w:rPr>
                <w:noProof/>
                <w:webHidden/>
              </w:rPr>
              <w:instrText xml:space="preserve"> PAGEREF _Toc56954051 \h </w:instrText>
            </w:r>
            <w:r w:rsidR="000B21F5">
              <w:rPr>
                <w:noProof/>
                <w:webHidden/>
              </w:rPr>
            </w:r>
            <w:r w:rsidR="000B21F5">
              <w:rPr>
                <w:noProof/>
                <w:webHidden/>
              </w:rPr>
              <w:fldChar w:fldCharType="separate"/>
            </w:r>
            <w:r w:rsidR="000B21F5">
              <w:rPr>
                <w:noProof/>
                <w:webHidden/>
              </w:rPr>
              <w:t>51</w:t>
            </w:r>
            <w:r w:rsidR="000B21F5">
              <w:rPr>
                <w:noProof/>
                <w:webHidden/>
              </w:rPr>
              <w:fldChar w:fldCharType="end"/>
            </w:r>
          </w:hyperlink>
        </w:p>
        <w:p w14:paraId="1E4C208C" w14:textId="0DA10613" w:rsidR="000B21F5" w:rsidRDefault="00C40C75">
          <w:pPr>
            <w:pStyle w:val="TOC2"/>
            <w:tabs>
              <w:tab w:val="left" w:pos="880"/>
              <w:tab w:val="right" w:leader="dot" w:pos="9016"/>
            </w:tabs>
            <w:rPr>
              <w:rFonts w:eastAsiaTheme="minorEastAsia" w:cstheme="minorBidi"/>
              <w:noProof/>
              <w:lang w:eastAsia="hr-HR"/>
            </w:rPr>
          </w:pPr>
          <w:hyperlink w:anchor="_Toc56954052" w:history="1">
            <w:r w:rsidR="000B21F5" w:rsidRPr="00D478C0">
              <w:rPr>
                <w:rStyle w:val="Hyperlink"/>
                <w:bCs/>
                <w:noProof/>
                <w:lang w:val="en-US"/>
              </w:rPr>
              <w:t>4.1</w:t>
            </w:r>
            <w:r w:rsidR="000B21F5">
              <w:rPr>
                <w:rFonts w:eastAsiaTheme="minorEastAsia" w:cstheme="minorBidi"/>
                <w:noProof/>
                <w:lang w:eastAsia="hr-HR"/>
              </w:rPr>
              <w:tab/>
            </w:r>
            <w:r w:rsidR="000B21F5" w:rsidRPr="00D478C0">
              <w:rPr>
                <w:rStyle w:val="Hyperlink"/>
                <w:noProof/>
                <w:lang w:val="en-US"/>
              </w:rPr>
              <w:t>National environmental and social legislation</w:t>
            </w:r>
            <w:r w:rsidR="000B21F5">
              <w:rPr>
                <w:noProof/>
                <w:webHidden/>
              </w:rPr>
              <w:tab/>
            </w:r>
            <w:r w:rsidR="000B21F5">
              <w:rPr>
                <w:noProof/>
                <w:webHidden/>
              </w:rPr>
              <w:fldChar w:fldCharType="begin"/>
            </w:r>
            <w:r w:rsidR="000B21F5">
              <w:rPr>
                <w:noProof/>
                <w:webHidden/>
              </w:rPr>
              <w:instrText xml:space="preserve"> PAGEREF _Toc56954052 \h </w:instrText>
            </w:r>
            <w:r w:rsidR="000B21F5">
              <w:rPr>
                <w:noProof/>
                <w:webHidden/>
              </w:rPr>
            </w:r>
            <w:r w:rsidR="000B21F5">
              <w:rPr>
                <w:noProof/>
                <w:webHidden/>
              </w:rPr>
              <w:fldChar w:fldCharType="separate"/>
            </w:r>
            <w:r w:rsidR="000B21F5">
              <w:rPr>
                <w:noProof/>
                <w:webHidden/>
              </w:rPr>
              <w:t>51</w:t>
            </w:r>
            <w:r w:rsidR="000B21F5">
              <w:rPr>
                <w:noProof/>
                <w:webHidden/>
              </w:rPr>
              <w:fldChar w:fldCharType="end"/>
            </w:r>
          </w:hyperlink>
        </w:p>
        <w:p w14:paraId="698953E1" w14:textId="10576F56" w:rsidR="000B21F5" w:rsidRDefault="00C40C75">
          <w:pPr>
            <w:pStyle w:val="TOC3"/>
            <w:tabs>
              <w:tab w:val="left" w:pos="1320"/>
              <w:tab w:val="right" w:leader="dot" w:pos="9016"/>
            </w:tabs>
            <w:rPr>
              <w:rFonts w:eastAsiaTheme="minorEastAsia" w:cstheme="minorBidi"/>
              <w:noProof/>
              <w:lang w:eastAsia="hr-HR"/>
            </w:rPr>
          </w:pPr>
          <w:hyperlink w:anchor="_Toc56954053" w:history="1">
            <w:r w:rsidR="000B21F5" w:rsidRPr="00D478C0">
              <w:rPr>
                <w:rStyle w:val="Hyperlink"/>
                <w:bCs/>
                <w:noProof/>
                <w:lang w:val="en-US"/>
              </w:rPr>
              <w:t>4.1.1</w:t>
            </w:r>
            <w:r w:rsidR="000B21F5">
              <w:rPr>
                <w:rFonts w:eastAsiaTheme="minorEastAsia" w:cstheme="minorBidi"/>
                <w:noProof/>
                <w:lang w:eastAsia="hr-HR"/>
              </w:rPr>
              <w:tab/>
            </w:r>
            <w:r w:rsidR="000B21F5" w:rsidRPr="00D478C0">
              <w:rPr>
                <w:rStyle w:val="Hyperlink"/>
                <w:noProof/>
                <w:lang w:val="en-US"/>
              </w:rPr>
              <w:t>National environmental legislation</w:t>
            </w:r>
            <w:r w:rsidR="000B21F5">
              <w:rPr>
                <w:noProof/>
                <w:webHidden/>
              </w:rPr>
              <w:tab/>
            </w:r>
            <w:r w:rsidR="000B21F5">
              <w:rPr>
                <w:noProof/>
                <w:webHidden/>
              </w:rPr>
              <w:fldChar w:fldCharType="begin"/>
            </w:r>
            <w:r w:rsidR="000B21F5">
              <w:rPr>
                <w:noProof/>
                <w:webHidden/>
              </w:rPr>
              <w:instrText xml:space="preserve"> PAGEREF _Toc56954053 \h </w:instrText>
            </w:r>
            <w:r w:rsidR="000B21F5">
              <w:rPr>
                <w:noProof/>
                <w:webHidden/>
              </w:rPr>
            </w:r>
            <w:r w:rsidR="000B21F5">
              <w:rPr>
                <w:noProof/>
                <w:webHidden/>
              </w:rPr>
              <w:fldChar w:fldCharType="separate"/>
            </w:r>
            <w:r w:rsidR="000B21F5">
              <w:rPr>
                <w:noProof/>
                <w:webHidden/>
              </w:rPr>
              <w:t>51</w:t>
            </w:r>
            <w:r w:rsidR="000B21F5">
              <w:rPr>
                <w:noProof/>
                <w:webHidden/>
              </w:rPr>
              <w:fldChar w:fldCharType="end"/>
            </w:r>
          </w:hyperlink>
        </w:p>
        <w:p w14:paraId="5463C158" w14:textId="77F1C23F" w:rsidR="000B21F5" w:rsidRDefault="00C40C75">
          <w:pPr>
            <w:pStyle w:val="TOC3"/>
            <w:tabs>
              <w:tab w:val="left" w:pos="1320"/>
              <w:tab w:val="right" w:leader="dot" w:pos="9016"/>
            </w:tabs>
            <w:rPr>
              <w:rFonts w:eastAsiaTheme="minorEastAsia" w:cstheme="minorBidi"/>
              <w:noProof/>
              <w:lang w:eastAsia="hr-HR"/>
            </w:rPr>
          </w:pPr>
          <w:hyperlink w:anchor="_Toc56954054" w:history="1">
            <w:r w:rsidR="000B21F5" w:rsidRPr="00D478C0">
              <w:rPr>
                <w:rStyle w:val="Hyperlink"/>
                <w:bCs/>
                <w:noProof/>
                <w:lang w:val="en-US"/>
              </w:rPr>
              <w:t>4.1.2</w:t>
            </w:r>
            <w:r w:rsidR="000B21F5">
              <w:rPr>
                <w:rFonts w:eastAsiaTheme="minorEastAsia" w:cstheme="minorBidi"/>
                <w:noProof/>
                <w:lang w:eastAsia="hr-HR"/>
              </w:rPr>
              <w:tab/>
            </w:r>
            <w:r w:rsidR="000B21F5" w:rsidRPr="00D478C0">
              <w:rPr>
                <w:rStyle w:val="Hyperlink"/>
                <w:noProof/>
                <w:lang w:val="en-US"/>
              </w:rPr>
              <w:t>National social legislation</w:t>
            </w:r>
            <w:r w:rsidR="000B21F5">
              <w:rPr>
                <w:noProof/>
                <w:webHidden/>
              </w:rPr>
              <w:tab/>
            </w:r>
            <w:r w:rsidR="000B21F5">
              <w:rPr>
                <w:noProof/>
                <w:webHidden/>
              </w:rPr>
              <w:fldChar w:fldCharType="begin"/>
            </w:r>
            <w:r w:rsidR="000B21F5">
              <w:rPr>
                <w:noProof/>
                <w:webHidden/>
              </w:rPr>
              <w:instrText xml:space="preserve"> PAGEREF _Toc56954054 \h </w:instrText>
            </w:r>
            <w:r w:rsidR="000B21F5">
              <w:rPr>
                <w:noProof/>
                <w:webHidden/>
              </w:rPr>
            </w:r>
            <w:r w:rsidR="000B21F5">
              <w:rPr>
                <w:noProof/>
                <w:webHidden/>
              </w:rPr>
              <w:fldChar w:fldCharType="separate"/>
            </w:r>
            <w:r w:rsidR="000B21F5">
              <w:rPr>
                <w:noProof/>
                <w:webHidden/>
              </w:rPr>
              <w:t>55</w:t>
            </w:r>
            <w:r w:rsidR="000B21F5">
              <w:rPr>
                <w:noProof/>
                <w:webHidden/>
              </w:rPr>
              <w:fldChar w:fldCharType="end"/>
            </w:r>
          </w:hyperlink>
        </w:p>
        <w:p w14:paraId="11FD284F" w14:textId="51F36C0A" w:rsidR="000B21F5" w:rsidRDefault="00C40C75">
          <w:pPr>
            <w:pStyle w:val="TOC3"/>
            <w:tabs>
              <w:tab w:val="left" w:pos="1320"/>
              <w:tab w:val="right" w:leader="dot" w:pos="9016"/>
            </w:tabs>
            <w:rPr>
              <w:rFonts w:eastAsiaTheme="minorEastAsia" w:cstheme="minorBidi"/>
              <w:noProof/>
              <w:lang w:eastAsia="hr-HR"/>
            </w:rPr>
          </w:pPr>
          <w:hyperlink w:anchor="_Toc56954055" w:history="1">
            <w:r w:rsidR="000B21F5" w:rsidRPr="00D478C0">
              <w:rPr>
                <w:rStyle w:val="Hyperlink"/>
                <w:bCs/>
                <w:noProof/>
                <w:lang w:val="en-US"/>
              </w:rPr>
              <w:t>4.1.3</w:t>
            </w:r>
            <w:r w:rsidR="000B21F5">
              <w:rPr>
                <w:rFonts w:eastAsiaTheme="minorEastAsia" w:cstheme="minorBidi"/>
                <w:noProof/>
                <w:lang w:eastAsia="hr-HR"/>
              </w:rPr>
              <w:tab/>
            </w:r>
            <w:r w:rsidR="000B21F5" w:rsidRPr="00D478C0">
              <w:rPr>
                <w:rStyle w:val="Hyperlink"/>
                <w:noProof/>
                <w:lang w:val="en-US"/>
              </w:rPr>
              <w:t>Overview of the institutional framework</w:t>
            </w:r>
            <w:r w:rsidR="000B21F5">
              <w:rPr>
                <w:noProof/>
                <w:webHidden/>
              </w:rPr>
              <w:tab/>
            </w:r>
            <w:r w:rsidR="000B21F5">
              <w:rPr>
                <w:noProof/>
                <w:webHidden/>
              </w:rPr>
              <w:fldChar w:fldCharType="begin"/>
            </w:r>
            <w:r w:rsidR="000B21F5">
              <w:rPr>
                <w:noProof/>
                <w:webHidden/>
              </w:rPr>
              <w:instrText xml:space="preserve"> PAGEREF _Toc56954055 \h </w:instrText>
            </w:r>
            <w:r w:rsidR="000B21F5">
              <w:rPr>
                <w:noProof/>
                <w:webHidden/>
              </w:rPr>
            </w:r>
            <w:r w:rsidR="000B21F5">
              <w:rPr>
                <w:noProof/>
                <w:webHidden/>
              </w:rPr>
              <w:fldChar w:fldCharType="separate"/>
            </w:r>
            <w:r w:rsidR="000B21F5">
              <w:rPr>
                <w:noProof/>
                <w:webHidden/>
              </w:rPr>
              <w:t>57</w:t>
            </w:r>
            <w:r w:rsidR="000B21F5">
              <w:rPr>
                <w:noProof/>
                <w:webHidden/>
              </w:rPr>
              <w:fldChar w:fldCharType="end"/>
            </w:r>
          </w:hyperlink>
        </w:p>
        <w:p w14:paraId="38002249" w14:textId="1664E889" w:rsidR="000B21F5" w:rsidRDefault="00C40C75">
          <w:pPr>
            <w:pStyle w:val="TOC3"/>
            <w:tabs>
              <w:tab w:val="left" w:pos="1320"/>
              <w:tab w:val="right" w:leader="dot" w:pos="9016"/>
            </w:tabs>
            <w:rPr>
              <w:rFonts w:eastAsiaTheme="minorEastAsia" w:cstheme="minorBidi"/>
              <w:noProof/>
              <w:lang w:eastAsia="hr-HR"/>
            </w:rPr>
          </w:pPr>
          <w:hyperlink w:anchor="_Toc56954056" w:history="1">
            <w:r w:rsidR="000B21F5" w:rsidRPr="00D478C0">
              <w:rPr>
                <w:rStyle w:val="Hyperlink"/>
                <w:bCs/>
                <w:noProof/>
                <w:lang w:val="en-US"/>
              </w:rPr>
              <w:t>4.1.4</w:t>
            </w:r>
            <w:r w:rsidR="000B21F5">
              <w:rPr>
                <w:rFonts w:eastAsiaTheme="minorEastAsia" w:cstheme="minorBidi"/>
                <w:noProof/>
                <w:lang w:eastAsia="hr-HR"/>
              </w:rPr>
              <w:tab/>
            </w:r>
            <w:r w:rsidR="000B21F5" w:rsidRPr="00D478C0">
              <w:rPr>
                <w:rStyle w:val="Hyperlink"/>
                <w:noProof/>
                <w:lang w:val="en-US"/>
              </w:rPr>
              <w:t>Environment Impact Assessment (EIA) national regulation</w:t>
            </w:r>
            <w:r w:rsidR="000B21F5">
              <w:rPr>
                <w:noProof/>
                <w:webHidden/>
              </w:rPr>
              <w:tab/>
            </w:r>
            <w:r w:rsidR="000B21F5">
              <w:rPr>
                <w:noProof/>
                <w:webHidden/>
              </w:rPr>
              <w:fldChar w:fldCharType="begin"/>
            </w:r>
            <w:r w:rsidR="000B21F5">
              <w:rPr>
                <w:noProof/>
                <w:webHidden/>
              </w:rPr>
              <w:instrText xml:space="preserve"> PAGEREF _Toc56954056 \h </w:instrText>
            </w:r>
            <w:r w:rsidR="000B21F5">
              <w:rPr>
                <w:noProof/>
                <w:webHidden/>
              </w:rPr>
            </w:r>
            <w:r w:rsidR="000B21F5">
              <w:rPr>
                <w:noProof/>
                <w:webHidden/>
              </w:rPr>
              <w:fldChar w:fldCharType="separate"/>
            </w:r>
            <w:r w:rsidR="000B21F5">
              <w:rPr>
                <w:noProof/>
                <w:webHidden/>
              </w:rPr>
              <w:t>59</w:t>
            </w:r>
            <w:r w:rsidR="000B21F5">
              <w:rPr>
                <w:noProof/>
                <w:webHidden/>
              </w:rPr>
              <w:fldChar w:fldCharType="end"/>
            </w:r>
          </w:hyperlink>
        </w:p>
        <w:p w14:paraId="78301E36" w14:textId="2ECA1FA4" w:rsidR="000B21F5" w:rsidRDefault="00C40C75">
          <w:pPr>
            <w:pStyle w:val="TOC3"/>
            <w:tabs>
              <w:tab w:val="left" w:pos="1320"/>
              <w:tab w:val="right" w:leader="dot" w:pos="9016"/>
            </w:tabs>
            <w:rPr>
              <w:rFonts w:eastAsiaTheme="minorEastAsia" w:cstheme="minorBidi"/>
              <w:noProof/>
              <w:lang w:eastAsia="hr-HR"/>
            </w:rPr>
          </w:pPr>
          <w:hyperlink w:anchor="_Toc56954057" w:history="1">
            <w:r w:rsidR="000B21F5" w:rsidRPr="00D478C0">
              <w:rPr>
                <w:rStyle w:val="Hyperlink"/>
                <w:bCs/>
                <w:noProof/>
                <w:lang w:val="en-US"/>
              </w:rPr>
              <w:t>4.1.5</w:t>
            </w:r>
            <w:r w:rsidR="000B21F5">
              <w:rPr>
                <w:rFonts w:eastAsiaTheme="minorEastAsia" w:cstheme="minorBidi"/>
                <w:noProof/>
                <w:lang w:eastAsia="hr-HR"/>
              </w:rPr>
              <w:tab/>
            </w:r>
            <w:r w:rsidR="000B21F5" w:rsidRPr="00D478C0">
              <w:rPr>
                <w:rStyle w:val="Hyperlink"/>
                <w:noProof/>
                <w:lang w:val="en-US"/>
              </w:rPr>
              <w:t>Location and Building permitting process and financial arrangements for reconstruction of earthquake damaged buildings</w:t>
            </w:r>
            <w:r w:rsidR="000B21F5">
              <w:rPr>
                <w:noProof/>
                <w:webHidden/>
              </w:rPr>
              <w:tab/>
            </w:r>
            <w:r w:rsidR="000B21F5">
              <w:rPr>
                <w:noProof/>
                <w:webHidden/>
              </w:rPr>
              <w:fldChar w:fldCharType="begin"/>
            </w:r>
            <w:r w:rsidR="000B21F5">
              <w:rPr>
                <w:noProof/>
                <w:webHidden/>
              </w:rPr>
              <w:instrText xml:space="preserve"> PAGEREF _Toc56954057 \h </w:instrText>
            </w:r>
            <w:r w:rsidR="000B21F5">
              <w:rPr>
                <w:noProof/>
                <w:webHidden/>
              </w:rPr>
            </w:r>
            <w:r w:rsidR="000B21F5">
              <w:rPr>
                <w:noProof/>
                <w:webHidden/>
              </w:rPr>
              <w:fldChar w:fldCharType="separate"/>
            </w:r>
            <w:r w:rsidR="000B21F5">
              <w:rPr>
                <w:noProof/>
                <w:webHidden/>
              </w:rPr>
              <w:t>63</w:t>
            </w:r>
            <w:r w:rsidR="000B21F5">
              <w:rPr>
                <w:noProof/>
                <w:webHidden/>
              </w:rPr>
              <w:fldChar w:fldCharType="end"/>
            </w:r>
          </w:hyperlink>
        </w:p>
        <w:p w14:paraId="6903F9B2" w14:textId="6D758B6F" w:rsidR="000B21F5" w:rsidRDefault="00C40C75">
          <w:pPr>
            <w:pStyle w:val="TOC3"/>
            <w:tabs>
              <w:tab w:val="left" w:pos="1320"/>
              <w:tab w:val="right" w:leader="dot" w:pos="9016"/>
            </w:tabs>
            <w:rPr>
              <w:rFonts w:eastAsiaTheme="minorEastAsia" w:cstheme="minorBidi"/>
              <w:noProof/>
              <w:lang w:eastAsia="hr-HR"/>
            </w:rPr>
          </w:pPr>
          <w:hyperlink w:anchor="_Toc56954058" w:history="1">
            <w:r w:rsidR="000B21F5" w:rsidRPr="00D478C0">
              <w:rPr>
                <w:rStyle w:val="Hyperlink"/>
                <w:bCs/>
                <w:noProof/>
                <w:lang w:val="en-US"/>
              </w:rPr>
              <w:t>4.1.6</w:t>
            </w:r>
            <w:r w:rsidR="000B21F5">
              <w:rPr>
                <w:rFonts w:eastAsiaTheme="minorEastAsia" w:cstheme="minorBidi"/>
                <w:noProof/>
                <w:lang w:eastAsia="hr-HR"/>
              </w:rPr>
              <w:tab/>
            </w:r>
            <w:r w:rsidR="000B21F5" w:rsidRPr="00D478C0">
              <w:rPr>
                <w:rStyle w:val="Hyperlink"/>
                <w:rFonts w:eastAsia="Times New Roman"/>
                <w:noProof/>
                <w:lang w:val="en-US"/>
              </w:rPr>
              <w:t>Protection of cultural heritage</w:t>
            </w:r>
            <w:r w:rsidR="000B21F5">
              <w:rPr>
                <w:noProof/>
                <w:webHidden/>
              </w:rPr>
              <w:tab/>
            </w:r>
            <w:r w:rsidR="000B21F5">
              <w:rPr>
                <w:noProof/>
                <w:webHidden/>
              </w:rPr>
              <w:fldChar w:fldCharType="begin"/>
            </w:r>
            <w:r w:rsidR="000B21F5">
              <w:rPr>
                <w:noProof/>
                <w:webHidden/>
              </w:rPr>
              <w:instrText xml:space="preserve"> PAGEREF _Toc56954058 \h </w:instrText>
            </w:r>
            <w:r w:rsidR="000B21F5">
              <w:rPr>
                <w:noProof/>
                <w:webHidden/>
              </w:rPr>
            </w:r>
            <w:r w:rsidR="000B21F5">
              <w:rPr>
                <w:noProof/>
                <w:webHidden/>
              </w:rPr>
              <w:fldChar w:fldCharType="separate"/>
            </w:r>
            <w:r w:rsidR="000B21F5">
              <w:rPr>
                <w:noProof/>
                <w:webHidden/>
              </w:rPr>
              <w:t>74</w:t>
            </w:r>
            <w:r w:rsidR="000B21F5">
              <w:rPr>
                <w:noProof/>
                <w:webHidden/>
              </w:rPr>
              <w:fldChar w:fldCharType="end"/>
            </w:r>
          </w:hyperlink>
        </w:p>
        <w:p w14:paraId="588F1A13" w14:textId="432E82FA" w:rsidR="000B21F5" w:rsidRDefault="00C40C75">
          <w:pPr>
            <w:pStyle w:val="TOC3"/>
            <w:tabs>
              <w:tab w:val="left" w:pos="1320"/>
              <w:tab w:val="right" w:leader="dot" w:pos="9016"/>
            </w:tabs>
            <w:rPr>
              <w:rFonts w:eastAsiaTheme="minorEastAsia" w:cstheme="minorBidi"/>
              <w:noProof/>
              <w:lang w:eastAsia="hr-HR"/>
            </w:rPr>
          </w:pPr>
          <w:hyperlink w:anchor="_Toc56954059" w:history="1">
            <w:r w:rsidR="000B21F5" w:rsidRPr="00D478C0">
              <w:rPr>
                <w:rStyle w:val="Hyperlink"/>
                <w:bCs/>
                <w:noProof/>
                <w:lang w:val="en-US"/>
              </w:rPr>
              <w:t>4.1.7</w:t>
            </w:r>
            <w:r w:rsidR="000B21F5">
              <w:rPr>
                <w:rFonts w:eastAsiaTheme="minorEastAsia" w:cstheme="minorBidi"/>
                <w:noProof/>
                <w:lang w:eastAsia="hr-HR"/>
              </w:rPr>
              <w:tab/>
            </w:r>
            <w:r w:rsidR="000B21F5" w:rsidRPr="00D478C0">
              <w:rPr>
                <w:rStyle w:val="Hyperlink"/>
                <w:rFonts w:eastAsia="Times New Roman"/>
                <w:noProof/>
                <w:lang w:val="en-US"/>
              </w:rPr>
              <w:t>Protection of landscape</w:t>
            </w:r>
            <w:r w:rsidR="000B21F5">
              <w:rPr>
                <w:noProof/>
                <w:webHidden/>
              </w:rPr>
              <w:tab/>
            </w:r>
            <w:r w:rsidR="000B21F5">
              <w:rPr>
                <w:noProof/>
                <w:webHidden/>
              </w:rPr>
              <w:fldChar w:fldCharType="begin"/>
            </w:r>
            <w:r w:rsidR="000B21F5">
              <w:rPr>
                <w:noProof/>
                <w:webHidden/>
              </w:rPr>
              <w:instrText xml:space="preserve"> PAGEREF _Toc56954059 \h </w:instrText>
            </w:r>
            <w:r w:rsidR="000B21F5">
              <w:rPr>
                <w:noProof/>
                <w:webHidden/>
              </w:rPr>
            </w:r>
            <w:r w:rsidR="000B21F5">
              <w:rPr>
                <w:noProof/>
                <w:webHidden/>
              </w:rPr>
              <w:fldChar w:fldCharType="separate"/>
            </w:r>
            <w:r w:rsidR="000B21F5">
              <w:rPr>
                <w:noProof/>
                <w:webHidden/>
              </w:rPr>
              <w:t>78</w:t>
            </w:r>
            <w:r w:rsidR="000B21F5">
              <w:rPr>
                <w:noProof/>
                <w:webHidden/>
              </w:rPr>
              <w:fldChar w:fldCharType="end"/>
            </w:r>
          </w:hyperlink>
        </w:p>
        <w:p w14:paraId="04E820C6" w14:textId="686D817F" w:rsidR="000B21F5" w:rsidRDefault="00C40C75">
          <w:pPr>
            <w:pStyle w:val="TOC1"/>
            <w:tabs>
              <w:tab w:val="left" w:pos="440"/>
              <w:tab w:val="right" w:leader="dot" w:pos="9016"/>
            </w:tabs>
            <w:rPr>
              <w:rFonts w:eastAsiaTheme="minorEastAsia" w:cstheme="minorBidi"/>
              <w:noProof/>
              <w:lang w:eastAsia="hr-HR"/>
            </w:rPr>
          </w:pPr>
          <w:hyperlink w:anchor="_Toc56954060" w:history="1">
            <w:r w:rsidR="000B21F5" w:rsidRPr="00D478C0">
              <w:rPr>
                <w:rStyle w:val="Hyperlink"/>
                <w:bCs/>
                <w:noProof/>
                <w:lang w:val="en-US"/>
              </w:rPr>
              <w:t>5</w:t>
            </w:r>
            <w:r w:rsidR="000B21F5">
              <w:rPr>
                <w:rFonts w:eastAsiaTheme="minorEastAsia" w:cstheme="minorBidi"/>
                <w:noProof/>
                <w:lang w:eastAsia="hr-HR"/>
              </w:rPr>
              <w:tab/>
            </w:r>
            <w:r w:rsidR="000B21F5" w:rsidRPr="00D478C0">
              <w:rPr>
                <w:rStyle w:val="Hyperlink"/>
                <w:noProof/>
                <w:lang w:val="en-US"/>
              </w:rPr>
              <w:t>OVERVIEW OF THE WORLD BANK ENVIRONMENTAL AND SOCIAL STANDARDS</w:t>
            </w:r>
            <w:r w:rsidR="000B21F5">
              <w:rPr>
                <w:noProof/>
                <w:webHidden/>
              </w:rPr>
              <w:tab/>
            </w:r>
            <w:r w:rsidR="000B21F5">
              <w:rPr>
                <w:noProof/>
                <w:webHidden/>
              </w:rPr>
              <w:fldChar w:fldCharType="begin"/>
            </w:r>
            <w:r w:rsidR="000B21F5">
              <w:rPr>
                <w:noProof/>
                <w:webHidden/>
              </w:rPr>
              <w:instrText xml:space="preserve"> PAGEREF _Toc56954060 \h </w:instrText>
            </w:r>
            <w:r w:rsidR="000B21F5">
              <w:rPr>
                <w:noProof/>
                <w:webHidden/>
              </w:rPr>
            </w:r>
            <w:r w:rsidR="000B21F5">
              <w:rPr>
                <w:noProof/>
                <w:webHidden/>
              </w:rPr>
              <w:fldChar w:fldCharType="separate"/>
            </w:r>
            <w:r w:rsidR="000B21F5">
              <w:rPr>
                <w:noProof/>
                <w:webHidden/>
              </w:rPr>
              <w:t>80</w:t>
            </w:r>
            <w:r w:rsidR="000B21F5">
              <w:rPr>
                <w:noProof/>
                <w:webHidden/>
              </w:rPr>
              <w:fldChar w:fldCharType="end"/>
            </w:r>
          </w:hyperlink>
        </w:p>
        <w:p w14:paraId="583E058C" w14:textId="455F5227" w:rsidR="000B21F5" w:rsidRDefault="00C40C75">
          <w:pPr>
            <w:pStyle w:val="TOC2"/>
            <w:tabs>
              <w:tab w:val="left" w:pos="880"/>
              <w:tab w:val="right" w:leader="dot" w:pos="9016"/>
            </w:tabs>
            <w:rPr>
              <w:rFonts w:eastAsiaTheme="minorEastAsia" w:cstheme="minorBidi"/>
              <w:noProof/>
              <w:lang w:eastAsia="hr-HR"/>
            </w:rPr>
          </w:pPr>
          <w:hyperlink w:anchor="_Toc56954061" w:history="1">
            <w:r w:rsidR="000B21F5" w:rsidRPr="00D478C0">
              <w:rPr>
                <w:rStyle w:val="Hyperlink"/>
                <w:bCs/>
                <w:noProof/>
                <w:lang w:val="en-US"/>
              </w:rPr>
              <w:t>5.1</w:t>
            </w:r>
            <w:r w:rsidR="000B21F5">
              <w:rPr>
                <w:rFonts w:eastAsiaTheme="minorEastAsia" w:cstheme="minorBidi"/>
                <w:noProof/>
                <w:lang w:eastAsia="hr-HR"/>
              </w:rPr>
              <w:tab/>
            </w:r>
            <w:r w:rsidR="000B21F5" w:rsidRPr="00D478C0">
              <w:rPr>
                <w:rStyle w:val="Hyperlink"/>
                <w:noProof/>
                <w:lang w:val="en-US"/>
              </w:rPr>
              <w:t>Environmental and Social Framework</w:t>
            </w:r>
            <w:r w:rsidR="000B21F5">
              <w:rPr>
                <w:noProof/>
                <w:webHidden/>
              </w:rPr>
              <w:tab/>
            </w:r>
            <w:r w:rsidR="000B21F5">
              <w:rPr>
                <w:noProof/>
                <w:webHidden/>
              </w:rPr>
              <w:fldChar w:fldCharType="begin"/>
            </w:r>
            <w:r w:rsidR="000B21F5">
              <w:rPr>
                <w:noProof/>
                <w:webHidden/>
              </w:rPr>
              <w:instrText xml:space="preserve"> PAGEREF _Toc56954061 \h </w:instrText>
            </w:r>
            <w:r w:rsidR="000B21F5">
              <w:rPr>
                <w:noProof/>
                <w:webHidden/>
              </w:rPr>
            </w:r>
            <w:r w:rsidR="000B21F5">
              <w:rPr>
                <w:noProof/>
                <w:webHidden/>
              </w:rPr>
              <w:fldChar w:fldCharType="separate"/>
            </w:r>
            <w:r w:rsidR="000B21F5">
              <w:rPr>
                <w:noProof/>
                <w:webHidden/>
              </w:rPr>
              <w:t>80</w:t>
            </w:r>
            <w:r w:rsidR="000B21F5">
              <w:rPr>
                <w:noProof/>
                <w:webHidden/>
              </w:rPr>
              <w:fldChar w:fldCharType="end"/>
            </w:r>
          </w:hyperlink>
        </w:p>
        <w:p w14:paraId="5E67BFD9" w14:textId="255C04BE" w:rsidR="000B21F5" w:rsidRDefault="00C40C75">
          <w:pPr>
            <w:pStyle w:val="TOC2"/>
            <w:tabs>
              <w:tab w:val="left" w:pos="880"/>
              <w:tab w:val="right" w:leader="dot" w:pos="9016"/>
            </w:tabs>
            <w:rPr>
              <w:rFonts w:eastAsiaTheme="minorEastAsia" w:cstheme="minorBidi"/>
              <w:noProof/>
              <w:lang w:eastAsia="hr-HR"/>
            </w:rPr>
          </w:pPr>
          <w:hyperlink w:anchor="_Toc56954062" w:history="1">
            <w:r w:rsidR="000B21F5" w:rsidRPr="00D478C0">
              <w:rPr>
                <w:rStyle w:val="Hyperlink"/>
                <w:bCs/>
                <w:noProof/>
                <w:lang w:val="en-US"/>
              </w:rPr>
              <w:t>5.2</w:t>
            </w:r>
            <w:r w:rsidR="000B21F5">
              <w:rPr>
                <w:rFonts w:eastAsiaTheme="minorEastAsia" w:cstheme="minorBidi"/>
                <w:noProof/>
                <w:lang w:eastAsia="hr-HR"/>
              </w:rPr>
              <w:tab/>
            </w:r>
            <w:r w:rsidR="000B21F5" w:rsidRPr="00D478C0">
              <w:rPr>
                <w:rStyle w:val="Hyperlink"/>
                <w:noProof/>
                <w:lang w:val="en-US"/>
              </w:rPr>
              <w:t>ESS1 Assessment and Management of Environmental and Social Risks and Impacts</w:t>
            </w:r>
            <w:r w:rsidR="000B21F5">
              <w:rPr>
                <w:noProof/>
                <w:webHidden/>
              </w:rPr>
              <w:tab/>
            </w:r>
            <w:r w:rsidR="000B21F5">
              <w:rPr>
                <w:noProof/>
                <w:webHidden/>
              </w:rPr>
              <w:fldChar w:fldCharType="begin"/>
            </w:r>
            <w:r w:rsidR="000B21F5">
              <w:rPr>
                <w:noProof/>
                <w:webHidden/>
              </w:rPr>
              <w:instrText xml:space="preserve"> PAGEREF _Toc56954062 \h </w:instrText>
            </w:r>
            <w:r w:rsidR="000B21F5">
              <w:rPr>
                <w:noProof/>
                <w:webHidden/>
              </w:rPr>
            </w:r>
            <w:r w:rsidR="000B21F5">
              <w:rPr>
                <w:noProof/>
                <w:webHidden/>
              </w:rPr>
              <w:fldChar w:fldCharType="separate"/>
            </w:r>
            <w:r w:rsidR="000B21F5">
              <w:rPr>
                <w:noProof/>
                <w:webHidden/>
              </w:rPr>
              <w:t>80</w:t>
            </w:r>
            <w:r w:rsidR="000B21F5">
              <w:rPr>
                <w:noProof/>
                <w:webHidden/>
              </w:rPr>
              <w:fldChar w:fldCharType="end"/>
            </w:r>
          </w:hyperlink>
        </w:p>
        <w:p w14:paraId="4D37C890" w14:textId="792A421E" w:rsidR="000B21F5" w:rsidRDefault="00C40C75">
          <w:pPr>
            <w:pStyle w:val="TOC2"/>
            <w:tabs>
              <w:tab w:val="left" w:pos="880"/>
              <w:tab w:val="right" w:leader="dot" w:pos="9016"/>
            </w:tabs>
            <w:rPr>
              <w:rFonts w:eastAsiaTheme="minorEastAsia" w:cstheme="minorBidi"/>
              <w:noProof/>
              <w:lang w:eastAsia="hr-HR"/>
            </w:rPr>
          </w:pPr>
          <w:hyperlink w:anchor="_Toc56954063" w:history="1">
            <w:r w:rsidR="000B21F5" w:rsidRPr="00D478C0">
              <w:rPr>
                <w:rStyle w:val="Hyperlink"/>
                <w:bCs/>
                <w:noProof/>
                <w:lang w:val="en-US"/>
              </w:rPr>
              <w:t>5.3</w:t>
            </w:r>
            <w:r w:rsidR="000B21F5">
              <w:rPr>
                <w:rFonts w:eastAsiaTheme="minorEastAsia" w:cstheme="minorBidi"/>
                <w:noProof/>
                <w:lang w:eastAsia="hr-HR"/>
              </w:rPr>
              <w:tab/>
            </w:r>
            <w:r w:rsidR="000B21F5" w:rsidRPr="00D478C0">
              <w:rPr>
                <w:rStyle w:val="Hyperlink"/>
                <w:noProof/>
                <w:lang w:val="en-US"/>
              </w:rPr>
              <w:t>ESS2 Labor and Working Conditions</w:t>
            </w:r>
            <w:r w:rsidR="000B21F5">
              <w:rPr>
                <w:noProof/>
                <w:webHidden/>
              </w:rPr>
              <w:tab/>
            </w:r>
            <w:r w:rsidR="000B21F5">
              <w:rPr>
                <w:noProof/>
                <w:webHidden/>
              </w:rPr>
              <w:fldChar w:fldCharType="begin"/>
            </w:r>
            <w:r w:rsidR="000B21F5">
              <w:rPr>
                <w:noProof/>
                <w:webHidden/>
              </w:rPr>
              <w:instrText xml:space="preserve"> PAGEREF _Toc56954063 \h </w:instrText>
            </w:r>
            <w:r w:rsidR="000B21F5">
              <w:rPr>
                <w:noProof/>
                <w:webHidden/>
              </w:rPr>
            </w:r>
            <w:r w:rsidR="000B21F5">
              <w:rPr>
                <w:noProof/>
                <w:webHidden/>
              </w:rPr>
              <w:fldChar w:fldCharType="separate"/>
            </w:r>
            <w:r w:rsidR="000B21F5">
              <w:rPr>
                <w:noProof/>
                <w:webHidden/>
              </w:rPr>
              <w:t>82</w:t>
            </w:r>
            <w:r w:rsidR="000B21F5">
              <w:rPr>
                <w:noProof/>
                <w:webHidden/>
              </w:rPr>
              <w:fldChar w:fldCharType="end"/>
            </w:r>
          </w:hyperlink>
        </w:p>
        <w:p w14:paraId="70162941" w14:textId="410599E3" w:rsidR="000B21F5" w:rsidRDefault="00C40C75">
          <w:pPr>
            <w:pStyle w:val="TOC2"/>
            <w:tabs>
              <w:tab w:val="left" w:pos="880"/>
              <w:tab w:val="right" w:leader="dot" w:pos="9016"/>
            </w:tabs>
            <w:rPr>
              <w:rFonts w:eastAsiaTheme="minorEastAsia" w:cstheme="minorBidi"/>
              <w:noProof/>
              <w:lang w:eastAsia="hr-HR"/>
            </w:rPr>
          </w:pPr>
          <w:hyperlink w:anchor="_Toc56954064" w:history="1">
            <w:r w:rsidR="000B21F5" w:rsidRPr="00D478C0">
              <w:rPr>
                <w:rStyle w:val="Hyperlink"/>
                <w:bCs/>
                <w:noProof/>
                <w:lang w:val="en-US"/>
              </w:rPr>
              <w:t>5.4</w:t>
            </w:r>
            <w:r w:rsidR="000B21F5">
              <w:rPr>
                <w:rFonts w:eastAsiaTheme="minorEastAsia" w:cstheme="minorBidi"/>
                <w:noProof/>
                <w:lang w:eastAsia="hr-HR"/>
              </w:rPr>
              <w:tab/>
            </w:r>
            <w:r w:rsidR="000B21F5" w:rsidRPr="00D478C0">
              <w:rPr>
                <w:rStyle w:val="Hyperlink"/>
                <w:noProof/>
                <w:lang w:val="en-US"/>
              </w:rPr>
              <w:t>ESS3 Resource Efficiency and Pollution Prevention and Management</w:t>
            </w:r>
            <w:r w:rsidR="000B21F5">
              <w:rPr>
                <w:noProof/>
                <w:webHidden/>
              </w:rPr>
              <w:tab/>
            </w:r>
            <w:r w:rsidR="000B21F5">
              <w:rPr>
                <w:noProof/>
                <w:webHidden/>
              </w:rPr>
              <w:fldChar w:fldCharType="begin"/>
            </w:r>
            <w:r w:rsidR="000B21F5">
              <w:rPr>
                <w:noProof/>
                <w:webHidden/>
              </w:rPr>
              <w:instrText xml:space="preserve"> PAGEREF _Toc56954064 \h </w:instrText>
            </w:r>
            <w:r w:rsidR="000B21F5">
              <w:rPr>
                <w:noProof/>
                <w:webHidden/>
              </w:rPr>
            </w:r>
            <w:r w:rsidR="000B21F5">
              <w:rPr>
                <w:noProof/>
                <w:webHidden/>
              </w:rPr>
              <w:fldChar w:fldCharType="separate"/>
            </w:r>
            <w:r w:rsidR="000B21F5">
              <w:rPr>
                <w:noProof/>
                <w:webHidden/>
              </w:rPr>
              <w:t>83</w:t>
            </w:r>
            <w:r w:rsidR="000B21F5">
              <w:rPr>
                <w:noProof/>
                <w:webHidden/>
              </w:rPr>
              <w:fldChar w:fldCharType="end"/>
            </w:r>
          </w:hyperlink>
        </w:p>
        <w:p w14:paraId="1D39A6DD" w14:textId="0E6EBF30" w:rsidR="000B21F5" w:rsidRDefault="00C40C75">
          <w:pPr>
            <w:pStyle w:val="TOC2"/>
            <w:tabs>
              <w:tab w:val="left" w:pos="880"/>
              <w:tab w:val="right" w:leader="dot" w:pos="9016"/>
            </w:tabs>
            <w:rPr>
              <w:rFonts w:eastAsiaTheme="minorEastAsia" w:cstheme="minorBidi"/>
              <w:noProof/>
              <w:lang w:eastAsia="hr-HR"/>
            </w:rPr>
          </w:pPr>
          <w:hyperlink w:anchor="_Toc56954065" w:history="1">
            <w:r w:rsidR="000B21F5" w:rsidRPr="00D478C0">
              <w:rPr>
                <w:rStyle w:val="Hyperlink"/>
                <w:bCs/>
                <w:noProof/>
                <w:lang w:val="en-US"/>
              </w:rPr>
              <w:t>5.5</w:t>
            </w:r>
            <w:r w:rsidR="000B21F5">
              <w:rPr>
                <w:rFonts w:eastAsiaTheme="minorEastAsia" w:cstheme="minorBidi"/>
                <w:noProof/>
                <w:lang w:eastAsia="hr-HR"/>
              </w:rPr>
              <w:tab/>
            </w:r>
            <w:r w:rsidR="000B21F5" w:rsidRPr="00D478C0">
              <w:rPr>
                <w:rStyle w:val="Hyperlink"/>
                <w:noProof/>
                <w:lang w:val="en-US"/>
              </w:rPr>
              <w:t>ESS4 Community Health and Safety</w:t>
            </w:r>
            <w:r w:rsidR="000B21F5">
              <w:rPr>
                <w:noProof/>
                <w:webHidden/>
              </w:rPr>
              <w:tab/>
            </w:r>
            <w:r w:rsidR="000B21F5">
              <w:rPr>
                <w:noProof/>
                <w:webHidden/>
              </w:rPr>
              <w:fldChar w:fldCharType="begin"/>
            </w:r>
            <w:r w:rsidR="000B21F5">
              <w:rPr>
                <w:noProof/>
                <w:webHidden/>
              </w:rPr>
              <w:instrText xml:space="preserve"> PAGEREF _Toc56954065 \h </w:instrText>
            </w:r>
            <w:r w:rsidR="000B21F5">
              <w:rPr>
                <w:noProof/>
                <w:webHidden/>
              </w:rPr>
            </w:r>
            <w:r w:rsidR="000B21F5">
              <w:rPr>
                <w:noProof/>
                <w:webHidden/>
              </w:rPr>
              <w:fldChar w:fldCharType="separate"/>
            </w:r>
            <w:r w:rsidR="000B21F5">
              <w:rPr>
                <w:noProof/>
                <w:webHidden/>
              </w:rPr>
              <w:t>84</w:t>
            </w:r>
            <w:r w:rsidR="000B21F5">
              <w:rPr>
                <w:noProof/>
                <w:webHidden/>
              </w:rPr>
              <w:fldChar w:fldCharType="end"/>
            </w:r>
          </w:hyperlink>
        </w:p>
        <w:p w14:paraId="47C336B0" w14:textId="3CD98C70" w:rsidR="000B21F5" w:rsidRDefault="00C40C75">
          <w:pPr>
            <w:pStyle w:val="TOC2"/>
            <w:tabs>
              <w:tab w:val="left" w:pos="880"/>
              <w:tab w:val="right" w:leader="dot" w:pos="9016"/>
            </w:tabs>
            <w:rPr>
              <w:rFonts w:eastAsiaTheme="minorEastAsia" w:cstheme="minorBidi"/>
              <w:noProof/>
              <w:lang w:eastAsia="hr-HR"/>
            </w:rPr>
          </w:pPr>
          <w:hyperlink w:anchor="_Toc56954066" w:history="1">
            <w:r w:rsidR="000B21F5" w:rsidRPr="00D478C0">
              <w:rPr>
                <w:rStyle w:val="Hyperlink"/>
                <w:bCs/>
                <w:noProof/>
                <w:lang w:val="en-US"/>
              </w:rPr>
              <w:t>5.6</w:t>
            </w:r>
            <w:r w:rsidR="000B21F5">
              <w:rPr>
                <w:rFonts w:eastAsiaTheme="minorEastAsia" w:cstheme="minorBidi"/>
                <w:noProof/>
                <w:lang w:eastAsia="hr-HR"/>
              </w:rPr>
              <w:tab/>
            </w:r>
            <w:r w:rsidR="000B21F5" w:rsidRPr="00D478C0">
              <w:rPr>
                <w:rStyle w:val="Hyperlink"/>
                <w:noProof/>
                <w:lang w:val="en-US"/>
              </w:rPr>
              <w:t>ESS5 Land Acquisition, Restrictions on Land Use and Involuntary Resettlement</w:t>
            </w:r>
            <w:r w:rsidR="000B21F5">
              <w:rPr>
                <w:noProof/>
                <w:webHidden/>
              </w:rPr>
              <w:tab/>
            </w:r>
            <w:r w:rsidR="000B21F5">
              <w:rPr>
                <w:noProof/>
                <w:webHidden/>
              </w:rPr>
              <w:fldChar w:fldCharType="begin"/>
            </w:r>
            <w:r w:rsidR="000B21F5">
              <w:rPr>
                <w:noProof/>
                <w:webHidden/>
              </w:rPr>
              <w:instrText xml:space="preserve"> PAGEREF _Toc56954066 \h </w:instrText>
            </w:r>
            <w:r w:rsidR="000B21F5">
              <w:rPr>
                <w:noProof/>
                <w:webHidden/>
              </w:rPr>
            </w:r>
            <w:r w:rsidR="000B21F5">
              <w:rPr>
                <w:noProof/>
                <w:webHidden/>
              </w:rPr>
              <w:fldChar w:fldCharType="separate"/>
            </w:r>
            <w:r w:rsidR="000B21F5">
              <w:rPr>
                <w:noProof/>
                <w:webHidden/>
              </w:rPr>
              <w:t>85</w:t>
            </w:r>
            <w:r w:rsidR="000B21F5">
              <w:rPr>
                <w:noProof/>
                <w:webHidden/>
              </w:rPr>
              <w:fldChar w:fldCharType="end"/>
            </w:r>
          </w:hyperlink>
        </w:p>
        <w:p w14:paraId="2715E5F1" w14:textId="6B341C9F" w:rsidR="000B21F5" w:rsidRDefault="00C40C75">
          <w:pPr>
            <w:pStyle w:val="TOC2"/>
            <w:tabs>
              <w:tab w:val="left" w:pos="880"/>
              <w:tab w:val="right" w:leader="dot" w:pos="9016"/>
            </w:tabs>
            <w:rPr>
              <w:rFonts w:eastAsiaTheme="minorEastAsia" w:cstheme="minorBidi"/>
              <w:noProof/>
              <w:lang w:eastAsia="hr-HR"/>
            </w:rPr>
          </w:pPr>
          <w:hyperlink w:anchor="_Toc56954067" w:history="1">
            <w:r w:rsidR="000B21F5" w:rsidRPr="00D478C0">
              <w:rPr>
                <w:rStyle w:val="Hyperlink"/>
                <w:bCs/>
                <w:noProof/>
                <w:lang w:val="en-US"/>
              </w:rPr>
              <w:t>5.7</w:t>
            </w:r>
            <w:r w:rsidR="000B21F5">
              <w:rPr>
                <w:rFonts w:eastAsiaTheme="minorEastAsia" w:cstheme="minorBidi"/>
                <w:noProof/>
                <w:lang w:eastAsia="hr-HR"/>
              </w:rPr>
              <w:tab/>
            </w:r>
            <w:r w:rsidR="000B21F5" w:rsidRPr="00D478C0">
              <w:rPr>
                <w:rStyle w:val="Hyperlink"/>
                <w:noProof/>
                <w:lang w:val="en-US"/>
              </w:rPr>
              <w:t>ESS6 Biodiversity Conservation and Sustainable Management of Living Natural Resources</w:t>
            </w:r>
            <w:r w:rsidR="000B21F5">
              <w:rPr>
                <w:noProof/>
                <w:webHidden/>
              </w:rPr>
              <w:tab/>
            </w:r>
            <w:r w:rsidR="000B21F5">
              <w:rPr>
                <w:noProof/>
                <w:webHidden/>
              </w:rPr>
              <w:fldChar w:fldCharType="begin"/>
            </w:r>
            <w:r w:rsidR="000B21F5">
              <w:rPr>
                <w:noProof/>
                <w:webHidden/>
              </w:rPr>
              <w:instrText xml:space="preserve"> PAGEREF _Toc56954067 \h </w:instrText>
            </w:r>
            <w:r w:rsidR="000B21F5">
              <w:rPr>
                <w:noProof/>
                <w:webHidden/>
              </w:rPr>
            </w:r>
            <w:r w:rsidR="000B21F5">
              <w:rPr>
                <w:noProof/>
                <w:webHidden/>
              </w:rPr>
              <w:fldChar w:fldCharType="separate"/>
            </w:r>
            <w:r w:rsidR="000B21F5">
              <w:rPr>
                <w:noProof/>
                <w:webHidden/>
              </w:rPr>
              <w:t>85</w:t>
            </w:r>
            <w:r w:rsidR="000B21F5">
              <w:rPr>
                <w:noProof/>
                <w:webHidden/>
              </w:rPr>
              <w:fldChar w:fldCharType="end"/>
            </w:r>
          </w:hyperlink>
        </w:p>
        <w:p w14:paraId="0E230687" w14:textId="1FD21909" w:rsidR="000B21F5" w:rsidRDefault="00C40C75">
          <w:pPr>
            <w:pStyle w:val="TOC2"/>
            <w:tabs>
              <w:tab w:val="left" w:pos="880"/>
              <w:tab w:val="right" w:leader="dot" w:pos="9016"/>
            </w:tabs>
            <w:rPr>
              <w:rFonts w:eastAsiaTheme="minorEastAsia" w:cstheme="minorBidi"/>
              <w:noProof/>
              <w:lang w:eastAsia="hr-HR"/>
            </w:rPr>
          </w:pPr>
          <w:hyperlink w:anchor="_Toc56954068" w:history="1">
            <w:r w:rsidR="000B21F5" w:rsidRPr="00D478C0">
              <w:rPr>
                <w:rStyle w:val="Hyperlink"/>
                <w:bCs/>
                <w:noProof/>
                <w:lang w:val="en-US"/>
              </w:rPr>
              <w:t>5.8</w:t>
            </w:r>
            <w:r w:rsidR="000B21F5">
              <w:rPr>
                <w:rFonts w:eastAsiaTheme="minorEastAsia" w:cstheme="minorBidi"/>
                <w:noProof/>
                <w:lang w:eastAsia="hr-HR"/>
              </w:rPr>
              <w:tab/>
            </w:r>
            <w:r w:rsidR="000B21F5" w:rsidRPr="00D478C0">
              <w:rPr>
                <w:rStyle w:val="Hyperlink"/>
                <w:noProof/>
                <w:lang w:val="en-US"/>
              </w:rPr>
              <w:t>ESS7 Indigenous Peoples / Sub-Saharan African Historically Underserved Traditional Local Communities</w:t>
            </w:r>
            <w:r w:rsidR="000B21F5">
              <w:rPr>
                <w:noProof/>
                <w:webHidden/>
              </w:rPr>
              <w:tab/>
            </w:r>
            <w:r w:rsidR="000B21F5">
              <w:rPr>
                <w:noProof/>
                <w:webHidden/>
              </w:rPr>
              <w:fldChar w:fldCharType="begin"/>
            </w:r>
            <w:r w:rsidR="000B21F5">
              <w:rPr>
                <w:noProof/>
                <w:webHidden/>
              </w:rPr>
              <w:instrText xml:space="preserve"> PAGEREF _Toc56954068 \h </w:instrText>
            </w:r>
            <w:r w:rsidR="000B21F5">
              <w:rPr>
                <w:noProof/>
                <w:webHidden/>
              </w:rPr>
            </w:r>
            <w:r w:rsidR="000B21F5">
              <w:rPr>
                <w:noProof/>
                <w:webHidden/>
              </w:rPr>
              <w:fldChar w:fldCharType="separate"/>
            </w:r>
            <w:r w:rsidR="000B21F5">
              <w:rPr>
                <w:noProof/>
                <w:webHidden/>
              </w:rPr>
              <w:t>86</w:t>
            </w:r>
            <w:r w:rsidR="000B21F5">
              <w:rPr>
                <w:noProof/>
                <w:webHidden/>
              </w:rPr>
              <w:fldChar w:fldCharType="end"/>
            </w:r>
          </w:hyperlink>
        </w:p>
        <w:p w14:paraId="70BE1074" w14:textId="1D9AA8C6" w:rsidR="000B21F5" w:rsidRDefault="00C40C75">
          <w:pPr>
            <w:pStyle w:val="TOC2"/>
            <w:tabs>
              <w:tab w:val="left" w:pos="880"/>
              <w:tab w:val="right" w:leader="dot" w:pos="9016"/>
            </w:tabs>
            <w:rPr>
              <w:rFonts w:eastAsiaTheme="minorEastAsia" w:cstheme="minorBidi"/>
              <w:noProof/>
              <w:lang w:eastAsia="hr-HR"/>
            </w:rPr>
          </w:pPr>
          <w:hyperlink w:anchor="_Toc56954069" w:history="1">
            <w:r w:rsidR="000B21F5" w:rsidRPr="00D478C0">
              <w:rPr>
                <w:rStyle w:val="Hyperlink"/>
                <w:bCs/>
                <w:noProof/>
                <w:lang w:val="en-US"/>
              </w:rPr>
              <w:t>5.9</w:t>
            </w:r>
            <w:r w:rsidR="000B21F5">
              <w:rPr>
                <w:rFonts w:eastAsiaTheme="minorEastAsia" w:cstheme="minorBidi"/>
                <w:noProof/>
                <w:lang w:eastAsia="hr-HR"/>
              </w:rPr>
              <w:tab/>
            </w:r>
            <w:r w:rsidR="000B21F5" w:rsidRPr="00D478C0">
              <w:rPr>
                <w:rStyle w:val="Hyperlink"/>
                <w:noProof/>
                <w:lang w:val="en-US"/>
              </w:rPr>
              <w:t>ESS8 Cultural Heritage;</w:t>
            </w:r>
            <w:r w:rsidR="000B21F5">
              <w:rPr>
                <w:noProof/>
                <w:webHidden/>
              </w:rPr>
              <w:tab/>
            </w:r>
            <w:r w:rsidR="000B21F5">
              <w:rPr>
                <w:noProof/>
                <w:webHidden/>
              </w:rPr>
              <w:fldChar w:fldCharType="begin"/>
            </w:r>
            <w:r w:rsidR="000B21F5">
              <w:rPr>
                <w:noProof/>
                <w:webHidden/>
              </w:rPr>
              <w:instrText xml:space="preserve"> PAGEREF _Toc56954069 \h </w:instrText>
            </w:r>
            <w:r w:rsidR="000B21F5">
              <w:rPr>
                <w:noProof/>
                <w:webHidden/>
              </w:rPr>
            </w:r>
            <w:r w:rsidR="000B21F5">
              <w:rPr>
                <w:noProof/>
                <w:webHidden/>
              </w:rPr>
              <w:fldChar w:fldCharType="separate"/>
            </w:r>
            <w:r w:rsidR="000B21F5">
              <w:rPr>
                <w:noProof/>
                <w:webHidden/>
              </w:rPr>
              <w:t>86</w:t>
            </w:r>
            <w:r w:rsidR="000B21F5">
              <w:rPr>
                <w:noProof/>
                <w:webHidden/>
              </w:rPr>
              <w:fldChar w:fldCharType="end"/>
            </w:r>
          </w:hyperlink>
        </w:p>
        <w:p w14:paraId="468A20CF" w14:textId="3456A70B" w:rsidR="000B21F5" w:rsidRDefault="00C40C75">
          <w:pPr>
            <w:pStyle w:val="TOC2"/>
            <w:tabs>
              <w:tab w:val="left" w:pos="880"/>
              <w:tab w:val="right" w:leader="dot" w:pos="9016"/>
            </w:tabs>
            <w:rPr>
              <w:rFonts w:eastAsiaTheme="minorEastAsia" w:cstheme="minorBidi"/>
              <w:noProof/>
              <w:lang w:eastAsia="hr-HR"/>
            </w:rPr>
          </w:pPr>
          <w:hyperlink w:anchor="_Toc56954070" w:history="1">
            <w:r w:rsidR="000B21F5" w:rsidRPr="00D478C0">
              <w:rPr>
                <w:rStyle w:val="Hyperlink"/>
                <w:bCs/>
                <w:noProof/>
                <w:lang w:val="en-US"/>
              </w:rPr>
              <w:t>5.10</w:t>
            </w:r>
            <w:r w:rsidR="000B21F5">
              <w:rPr>
                <w:rFonts w:eastAsiaTheme="minorEastAsia" w:cstheme="minorBidi"/>
                <w:noProof/>
                <w:lang w:eastAsia="hr-HR"/>
              </w:rPr>
              <w:tab/>
            </w:r>
            <w:r w:rsidR="000B21F5" w:rsidRPr="00D478C0">
              <w:rPr>
                <w:rStyle w:val="Hyperlink"/>
                <w:noProof/>
                <w:lang w:val="en-US"/>
              </w:rPr>
              <w:t>ESS10 Stakeholder Engagement and Information Disclosure</w:t>
            </w:r>
            <w:r w:rsidR="000B21F5">
              <w:rPr>
                <w:noProof/>
                <w:webHidden/>
              </w:rPr>
              <w:tab/>
            </w:r>
            <w:r w:rsidR="000B21F5">
              <w:rPr>
                <w:noProof/>
                <w:webHidden/>
              </w:rPr>
              <w:fldChar w:fldCharType="begin"/>
            </w:r>
            <w:r w:rsidR="000B21F5">
              <w:rPr>
                <w:noProof/>
                <w:webHidden/>
              </w:rPr>
              <w:instrText xml:space="preserve"> PAGEREF _Toc56954070 \h </w:instrText>
            </w:r>
            <w:r w:rsidR="000B21F5">
              <w:rPr>
                <w:noProof/>
                <w:webHidden/>
              </w:rPr>
            </w:r>
            <w:r w:rsidR="000B21F5">
              <w:rPr>
                <w:noProof/>
                <w:webHidden/>
              </w:rPr>
              <w:fldChar w:fldCharType="separate"/>
            </w:r>
            <w:r w:rsidR="000B21F5">
              <w:rPr>
                <w:noProof/>
                <w:webHidden/>
              </w:rPr>
              <w:t>87</w:t>
            </w:r>
            <w:r w:rsidR="000B21F5">
              <w:rPr>
                <w:noProof/>
                <w:webHidden/>
              </w:rPr>
              <w:fldChar w:fldCharType="end"/>
            </w:r>
          </w:hyperlink>
        </w:p>
        <w:p w14:paraId="3C1989FA" w14:textId="73715531" w:rsidR="000B21F5" w:rsidRDefault="00C40C75">
          <w:pPr>
            <w:pStyle w:val="TOC2"/>
            <w:tabs>
              <w:tab w:val="left" w:pos="880"/>
              <w:tab w:val="right" w:leader="dot" w:pos="9016"/>
            </w:tabs>
            <w:rPr>
              <w:rFonts w:eastAsiaTheme="minorEastAsia" w:cstheme="minorBidi"/>
              <w:noProof/>
              <w:lang w:eastAsia="hr-HR"/>
            </w:rPr>
          </w:pPr>
          <w:hyperlink w:anchor="_Toc56954071" w:history="1">
            <w:r w:rsidR="000B21F5" w:rsidRPr="00D478C0">
              <w:rPr>
                <w:rStyle w:val="Hyperlink"/>
                <w:bCs/>
                <w:noProof/>
                <w:lang w:val="en-US"/>
              </w:rPr>
              <w:t>5.11</w:t>
            </w:r>
            <w:r w:rsidR="000B21F5">
              <w:rPr>
                <w:rFonts w:eastAsiaTheme="minorEastAsia" w:cstheme="minorBidi"/>
                <w:noProof/>
                <w:lang w:eastAsia="hr-HR"/>
              </w:rPr>
              <w:tab/>
            </w:r>
            <w:r w:rsidR="000B21F5" w:rsidRPr="00D478C0">
              <w:rPr>
                <w:rStyle w:val="Hyperlink"/>
                <w:noProof/>
                <w:lang w:val="en-US"/>
              </w:rPr>
              <w:t>Results of the preliminary assessment of Environmental and Social Standards (ESS)</w:t>
            </w:r>
            <w:r w:rsidR="000B21F5">
              <w:rPr>
                <w:noProof/>
                <w:webHidden/>
              </w:rPr>
              <w:tab/>
            </w:r>
            <w:r w:rsidR="000B21F5">
              <w:rPr>
                <w:noProof/>
                <w:webHidden/>
              </w:rPr>
              <w:fldChar w:fldCharType="begin"/>
            </w:r>
            <w:r w:rsidR="000B21F5">
              <w:rPr>
                <w:noProof/>
                <w:webHidden/>
              </w:rPr>
              <w:instrText xml:space="preserve"> PAGEREF _Toc56954071 \h </w:instrText>
            </w:r>
            <w:r w:rsidR="000B21F5">
              <w:rPr>
                <w:noProof/>
                <w:webHidden/>
              </w:rPr>
            </w:r>
            <w:r w:rsidR="000B21F5">
              <w:rPr>
                <w:noProof/>
                <w:webHidden/>
              </w:rPr>
              <w:fldChar w:fldCharType="separate"/>
            </w:r>
            <w:r w:rsidR="000B21F5">
              <w:rPr>
                <w:noProof/>
                <w:webHidden/>
              </w:rPr>
              <w:t>89</w:t>
            </w:r>
            <w:r w:rsidR="000B21F5">
              <w:rPr>
                <w:noProof/>
                <w:webHidden/>
              </w:rPr>
              <w:fldChar w:fldCharType="end"/>
            </w:r>
          </w:hyperlink>
        </w:p>
        <w:p w14:paraId="3ACF216C" w14:textId="17A1ABF7" w:rsidR="000B21F5" w:rsidRDefault="00C40C75">
          <w:pPr>
            <w:pStyle w:val="TOC1"/>
            <w:tabs>
              <w:tab w:val="left" w:pos="440"/>
              <w:tab w:val="right" w:leader="dot" w:pos="9016"/>
            </w:tabs>
            <w:rPr>
              <w:rFonts w:eastAsiaTheme="minorEastAsia" w:cstheme="minorBidi"/>
              <w:noProof/>
              <w:lang w:eastAsia="hr-HR"/>
            </w:rPr>
          </w:pPr>
          <w:hyperlink w:anchor="_Toc56954072" w:history="1">
            <w:r w:rsidR="000B21F5" w:rsidRPr="00D478C0">
              <w:rPr>
                <w:rStyle w:val="Hyperlink"/>
                <w:bCs/>
                <w:noProof/>
                <w:lang w:val="en-US"/>
              </w:rPr>
              <w:t>6</w:t>
            </w:r>
            <w:r w:rsidR="000B21F5">
              <w:rPr>
                <w:rFonts w:eastAsiaTheme="minorEastAsia" w:cstheme="minorBidi"/>
                <w:noProof/>
                <w:lang w:eastAsia="hr-HR"/>
              </w:rPr>
              <w:tab/>
            </w:r>
            <w:r w:rsidR="000B21F5" w:rsidRPr="00D478C0">
              <w:rPr>
                <w:rStyle w:val="Hyperlink"/>
                <w:noProof/>
                <w:lang w:val="en-US"/>
              </w:rPr>
              <w:t>GAP ANALYSES OF ESS AND NATIONAL LEGISLATION COMPLIANCE</w:t>
            </w:r>
            <w:r w:rsidR="000B21F5">
              <w:rPr>
                <w:noProof/>
                <w:webHidden/>
              </w:rPr>
              <w:tab/>
            </w:r>
            <w:r w:rsidR="000B21F5">
              <w:rPr>
                <w:noProof/>
                <w:webHidden/>
              </w:rPr>
              <w:fldChar w:fldCharType="begin"/>
            </w:r>
            <w:r w:rsidR="000B21F5">
              <w:rPr>
                <w:noProof/>
                <w:webHidden/>
              </w:rPr>
              <w:instrText xml:space="preserve"> PAGEREF _Toc56954072 \h </w:instrText>
            </w:r>
            <w:r w:rsidR="000B21F5">
              <w:rPr>
                <w:noProof/>
                <w:webHidden/>
              </w:rPr>
            </w:r>
            <w:r w:rsidR="000B21F5">
              <w:rPr>
                <w:noProof/>
                <w:webHidden/>
              </w:rPr>
              <w:fldChar w:fldCharType="separate"/>
            </w:r>
            <w:r w:rsidR="000B21F5">
              <w:rPr>
                <w:noProof/>
                <w:webHidden/>
              </w:rPr>
              <w:t>91</w:t>
            </w:r>
            <w:r w:rsidR="000B21F5">
              <w:rPr>
                <w:noProof/>
                <w:webHidden/>
              </w:rPr>
              <w:fldChar w:fldCharType="end"/>
            </w:r>
          </w:hyperlink>
        </w:p>
        <w:p w14:paraId="374211C3" w14:textId="74ED0196" w:rsidR="000B21F5" w:rsidRDefault="00C40C75">
          <w:pPr>
            <w:pStyle w:val="TOC1"/>
            <w:tabs>
              <w:tab w:val="left" w:pos="440"/>
              <w:tab w:val="right" w:leader="dot" w:pos="9016"/>
            </w:tabs>
            <w:rPr>
              <w:rFonts w:eastAsiaTheme="minorEastAsia" w:cstheme="minorBidi"/>
              <w:noProof/>
              <w:lang w:eastAsia="hr-HR"/>
            </w:rPr>
          </w:pPr>
          <w:hyperlink w:anchor="_Toc56954073" w:history="1">
            <w:r w:rsidR="000B21F5" w:rsidRPr="00D478C0">
              <w:rPr>
                <w:rStyle w:val="Hyperlink"/>
                <w:bCs/>
                <w:noProof/>
                <w:lang w:val="en-US"/>
              </w:rPr>
              <w:t>7</w:t>
            </w:r>
            <w:r w:rsidR="000B21F5">
              <w:rPr>
                <w:rFonts w:eastAsiaTheme="minorEastAsia" w:cstheme="minorBidi"/>
                <w:noProof/>
                <w:lang w:eastAsia="hr-HR"/>
              </w:rPr>
              <w:tab/>
            </w:r>
            <w:r w:rsidR="000B21F5" w:rsidRPr="00D478C0">
              <w:rPr>
                <w:rStyle w:val="Hyperlink"/>
                <w:noProof/>
                <w:lang w:val="en-US"/>
              </w:rPr>
              <w:t>SCREENING OF POTENTIAL ENVIRONMENT AND SOCIAL IMPACTS</w:t>
            </w:r>
            <w:r w:rsidR="000B21F5">
              <w:rPr>
                <w:noProof/>
                <w:webHidden/>
              </w:rPr>
              <w:tab/>
            </w:r>
            <w:r w:rsidR="000B21F5">
              <w:rPr>
                <w:noProof/>
                <w:webHidden/>
              </w:rPr>
              <w:fldChar w:fldCharType="begin"/>
            </w:r>
            <w:r w:rsidR="000B21F5">
              <w:rPr>
                <w:noProof/>
                <w:webHidden/>
              </w:rPr>
              <w:instrText xml:space="preserve"> PAGEREF _Toc56954073 \h </w:instrText>
            </w:r>
            <w:r w:rsidR="000B21F5">
              <w:rPr>
                <w:noProof/>
                <w:webHidden/>
              </w:rPr>
            </w:r>
            <w:r w:rsidR="000B21F5">
              <w:rPr>
                <w:noProof/>
                <w:webHidden/>
              </w:rPr>
              <w:fldChar w:fldCharType="separate"/>
            </w:r>
            <w:r w:rsidR="000B21F5">
              <w:rPr>
                <w:noProof/>
                <w:webHidden/>
              </w:rPr>
              <w:t>95</w:t>
            </w:r>
            <w:r w:rsidR="000B21F5">
              <w:rPr>
                <w:noProof/>
                <w:webHidden/>
              </w:rPr>
              <w:fldChar w:fldCharType="end"/>
            </w:r>
          </w:hyperlink>
        </w:p>
        <w:p w14:paraId="7CB04465" w14:textId="24821827" w:rsidR="000B21F5" w:rsidRDefault="00C40C75">
          <w:pPr>
            <w:pStyle w:val="TOC2"/>
            <w:tabs>
              <w:tab w:val="left" w:pos="880"/>
              <w:tab w:val="right" w:leader="dot" w:pos="9016"/>
            </w:tabs>
            <w:rPr>
              <w:rFonts w:eastAsiaTheme="minorEastAsia" w:cstheme="minorBidi"/>
              <w:noProof/>
              <w:lang w:eastAsia="hr-HR"/>
            </w:rPr>
          </w:pPr>
          <w:hyperlink w:anchor="_Toc56954074" w:history="1">
            <w:r w:rsidR="000B21F5" w:rsidRPr="00D478C0">
              <w:rPr>
                <w:rStyle w:val="Hyperlink"/>
                <w:bCs/>
                <w:noProof/>
                <w:lang w:val="en-US"/>
              </w:rPr>
              <w:t>7.1</w:t>
            </w:r>
            <w:r w:rsidR="000B21F5">
              <w:rPr>
                <w:rFonts w:eastAsiaTheme="minorEastAsia" w:cstheme="minorBidi"/>
                <w:noProof/>
                <w:lang w:eastAsia="hr-HR"/>
              </w:rPr>
              <w:tab/>
            </w:r>
            <w:r w:rsidR="000B21F5" w:rsidRPr="00D478C0">
              <w:rPr>
                <w:rStyle w:val="Hyperlink"/>
                <w:noProof/>
                <w:lang w:val="en-US"/>
              </w:rPr>
              <w:t>Environmental impacts</w:t>
            </w:r>
            <w:r w:rsidR="000B21F5">
              <w:rPr>
                <w:noProof/>
                <w:webHidden/>
              </w:rPr>
              <w:tab/>
            </w:r>
            <w:r w:rsidR="000B21F5">
              <w:rPr>
                <w:noProof/>
                <w:webHidden/>
              </w:rPr>
              <w:fldChar w:fldCharType="begin"/>
            </w:r>
            <w:r w:rsidR="000B21F5">
              <w:rPr>
                <w:noProof/>
                <w:webHidden/>
              </w:rPr>
              <w:instrText xml:space="preserve"> PAGEREF _Toc56954074 \h </w:instrText>
            </w:r>
            <w:r w:rsidR="000B21F5">
              <w:rPr>
                <w:noProof/>
                <w:webHidden/>
              </w:rPr>
            </w:r>
            <w:r w:rsidR="000B21F5">
              <w:rPr>
                <w:noProof/>
                <w:webHidden/>
              </w:rPr>
              <w:fldChar w:fldCharType="separate"/>
            </w:r>
            <w:r w:rsidR="000B21F5">
              <w:rPr>
                <w:noProof/>
                <w:webHidden/>
              </w:rPr>
              <w:t>95</w:t>
            </w:r>
            <w:r w:rsidR="000B21F5">
              <w:rPr>
                <w:noProof/>
                <w:webHidden/>
              </w:rPr>
              <w:fldChar w:fldCharType="end"/>
            </w:r>
          </w:hyperlink>
        </w:p>
        <w:p w14:paraId="113CDFBD" w14:textId="56344646" w:rsidR="000B21F5" w:rsidRDefault="00C40C75">
          <w:pPr>
            <w:pStyle w:val="TOC2"/>
            <w:tabs>
              <w:tab w:val="left" w:pos="880"/>
              <w:tab w:val="right" w:leader="dot" w:pos="9016"/>
            </w:tabs>
            <w:rPr>
              <w:rFonts w:eastAsiaTheme="minorEastAsia" w:cstheme="minorBidi"/>
              <w:noProof/>
              <w:lang w:eastAsia="hr-HR"/>
            </w:rPr>
          </w:pPr>
          <w:hyperlink w:anchor="_Toc56954075" w:history="1">
            <w:r w:rsidR="000B21F5" w:rsidRPr="00D478C0">
              <w:rPr>
                <w:rStyle w:val="Hyperlink"/>
                <w:rFonts w:eastAsia="Times New Roman"/>
                <w:bCs/>
                <w:noProof/>
                <w:lang w:val="en-US" w:eastAsia="hr-HR"/>
              </w:rPr>
              <w:t>7.2</w:t>
            </w:r>
            <w:r w:rsidR="000B21F5">
              <w:rPr>
                <w:rFonts w:eastAsiaTheme="minorEastAsia" w:cstheme="minorBidi"/>
                <w:noProof/>
                <w:lang w:eastAsia="hr-HR"/>
              </w:rPr>
              <w:tab/>
            </w:r>
            <w:r w:rsidR="000B21F5" w:rsidRPr="00D478C0">
              <w:rPr>
                <w:rStyle w:val="Hyperlink"/>
                <w:rFonts w:eastAsia="Times New Roman"/>
                <w:noProof/>
                <w:lang w:val="en-US" w:eastAsia="hr-HR"/>
              </w:rPr>
              <w:t>Social impacts</w:t>
            </w:r>
            <w:r w:rsidR="000B21F5">
              <w:rPr>
                <w:noProof/>
                <w:webHidden/>
              </w:rPr>
              <w:tab/>
            </w:r>
            <w:r w:rsidR="000B21F5">
              <w:rPr>
                <w:noProof/>
                <w:webHidden/>
              </w:rPr>
              <w:fldChar w:fldCharType="begin"/>
            </w:r>
            <w:r w:rsidR="000B21F5">
              <w:rPr>
                <w:noProof/>
                <w:webHidden/>
              </w:rPr>
              <w:instrText xml:space="preserve"> PAGEREF _Toc56954075 \h </w:instrText>
            </w:r>
            <w:r w:rsidR="000B21F5">
              <w:rPr>
                <w:noProof/>
                <w:webHidden/>
              </w:rPr>
            </w:r>
            <w:r w:rsidR="000B21F5">
              <w:rPr>
                <w:noProof/>
                <w:webHidden/>
              </w:rPr>
              <w:fldChar w:fldCharType="separate"/>
            </w:r>
            <w:r w:rsidR="000B21F5">
              <w:rPr>
                <w:noProof/>
                <w:webHidden/>
              </w:rPr>
              <w:t>105</w:t>
            </w:r>
            <w:r w:rsidR="000B21F5">
              <w:rPr>
                <w:noProof/>
                <w:webHidden/>
              </w:rPr>
              <w:fldChar w:fldCharType="end"/>
            </w:r>
          </w:hyperlink>
        </w:p>
        <w:p w14:paraId="676011AD" w14:textId="0111D2BF" w:rsidR="000B21F5" w:rsidRDefault="00C40C75">
          <w:pPr>
            <w:pStyle w:val="TOC3"/>
            <w:tabs>
              <w:tab w:val="left" w:pos="1320"/>
              <w:tab w:val="right" w:leader="dot" w:pos="9016"/>
            </w:tabs>
            <w:rPr>
              <w:rFonts w:eastAsiaTheme="minorEastAsia" w:cstheme="minorBidi"/>
              <w:noProof/>
              <w:lang w:eastAsia="hr-HR"/>
            </w:rPr>
          </w:pPr>
          <w:hyperlink w:anchor="_Toc56954076" w:history="1">
            <w:r w:rsidR="000B21F5" w:rsidRPr="00D478C0">
              <w:rPr>
                <w:rStyle w:val="Hyperlink"/>
                <w:bCs/>
                <w:noProof/>
                <w:lang w:val="en-US"/>
              </w:rPr>
              <w:t>7.2.1</w:t>
            </w:r>
            <w:r w:rsidR="000B21F5">
              <w:rPr>
                <w:rFonts w:eastAsiaTheme="minorEastAsia" w:cstheme="minorBidi"/>
                <w:noProof/>
                <w:lang w:eastAsia="hr-HR"/>
              </w:rPr>
              <w:tab/>
            </w:r>
            <w:r w:rsidR="000B21F5" w:rsidRPr="00D478C0">
              <w:rPr>
                <w:rStyle w:val="Hyperlink"/>
                <w:noProof/>
                <w:lang w:val="en-US"/>
              </w:rPr>
              <w:t>Labor and working conditions</w:t>
            </w:r>
            <w:r w:rsidR="000B21F5">
              <w:rPr>
                <w:noProof/>
                <w:webHidden/>
              </w:rPr>
              <w:tab/>
            </w:r>
            <w:r w:rsidR="000B21F5">
              <w:rPr>
                <w:noProof/>
                <w:webHidden/>
              </w:rPr>
              <w:fldChar w:fldCharType="begin"/>
            </w:r>
            <w:r w:rsidR="000B21F5">
              <w:rPr>
                <w:noProof/>
                <w:webHidden/>
              </w:rPr>
              <w:instrText xml:space="preserve"> PAGEREF _Toc56954076 \h </w:instrText>
            </w:r>
            <w:r w:rsidR="000B21F5">
              <w:rPr>
                <w:noProof/>
                <w:webHidden/>
              </w:rPr>
            </w:r>
            <w:r w:rsidR="000B21F5">
              <w:rPr>
                <w:noProof/>
                <w:webHidden/>
              </w:rPr>
              <w:fldChar w:fldCharType="separate"/>
            </w:r>
            <w:r w:rsidR="000B21F5">
              <w:rPr>
                <w:noProof/>
                <w:webHidden/>
              </w:rPr>
              <w:t>106</w:t>
            </w:r>
            <w:r w:rsidR="000B21F5">
              <w:rPr>
                <w:noProof/>
                <w:webHidden/>
              </w:rPr>
              <w:fldChar w:fldCharType="end"/>
            </w:r>
          </w:hyperlink>
        </w:p>
        <w:p w14:paraId="6B9306A4" w14:textId="762EEFFA" w:rsidR="000B21F5" w:rsidRDefault="00C40C75">
          <w:pPr>
            <w:pStyle w:val="TOC1"/>
            <w:tabs>
              <w:tab w:val="left" w:pos="440"/>
              <w:tab w:val="right" w:leader="dot" w:pos="9016"/>
            </w:tabs>
            <w:rPr>
              <w:rFonts w:eastAsiaTheme="minorEastAsia" w:cstheme="minorBidi"/>
              <w:noProof/>
              <w:lang w:eastAsia="hr-HR"/>
            </w:rPr>
          </w:pPr>
          <w:hyperlink w:anchor="_Toc56954077" w:history="1">
            <w:r w:rsidR="000B21F5" w:rsidRPr="00D478C0">
              <w:rPr>
                <w:rStyle w:val="Hyperlink"/>
                <w:bCs/>
                <w:noProof/>
                <w:lang w:val="en-US"/>
              </w:rPr>
              <w:t>8</w:t>
            </w:r>
            <w:r w:rsidR="000B21F5">
              <w:rPr>
                <w:rFonts w:eastAsiaTheme="minorEastAsia" w:cstheme="minorBidi"/>
                <w:noProof/>
                <w:lang w:eastAsia="hr-HR"/>
              </w:rPr>
              <w:tab/>
            </w:r>
            <w:r w:rsidR="000B21F5" w:rsidRPr="00D478C0">
              <w:rPr>
                <w:rStyle w:val="Hyperlink"/>
                <w:noProof/>
                <w:lang w:val="en-US"/>
              </w:rPr>
              <w:t>IMPACT MITIGATION AND DUE DILIGENCE DOCUMENTS AND DECISIONS</w:t>
            </w:r>
            <w:r w:rsidR="000B21F5">
              <w:rPr>
                <w:noProof/>
                <w:webHidden/>
              </w:rPr>
              <w:tab/>
            </w:r>
            <w:r w:rsidR="000B21F5">
              <w:rPr>
                <w:noProof/>
                <w:webHidden/>
              </w:rPr>
              <w:fldChar w:fldCharType="begin"/>
            </w:r>
            <w:r w:rsidR="000B21F5">
              <w:rPr>
                <w:noProof/>
                <w:webHidden/>
              </w:rPr>
              <w:instrText xml:space="preserve"> PAGEREF _Toc56954077 \h </w:instrText>
            </w:r>
            <w:r w:rsidR="000B21F5">
              <w:rPr>
                <w:noProof/>
                <w:webHidden/>
              </w:rPr>
            </w:r>
            <w:r w:rsidR="000B21F5">
              <w:rPr>
                <w:noProof/>
                <w:webHidden/>
              </w:rPr>
              <w:fldChar w:fldCharType="separate"/>
            </w:r>
            <w:r w:rsidR="000B21F5">
              <w:rPr>
                <w:noProof/>
                <w:webHidden/>
              </w:rPr>
              <w:t>108</w:t>
            </w:r>
            <w:r w:rsidR="000B21F5">
              <w:rPr>
                <w:noProof/>
                <w:webHidden/>
              </w:rPr>
              <w:fldChar w:fldCharType="end"/>
            </w:r>
          </w:hyperlink>
        </w:p>
        <w:p w14:paraId="0272B7E5" w14:textId="3A5353C0" w:rsidR="000B21F5" w:rsidRDefault="00C40C75">
          <w:pPr>
            <w:pStyle w:val="TOC3"/>
            <w:tabs>
              <w:tab w:val="left" w:pos="1320"/>
              <w:tab w:val="right" w:leader="dot" w:pos="9016"/>
            </w:tabs>
            <w:rPr>
              <w:rFonts w:eastAsiaTheme="minorEastAsia" w:cstheme="minorBidi"/>
              <w:noProof/>
              <w:lang w:eastAsia="hr-HR"/>
            </w:rPr>
          </w:pPr>
          <w:hyperlink w:anchor="_Toc56954078" w:history="1">
            <w:r w:rsidR="000B21F5" w:rsidRPr="00D478C0">
              <w:rPr>
                <w:rStyle w:val="Hyperlink"/>
                <w:bCs/>
                <w:noProof/>
                <w:lang w:val="en-US"/>
              </w:rPr>
              <w:t>8.1.1</w:t>
            </w:r>
            <w:r w:rsidR="000B21F5">
              <w:rPr>
                <w:rFonts w:eastAsiaTheme="minorEastAsia" w:cstheme="minorBidi"/>
                <w:noProof/>
                <w:lang w:eastAsia="hr-HR"/>
              </w:rPr>
              <w:tab/>
            </w:r>
            <w:r w:rsidR="000B21F5" w:rsidRPr="00D478C0">
              <w:rPr>
                <w:rStyle w:val="Hyperlink"/>
                <w:noProof/>
                <w:lang w:val="en-US"/>
              </w:rPr>
              <w:t>Due diligence documents and decisions</w:t>
            </w:r>
            <w:r w:rsidR="000B21F5">
              <w:rPr>
                <w:noProof/>
                <w:webHidden/>
              </w:rPr>
              <w:tab/>
            </w:r>
            <w:r w:rsidR="000B21F5">
              <w:rPr>
                <w:noProof/>
                <w:webHidden/>
              </w:rPr>
              <w:fldChar w:fldCharType="begin"/>
            </w:r>
            <w:r w:rsidR="000B21F5">
              <w:rPr>
                <w:noProof/>
                <w:webHidden/>
              </w:rPr>
              <w:instrText xml:space="preserve"> PAGEREF _Toc56954078 \h </w:instrText>
            </w:r>
            <w:r w:rsidR="000B21F5">
              <w:rPr>
                <w:noProof/>
                <w:webHidden/>
              </w:rPr>
            </w:r>
            <w:r w:rsidR="000B21F5">
              <w:rPr>
                <w:noProof/>
                <w:webHidden/>
              </w:rPr>
              <w:fldChar w:fldCharType="separate"/>
            </w:r>
            <w:r w:rsidR="000B21F5">
              <w:rPr>
                <w:noProof/>
                <w:webHidden/>
              </w:rPr>
              <w:t>112</w:t>
            </w:r>
            <w:r w:rsidR="000B21F5">
              <w:rPr>
                <w:noProof/>
                <w:webHidden/>
              </w:rPr>
              <w:fldChar w:fldCharType="end"/>
            </w:r>
          </w:hyperlink>
        </w:p>
        <w:p w14:paraId="0605787A" w14:textId="6ECA96EC" w:rsidR="000B21F5" w:rsidRDefault="00C40C75">
          <w:pPr>
            <w:pStyle w:val="TOC1"/>
            <w:tabs>
              <w:tab w:val="left" w:pos="440"/>
              <w:tab w:val="right" w:leader="dot" w:pos="9016"/>
            </w:tabs>
            <w:rPr>
              <w:rFonts w:eastAsiaTheme="minorEastAsia" w:cstheme="minorBidi"/>
              <w:noProof/>
              <w:lang w:eastAsia="hr-HR"/>
            </w:rPr>
          </w:pPr>
          <w:hyperlink w:anchor="_Toc56954079" w:history="1">
            <w:r w:rsidR="000B21F5" w:rsidRPr="00D478C0">
              <w:rPr>
                <w:rStyle w:val="Hyperlink"/>
                <w:bCs/>
                <w:noProof/>
                <w:lang w:val="en-US"/>
              </w:rPr>
              <w:t>9</w:t>
            </w:r>
            <w:r w:rsidR="000B21F5">
              <w:rPr>
                <w:rFonts w:eastAsiaTheme="minorEastAsia" w:cstheme="minorBidi"/>
                <w:noProof/>
                <w:lang w:eastAsia="hr-HR"/>
              </w:rPr>
              <w:tab/>
            </w:r>
            <w:r w:rsidR="000B21F5" w:rsidRPr="00D478C0">
              <w:rPr>
                <w:rStyle w:val="Hyperlink"/>
                <w:noProof/>
                <w:lang w:val="en-US"/>
              </w:rPr>
              <w:t>PROJECT IMPLEMENTATION SETTING</w:t>
            </w:r>
            <w:r w:rsidR="000B21F5">
              <w:rPr>
                <w:noProof/>
                <w:webHidden/>
              </w:rPr>
              <w:tab/>
            </w:r>
            <w:r w:rsidR="000B21F5">
              <w:rPr>
                <w:noProof/>
                <w:webHidden/>
              </w:rPr>
              <w:fldChar w:fldCharType="begin"/>
            </w:r>
            <w:r w:rsidR="000B21F5">
              <w:rPr>
                <w:noProof/>
                <w:webHidden/>
              </w:rPr>
              <w:instrText xml:space="preserve"> PAGEREF _Toc56954079 \h </w:instrText>
            </w:r>
            <w:r w:rsidR="000B21F5">
              <w:rPr>
                <w:noProof/>
                <w:webHidden/>
              </w:rPr>
            </w:r>
            <w:r w:rsidR="000B21F5">
              <w:rPr>
                <w:noProof/>
                <w:webHidden/>
              </w:rPr>
              <w:fldChar w:fldCharType="separate"/>
            </w:r>
            <w:r w:rsidR="000B21F5">
              <w:rPr>
                <w:noProof/>
                <w:webHidden/>
              </w:rPr>
              <w:t>120</w:t>
            </w:r>
            <w:r w:rsidR="000B21F5">
              <w:rPr>
                <w:noProof/>
                <w:webHidden/>
              </w:rPr>
              <w:fldChar w:fldCharType="end"/>
            </w:r>
          </w:hyperlink>
        </w:p>
        <w:p w14:paraId="1AEBA137" w14:textId="77C27A70" w:rsidR="000B21F5" w:rsidRDefault="00C40C75">
          <w:pPr>
            <w:pStyle w:val="TOC2"/>
            <w:tabs>
              <w:tab w:val="left" w:pos="880"/>
              <w:tab w:val="right" w:leader="dot" w:pos="9016"/>
            </w:tabs>
            <w:rPr>
              <w:rFonts w:eastAsiaTheme="minorEastAsia" w:cstheme="minorBidi"/>
              <w:noProof/>
              <w:lang w:eastAsia="hr-HR"/>
            </w:rPr>
          </w:pPr>
          <w:hyperlink w:anchor="_Toc56954080" w:history="1">
            <w:r w:rsidR="000B21F5" w:rsidRPr="00D478C0">
              <w:rPr>
                <w:rStyle w:val="Hyperlink"/>
                <w:bCs/>
                <w:noProof/>
                <w:lang w:val="en-US"/>
              </w:rPr>
              <w:t>9.1</w:t>
            </w:r>
            <w:r w:rsidR="000B21F5">
              <w:rPr>
                <w:rFonts w:eastAsiaTheme="minorEastAsia" w:cstheme="minorBidi"/>
                <w:noProof/>
                <w:lang w:eastAsia="hr-HR"/>
              </w:rPr>
              <w:tab/>
            </w:r>
            <w:r w:rsidR="000B21F5" w:rsidRPr="00D478C0">
              <w:rPr>
                <w:rStyle w:val="Hyperlink"/>
                <w:noProof/>
                <w:lang w:val="en-US"/>
              </w:rPr>
              <w:t>Implementation</w:t>
            </w:r>
            <w:r w:rsidR="000B21F5">
              <w:rPr>
                <w:noProof/>
                <w:webHidden/>
              </w:rPr>
              <w:tab/>
            </w:r>
            <w:r w:rsidR="000B21F5">
              <w:rPr>
                <w:noProof/>
                <w:webHidden/>
              </w:rPr>
              <w:fldChar w:fldCharType="begin"/>
            </w:r>
            <w:r w:rsidR="000B21F5">
              <w:rPr>
                <w:noProof/>
                <w:webHidden/>
              </w:rPr>
              <w:instrText xml:space="preserve"> PAGEREF _Toc56954080 \h </w:instrText>
            </w:r>
            <w:r w:rsidR="000B21F5">
              <w:rPr>
                <w:noProof/>
                <w:webHidden/>
              </w:rPr>
            </w:r>
            <w:r w:rsidR="000B21F5">
              <w:rPr>
                <w:noProof/>
                <w:webHidden/>
              </w:rPr>
              <w:fldChar w:fldCharType="separate"/>
            </w:r>
            <w:r w:rsidR="000B21F5">
              <w:rPr>
                <w:noProof/>
                <w:webHidden/>
              </w:rPr>
              <w:t>120</w:t>
            </w:r>
            <w:r w:rsidR="000B21F5">
              <w:rPr>
                <w:noProof/>
                <w:webHidden/>
              </w:rPr>
              <w:fldChar w:fldCharType="end"/>
            </w:r>
          </w:hyperlink>
        </w:p>
        <w:p w14:paraId="5C946AA0" w14:textId="35800E09" w:rsidR="000B21F5" w:rsidRDefault="00C40C75">
          <w:pPr>
            <w:pStyle w:val="TOC2"/>
            <w:tabs>
              <w:tab w:val="left" w:pos="880"/>
              <w:tab w:val="right" w:leader="dot" w:pos="9016"/>
            </w:tabs>
            <w:rPr>
              <w:rFonts w:eastAsiaTheme="minorEastAsia" w:cstheme="minorBidi"/>
              <w:noProof/>
              <w:lang w:eastAsia="hr-HR"/>
            </w:rPr>
          </w:pPr>
          <w:hyperlink w:anchor="_Toc56954081" w:history="1">
            <w:r w:rsidR="000B21F5" w:rsidRPr="00D478C0">
              <w:rPr>
                <w:rStyle w:val="Hyperlink"/>
                <w:bCs/>
                <w:noProof/>
                <w:lang w:val="en-US"/>
              </w:rPr>
              <w:t>9.2</w:t>
            </w:r>
            <w:r w:rsidR="000B21F5">
              <w:rPr>
                <w:rFonts w:eastAsiaTheme="minorEastAsia" w:cstheme="minorBidi"/>
                <w:noProof/>
                <w:lang w:eastAsia="hr-HR"/>
              </w:rPr>
              <w:tab/>
            </w:r>
            <w:r w:rsidR="000B21F5" w:rsidRPr="00D478C0">
              <w:rPr>
                <w:rStyle w:val="Hyperlink"/>
                <w:noProof/>
                <w:lang w:val="en-US"/>
              </w:rPr>
              <w:t>Reporting arrangements</w:t>
            </w:r>
            <w:r w:rsidR="000B21F5">
              <w:rPr>
                <w:noProof/>
                <w:webHidden/>
              </w:rPr>
              <w:tab/>
            </w:r>
            <w:r w:rsidR="000B21F5">
              <w:rPr>
                <w:noProof/>
                <w:webHidden/>
              </w:rPr>
              <w:fldChar w:fldCharType="begin"/>
            </w:r>
            <w:r w:rsidR="000B21F5">
              <w:rPr>
                <w:noProof/>
                <w:webHidden/>
              </w:rPr>
              <w:instrText xml:space="preserve"> PAGEREF _Toc56954081 \h </w:instrText>
            </w:r>
            <w:r w:rsidR="000B21F5">
              <w:rPr>
                <w:noProof/>
                <w:webHidden/>
              </w:rPr>
            </w:r>
            <w:r w:rsidR="000B21F5">
              <w:rPr>
                <w:noProof/>
                <w:webHidden/>
              </w:rPr>
              <w:fldChar w:fldCharType="separate"/>
            </w:r>
            <w:r w:rsidR="000B21F5">
              <w:rPr>
                <w:noProof/>
                <w:webHidden/>
              </w:rPr>
              <w:t>121</w:t>
            </w:r>
            <w:r w:rsidR="000B21F5">
              <w:rPr>
                <w:noProof/>
                <w:webHidden/>
              </w:rPr>
              <w:fldChar w:fldCharType="end"/>
            </w:r>
          </w:hyperlink>
        </w:p>
        <w:p w14:paraId="44CB5ACC" w14:textId="215EB533" w:rsidR="000B21F5" w:rsidRDefault="00C40C75">
          <w:pPr>
            <w:pStyle w:val="TOC1"/>
            <w:tabs>
              <w:tab w:val="left" w:pos="660"/>
              <w:tab w:val="right" w:leader="dot" w:pos="9016"/>
            </w:tabs>
            <w:rPr>
              <w:rFonts w:eastAsiaTheme="minorEastAsia" w:cstheme="minorBidi"/>
              <w:noProof/>
              <w:lang w:eastAsia="hr-HR"/>
            </w:rPr>
          </w:pPr>
          <w:hyperlink w:anchor="_Toc56954082" w:history="1">
            <w:r w:rsidR="000B21F5" w:rsidRPr="00D478C0">
              <w:rPr>
                <w:rStyle w:val="Hyperlink"/>
                <w:bCs/>
                <w:noProof/>
                <w:lang w:val="en-US"/>
              </w:rPr>
              <w:t>10</w:t>
            </w:r>
            <w:r w:rsidR="000B21F5">
              <w:rPr>
                <w:rFonts w:eastAsiaTheme="minorEastAsia" w:cstheme="minorBidi"/>
                <w:noProof/>
                <w:lang w:eastAsia="hr-HR"/>
              </w:rPr>
              <w:tab/>
            </w:r>
            <w:r w:rsidR="000B21F5" w:rsidRPr="00D478C0">
              <w:rPr>
                <w:rStyle w:val="Hyperlink"/>
                <w:noProof/>
                <w:lang w:val="en-US"/>
              </w:rPr>
              <w:t>FEEDBACK AND GRIEVANCE REDRESS MECHANISM</w:t>
            </w:r>
            <w:r w:rsidR="000B21F5">
              <w:rPr>
                <w:noProof/>
                <w:webHidden/>
              </w:rPr>
              <w:tab/>
            </w:r>
            <w:r w:rsidR="000B21F5">
              <w:rPr>
                <w:noProof/>
                <w:webHidden/>
              </w:rPr>
              <w:fldChar w:fldCharType="begin"/>
            </w:r>
            <w:r w:rsidR="000B21F5">
              <w:rPr>
                <w:noProof/>
                <w:webHidden/>
              </w:rPr>
              <w:instrText xml:space="preserve"> PAGEREF _Toc56954082 \h </w:instrText>
            </w:r>
            <w:r w:rsidR="000B21F5">
              <w:rPr>
                <w:noProof/>
                <w:webHidden/>
              </w:rPr>
            </w:r>
            <w:r w:rsidR="000B21F5">
              <w:rPr>
                <w:noProof/>
                <w:webHidden/>
              </w:rPr>
              <w:fldChar w:fldCharType="separate"/>
            </w:r>
            <w:r w:rsidR="000B21F5">
              <w:rPr>
                <w:noProof/>
                <w:webHidden/>
              </w:rPr>
              <w:t>125</w:t>
            </w:r>
            <w:r w:rsidR="000B21F5">
              <w:rPr>
                <w:noProof/>
                <w:webHidden/>
              </w:rPr>
              <w:fldChar w:fldCharType="end"/>
            </w:r>
          </w:hyperlink>
        </w:p>
        <w:p w14:paraId="48671E06" w14:textId="6D92CEFD" w:rsidR="000B21F5" w:rsidRDefault="00C40C75">
          <w:pPr>
            <w:pStyle w:val="TOC1"/>
            <w:tabs>
              <w:tab w:val="left" w:pos="660"/>
              <w:tab w:val="right" w:leader="dot" w:pos="9016"/>
            </w:tabs>
            <w:rPr>
              <w:rFonts w:eastAsiaTheme="minorEastAsia" w:cstheme="minorBidi"/>
              <w:noProof/>
              <w:lang w:eastAsia="hr-HR"/>
            </w:rPr>
          </w:pPr>
          <w:hyperlink w:anchor="_Toc56954083" w:history="1">
            <w:r w:rsidR="000B21F5" w:rsidRPr="00D478C0">
              <w:rPr>
                <w:rStyle w:val="Hyperlink"/>
                <w:bCs/>
                <w:noProof/>
                <w:lang w:val="en-US"/>
              </w:rPr>
              <w:t>11</w:t>
            </w:r>
            <w:r w:rsidR="000B21F5">
              <w:rPr>
                <w:rFonts w:eastAsiaTheme="minorEastAsia" w:cstheme="minorBidi"/>
                <w:noProof/>
                <w:lang w:eastAsia="hr-HR"/>
              </w:rPr>
              <w:tab/>
            </w:r>
            <w:r w:rsidR="000B21F5" w:rsidRPr="00D478C0">
              <w:rPr>
                <w:rStyle w:val="Hyperlink"/>
                <w:noProof/>
              </w:rPr>
              <w:t>ANNEXES</w:t>
            </w:r>
            <w:r w:rsidR="000B21F5">
              <w:rPr>
                <w:noProof/>
                <w:webHidden/>
              </w:rPr>
              <w:tab/>
            </w:r>
            <w:r w:rsidR="000B21F5">
              <w:rPr>
                <w:noProof/>
                <w:webHidden/>
              </w:rPr>
              <w:fldChar w:fldCharType="begin"/>
            </w:r>
            <w:r w:rsidR="000B21F5">
              <w:rPr>
                <w:noProof/>
                <w:webHidden/>
              </w:rPr>
              <w:instrText xml:space="preserve"> PAGEREF _Toc56954083 \h </w:instrText>
            </w:r>
            <w:r w:rsidR="000B21F5">
              <w:rPr>
                <w:noProof/>
                <w:webHidden/>
              </w:rPr>
            </w:r>
            <w:r w:rsidR="000B21F5">
              <w:rPr>
                <w:noProof/>
                <w:webHidden/>
              </w:rPr>
              <w:fldChar w:fldCharType="separate"/>
            </w:r>
            <w:r w:rsidR="000B21F5">
              <w:rPr>
                <w:noProof/>
                <w:webHidden/>
              </w:rPr>
              <w:t>127</w:t>
            </w:r>
            <w:r w:rsidR="000B21F5">
              <w:rPr>
                <w:noProof/>
                <w:webHidden/>
              </w:rPr>
              <w:fldChar w:fldCharType="end"/>
            </w:r>
          </w:hyperlink>
        </w:p>
        <w:p w14:paraId="36F7A4D2" w14:textId="4F0A012B" w:rsidR="000B21F5" w:rsidRDefault="00C40C75">
          <w:pPr>
            <w:pStyle w:val="TOC1"/>
            <w:tabs>
              <w:tab w:val="right" w:leader="dot" w:pos="9016"/>
            </w:tabs>
            <w:rPr>
              <w:rFonts w:eastAsiaTheme="minorEastAsia" w:cstheme="minorBidi"/>
              <w:noProof/>
              <w:lang w:eastAsia="hr-HR"/>
            </w:rPr>
          </w:pPr>
          <w:hyperlink w:anchor="_Toc56954084" w:history="1">
            <w:r w:rsidR="000B21F5" w:rsidRPr="00D478C0">
              <w:rPr>
                <w:rStyle w:val="Hyperlink"/>
                <w:noProof/>
              </w:rPr>
              <w:t xml:space="preserve">ANNEX I </w:t>
            </w:r>
            <w:r w:rsidR="000B21F5" w:rsidRPr="00D478C0">
              <w:rPr>
                <w:rStyle w:val="Hyperlink"/>
                <w:noProof/>
                <w:lang w:val="en-GB"/>
              </w:rPr>
              <w:t>– ECOLOGICAL NETWORK FOR COMPONENT 2 (NATURA 2000)</w:t>
            </w:r>
            <w:r w:rsidR="000B21F5">
              <w:rPr>
                <w:noProof/>
                <w:webHidden/>
              </w:rPr>
              <w:tab/>
            </w:r>
            <w:r w:rsidR="000B21F5">
              <w:rPr>
                <w:noProof/>
                <w:webHidden/>
              </w:rPr>
              <w:fldChar w:fldCharType="begin"/>
            </w:r>
            <w:r w:rsidR="000B21F5">
              <w:rPr>
                <w:noProof/>
                <w:webHidden/>
              </w:rPr>
              <w:instrText xml:space="preserve"> PAGEREF _Toc56954084 \h </w:instrText>
            </w:r>
            <w:r w:rsidR="000B21F5">
              <w:rPr>
                <w:noProof/>
                <w:webHidden/>
              </w:rPr>
            </w:r>
            <w:r w:rsidR="000B21F5">
              <w:rPr>
                <w:noProof/>
                <w:webHidden/>
              </w:rPr>
              <w:fldChar w:fldCharType="separate"/>
            </w:r>
            <w:r w:rsidR="000B21F5">
              <w:rPr>
                <w:noProof/>
                <w:webHidden/>
              </w:rPr>
              <w:t>127</w:t>
            </w:r>
            <w:r w:rsidR="000B21F5">
              <w:rPr>
                <w:noProof/>
                <w:webHidden/>
              </w:rPr>
              <w:fldChar w:fldCharType="end"/>
            </w:r>
          </w:hyperlink>
        </w:p>
        <w:p w14:paraId="557AE18E" w14:textId="1B070B05" w:rsidR="000B21F5" w:rsidRDefault="00C40C75">
          <w:pPr>
            <w:pStyle w:val="TOC1"/>
            <w:tabs>
              <w:tab w:val="right" w:leader="dot" w:pos="9016"/>
            </w:tabs>
            <w:rPr>
              <w:rFonts w:eastAsiaTheme="minorEastAsia" w:cstheme="minorBidi"/>
              <w:noProof/>
              <w:lang w:eastAsia="hr-HR"/>
            </w:rPr>
          </w:pPr>
          <w:hyperlink w:anchor="_Toc56954085" w:history="1">
            <w:r w:rsidR="000B21F5" w:rsidRPr="00D478C0">
              <w:rPr>
                <w:rStyle w:val="Hyperlink"/>
                <w:noProof/>
              </w:rPr>
              <w:t xml:space="preserve">ANNEX II </w:t>
            </w:r>
            <w:r w:rsidR="000B21F5" w:rsidRPr="00D478C0">
              <w:rPr>
                <w:rStyle w:val="Hyperlink"/>
                <w:noProof/>
                <w:lang w:val="en-US"/>
              </w:rPr>
              <w:t>– THE NATIONAL EIA PROCEDURE</w:t>
            </w:r>
            <w:r w:rsidR="000B21F5">
              <w:rPr>
                <w:noProof/>
                <w:webHidden/>
              </w:rPr>
              <w:tab/>
            </w:r>
            <w:r w:rsidR="000B21F5">
              <w:rPr>
                <w:noProof/>
                <w:webHidden/>
              </w:rPr>
              <w:fldChar w:fldCharType="begin"/>
            </w:r>
            <w:r w:rsidR="000B21F5">
              <w:rPr>
                <w:noProof/>
                <w:webHidden/>
              </w:rPr>
              <w:instrText xml:space="preserve"> PAGEREF _Toc56954085 \h </w:instrText>
            </w:r>
            <w:r w:rsidR="000B21F5">
              <w:rPr>
                <w:noProof/>
                <w:webHidden/>
              </w:rPr>
            </w:r>
            <w:r w:rsidR="000B21F5">
              <w:rPr>
                <w:noProof/>
                <w:webHidden/>
              </w:rPr>
              <w:fldChar w:fldCharType="separate"/>
            </w:r>
            <w:r w:rsidR="000B21F5">
              <w:rPr>
                <w:noProof/>
                <w:webHidden/>
              </w:rPr>
              <w:t>128</w:t>
            </w:r>
            <w:r w:rsidR="000B21F5">
              <w:rPr>
                <w:noProof/>
                <w:webHidden/>
              </w:rPr>
              <w:fldChar w:fldCharType="end"/>
            </w:r>
          </w:hyperlink>
        </w:p>
        <w:p w14:paraId="662BF98C" w14:textId="1682C719" w:rsidR="000B21F5" w:rsidRDefault="00C40C75">
          <w:pPr>
            <w:pStyle w:val="TOC1"/>
            <w:tabs>
              <w:tab w:val="right" w:leader="dot" w:pos="9016"/>
            </w:tabs>
            <w:rPr>
              <w:rFonts w:eastAsiaTheme="minorEastAsia" w:cstheme="minorBidi"/>
              <w:noProof/>
              <w:lang w:eastAsia="hr-HR"/>
            </w:rPr>
          </w:pPr>
          <w:hyperlink w:anchor="_Toc56954086" w:history="1">
            <w:r w:rsidR="000B21F5" w:rsidRPr="00D478C0">
              <w:rPr>
                <w:rStyle w:val="Hyperlink"/>
                <w:noProof/>
              </w:rPr>
              <w:t xml:space="preserve">ANNEX III </w:t>
            </w:r>
            <w:r w:rsidR="000B21F5" w:rsidRPr="00D478C0">
              <w:rPr>
                <w:rStyle w:val="Hyperlink"/>
                <w:noProof/>
                <w:lang w:val="en-US"/>
              </w:rPr>
              <w:t>- NATURA 2000 NETWORK AND PROTECTED PARTS OF NATURE – LEGAL PROTECTION PROCEDURE ACCORDING TO CROATIAN LEGISLATION</w:t>
            </w:r>
            <w:r w:rsidR="000B21F5">
              <w:rPr>
                <w:noProof/>
                <w:webHidden/>
              </w:rPr>
              <w:tab/>
            </w:r>
            <w:r w:rsidR="000B21F5">
              <w:rPr>
                <w:noProof/>
                <w:webHidden/>
              </w:rPr>
              <w:fldChar w:fldCharType="begin"/>
            </w:r>
            <w:r w:rsidR="000B21F5">
              <w:rPr>
                <w:noProof/>
                <w:webHidden/>
              </w:rPr>
              <w:instrText xml:space="preserve"> PAGEREF _Toc56954086 \h </w:instrText>
            </w:r>
            <w:r w:rsidR="000B21F5">
              <w:rPr>
                <w:noProof/>
                <w:webHidden/>
              </w:rPr>
            </w:r>
            <w:r w:rsidR="000B21F5">
              <w:rPr>
                <w:noProof/>
                <w:webHidden/>
              </w:rPr>
              <w:fldChar w:fldCharType="separate"/>
            </w:r>
            <w:r w:rsidR="000B21F5">
              <w:rPr>
                <w:noProof/>
                <w:webHidden/>
              </w:rPr>
              <w:t>129</w:t>
            </w:r>
            <w:r w:rsidR="000B21F5">
              <w:rPr>
                <w:noProof/>
                <w:webHidden/>
              </w:rPr>
              <w:fldChar w:fldCharType="end"/>
            </w:r>
          </w:hyperlink>
        </w:p>
        <w:p w14:paraId="40115E74" w14:textId="6C1DE6CA" w:rsidR="000B21F5" w:rsidRDefault="00C40C75">
          <w:pPr>
            <w:pStyle w:val="TOC1"/>
            <w:tabs>
              <w:tab w:val="right" w:leader="dot" w:pos="9016"/>
            </w:tabs>
            <w:rPr>
              <w:rFonts w:eastAsiaTheme="minorEastAsia" w:cstheme="minorBidi"/>
              <w:noProof/>
              <w:lang w:eastAsia="hr-HR"/>
            </w:rPr>
          </w:pPr>
          <w:hyperlink w:anchor="_Toc56954087" w:history="1">
            <w:r w:rsidR="000B21F5" w:rsidRPr="00D478C0">
              <w:rPr>
                <w:rStyle w:val="Hyperlink"/>
                <w:noProof/>
              </w:rPr>
              <w:t xml:space="preserve">ANNEX IV </w:t>
            </w:r>
            <w:r w:rsidR="000B21F5" w:rsidRPr="00D478C0">
              <w:rPr>
                <w:rStyle w:val="Hyperlink"/>
                <w:noProof/>
                <w:lang w:val="en-US"/>
              </w:rPr>
              <w:t>- PROCEDURE OF ISSUING LOCATION, BUILDING AND USE PERMIT ACCORDING TO CONSTRUCTION ACT (OG 153/13, 20/17, 39/19,125/19) AND THE PHYSICAL PLANNING ACT (OG 153/13, 65/17, 114/18, 39/19, 98/19)</w:t>
            </w:r>
            <w:r w:rsidR="000B21F5">
              <w:rPr>
                <w:noProof/>
                <w:webHidden/>
              </w:rPr>
              <w:tab/>
            </w:r>
            <w:r w:rsidR="000B21F5">
              <w:rPr>
                <w:noProof/>
                <w:webHidden/>
              </w:rPr>
              <w:fldChar w:fldCharType="begin"/>
            </w:r>
            <w:r w:rsidR="000B21F5">
              <w:rPr>
                <w:noProof/>
                <w:webHidden/>
              </w:rPr>
              <w:instrText xml:space="preserve"> PAGEREF _Toc56954087 \h </w:instrText>
            </w:r>
            <w:r w:rsidR="000B21F5">
              <w:rPr>
                <w:noProof/>
                <w:webHidden/>
              </w:rPr>
            </w:r>
            <w:r w:rsidR="000B21F5">
              <w:rPr>
                <w:noProof/>
                <w:webHidden/>
              </w:rPr>
              <w:fldChar w:fldCharType="separate"/>
            </w:r>
            <w:r w:rsidR="000B21F5">
              <w:rPr>
                <w:noProof/>
                <w:webHidden/>
              </w:rPr>
              <w:t>130</w:t>
            </w:r>
            <w:r w:rsidR="000B21F5">
              <w:rPr>
                <w:noProof/>
                <w:webHidden/>
              </w:rPr>
              <w:fldChar w:fldCharType="end"/>
            </w:r>
          </w:hyperlink>
        </w:p>
        <w:p w14:paraId="756165DF" w14:textId="1204CA23" w:rsidR="000B21F5" w:rsidRDefault="00C40C75">
          <w:pPr>
            <w:pStyle w:val="TOC1"/>
            <w:tabs>
              <w:tab w:val="right" w:leader="dot" w:pos="9016"/>
            </w:tabs>
            <w:rPr>
              <w:rFonts w:eastAsiaTheme="minorEastAsia" w:cstheme="minorBidi"/>
              <w:noProof/>
              <w:lang w:eastAsia="hr-HR"/>
            </w:rPr>
          </w:pPr>
          <w:hyperlink w:anchor="_Toc56954088" w:history="1">
            <w:r w:rsidR="000B21F5" w:rsidRPr="00D478C0">
              <w:rPr>
                <w:rStyle w:val="Hyperlink"/>
                <w:noProof/>
              </w:rPr>
              <w:t>ANNEX V</w:t>
            </w:r>
            <w:r w:rsidR="000B21F5" w:rsidRPr="00D478C0">
              <w:rPr>
                <w:rStyle w:val="Hyperlink"/>
                <w:noProof/>
                <w:lang w:val="en-US"/>
              </w:rPr>
              <w:t xml:space="preserve"> - PROCEDURES FOR ISSUING LOCATION, BUILDING AND USE PERMITS (regular procedure – no natural disaster proclaimed)</w:t>
            </w:r>
            <w:r w:rsidR="000B21F5">
              <w:rPr>
                <w:noProof/>
                <w:webHidden/>
              </w:rPr>
              <w:tab/>
            </w:r>
            <w:r w:rsidR="000B21F5">
              <w:rPr>
                <w:noProof/>
                <w:webHidden/>
              </w:rPr>
              <w:fldChar w:fldCharType="begin"/>
            </w:r>
            <w:r w:rsidR="000B21F5">
              <w:rPr>
                <w:noProof/>
                <w:webHidden/>
              </w:rPr>
              <w:instrText xml:space="preserve"> PAGEREF _Toc56954088 \h </w:instrText>
            </w:r>
            <w:r w:rsidR="000B21F5">
              <w:rPr>
                <w:noProof/>
                <w:webHidden/>
              </w:rPr>
            </w:r>
            <w:r w:rsidR="000B21F5">
              <w:rPr>
                <w:noProof/>
                <w:webHidden/>
              </w:rPr>
              <w:fldChar w:fldCharType="separate"/>
            </w:r>
            <w:r w:rsidR="000B21F5">
              <w:rPr>
                <w:noProof/>
                <w:webHidden/>
              </w:rPr>
              <w:t>131</w:t>
            </w:r>
            <w:r w:rsidR="000B21F5">
              <w:rPr>
                <w:noProof/>
                <w:webHidden/>
              </w:rPr>
              <w:fldChar w:fldCharType="end"/>
            </w:r>
          </w:hyperlink>
        </w:p>
        <w:p w14:paraId="348E2522" w14:textId="342D6EDD" w:rsidR="000B21F5" w:rsidRDefault="00C40C75">
          <w:pPr>
            <w:pStyle w:val="TOC1"/>
            <w:tabs>
              <w:tab w:val="right" w:leader="dot" w:pos="9016"/>
            </w:tabs>
            <w:rPr>
              <w:rFonts w:eastAsiaTheme="minorEastAsia" w:cstheme="minorBidi"/>
              <w:noProof/>
              <w:lang w:eastAsia="hr-HR"/>
            </w:rPr>
          </w:pPr>
          <w:hyperlink w:anchor="_Toc56954089" w:history="1">
            <w:r w:rsidR="000B21F5" w:rsidRPr="00D478C0">
              <w:rPr>
                <w:rStyle w:val="Hyperlink"/>
                <w:noProof/>
              </w:rPr>
              <w:t>ANNEX VI</w:t>
            </w:r>
            <w:r w:rsidR="000B21F5" w:rsidRPr="00D478C0">
              <w:rPr>
                <w:rStyle w:val="Hyperlink"/>
                <w:noProof/>
                <w:lang w:val="en-US"/>
              </w:rPr>
              <w:t xml:space="preserve"> - </w:t>
            </w:r>
            <w:r w:rsidR="000B21F5" w:rsidRPr="00D478C0">
              <w:rPr>
                <w:rStyle w:val="Hyperlink"/>
                <w:rFonts w:eastAsia="Times New Roman"/>
                <w:noProof/>
                <w:lang w:val="en-GB" w:eastAsia="hr-HR"/>
              </w:rPr>
              <w:t>ANNEX III of the Technical Regulation for Building Structures (OG 17/17,75/20)</w:t>
            </w:r>
            <w:r w:rsidR="000B21F5">
              <w:rPr>
                <w:noProof/>
                <w:webHidden/>
              </w:rPr>
              <w:tab/>
            </w:r>
            <w:r w:rsidR="000B21F5">
              <w:rPr>
                <w:noProof/>
                <w:webHidden/>
              </w:rPr>
              <w:fldChar w:fldCharType="begin"/>
            </w:r>
            <w:r w:rsidR="000B21F5">
              <w:rPr>
                <w:noProof/>
                <w:webHidden/>
              </w:rPr>
              <w:instrText xml:space="preserve"> PAGEREF _Toc56954089 \h </w:instrText>
            </w:r>
            <w:r w:rsidR="000B21F5">
              <w:rPr>
                <w:noProof/>
                <w:webHidden/>
              </w:rPr>
            </w:r>
            <w:r w:rsidR="000B21F5">
              <w:rPr>
                <w:noProof/>
                <w:webHidden/>
              </w:rPr>
              <w:fldChar w:fldCharType="separate"/>
            </w:r>
            <w:r w:rsidR="000B21F5">
              <w:rPr>
                <w:noProof/>
                <w:webHidden/>
              </w:rPr>
              <w:t>136</w:t>
            </w:r>
            <w:r w:rsidR="000B21F5">
              <w:rPr>
                <w:noProof/>
                <w:webHidden/>
              </w:rPr>
              <w:fldChar w:fldCharType="end"/>
            </w:r>
          </w:hyperlink>
        </w:p>
        <w:p w14:paraId="4C334C69" w14:textId="1960D40C" w:rsidR="000B21F5" w:rsidRDefault="00C40C75">
          <w:pPr>
            <w:pStyle w:val="TOC1"/>
            <w:tabs>
              <w:tab w:val="right" w:leader="dot" w:pos="9016"/>
            </w:tabs>
            <w:rPr>
              <w:rFonts w:eastAsiaTheme="minorEastAsia" w:cstheme="minorBidi"/>
              <w:noProof/>
              <w:lang w:eastAsia="hr-HR"/>
            </w:rPr>
          </w:pPr>
          <w:hyperlink w:anchor="_Toc56954090" w:history="1">
            <w:r w:rsidR="000B21F5" w:rsidRPr="00D478C0">
              <w:rPr>
                <w:rStyle w:val="Hyperlink"/>
                <w:noProof/>
              </w:rPr>
              <w:t xml:space="preserve">ANNEX VII - </w:t>
            </w:r>
            <w:r w:rsidR="000B21F5" w:rsidRPr="00D478C0">
              <w:rPr>
                <w:rStyle w:val="Hyperlink"/>
                <w:noProof/>
                <w:lang w:val="en-GB"/>
              </w:rPr>
              <w:t>PROTECTION OF CULTURAL HERITAGE WITHIN BUILDING PERMITTING PROCESS ACCORDING TO ACT ON THE PROTECTION AND PRESERVATION OF CULTURAL PROPERTY (OG 69/99, 151/03, 157/03, 100/04, 87/09, 88/10, 61/11, 25/12, 136/12, 157/13, 152/14, 98/15, 44/17, 90/18, 32/20, 62/20)</w:t>
            </w:r>
            <w:r w:rsidR="000B21F5">
              <w:rPr>
                <w:noProof/>
                <w:webHidden/>
              </w:rPr>
              <w:tab/>
            </w:r>
            <w:r w:rsidR="000B21F5">
              <w:rPr>
                <w:noProof/>
                <w:webHidden/>
              </w:rPr>
              <w:fldChar w:fldCharType="begin"/>
            </w:r>
            <w:r w:rsidR="000B21F5">
              <w:rPr>
                <w:noProof/>
                <w:webHidden/>
              </w:rPr>
              <w:instrText xml:space="preserve"> PAGEREF _Toc56954090 \h </w:instrText>
            </w:r>
            <w:r w:rsidR="000B21F5">
              <w:rPr>
                <w:noProof/>
                <w:webHidden/>
              </w:rPr>
            </w:r>
            <w:r w:rsidR="000B21F5">
              <w:rPr>
                <w:noProof/>
                <w:webHidden/>
              </w:rPr>
              <w:fldChar w:fldCharType="separate"/>
            </w:r>
            <w:r w:rsidR="000B21F5">
              <w:rPr>
                <w:noProof/>
                <w:webHidden/>
              </w:rPr>
              <w:t>142</w:t>
            </w:r>
            <w:r w:rsidR="000B21F5">
              <w:rPr>
                <w:noProof/>
                <w:webHidden/>
              </w:rPr>
              <w:fldChar w:fldCharType="end"/>
            </w:r>
          </w:hyperlink>
        </w:p>
        <w:p w14:paraId="670747C9" w14:textId="3ADE1660" w:rsidR="000B21F5" w:rsidRDefault="00C40C75">
          <w:pPr>
            <w:pStyle w:val="TOC1"/>
            <w:tabs>
              <w:tab w:val="right" w:leader="dot" w:pos="9016"/>
            </w:tabs>
            <w:rPr>
              <w:rFonts w:eastAsiaTheme="minorEastAsia" w:cstheme="minorBidi"/>
              <w:noProof/>
              <w:lang w:eastAsia="hr-HR"/>
            </w:rPr>
          </w:pPr>
          <w:hyperlink w:anchor="_Toc56954091" w:history="1">
            <w:r w:rsidR="000B21F5" w:rsidRPr="00D478C0">
              <w:rPr>
                <w:rStyle w:val="Hyperlink"/>
                <w:noProof/>
              </w:rPr>
              <w:t xml:space="preserve">ANNEX VIII - </w:t>
            </w:r>
            <w:r w:rsidR="000B21F5" w:rsidRPr="00D478C0">
              <w:rPr>
                <w:rStyle w:val="Hyperlink"/>
                <w:noProof/>
                <w:lang w:val="en-US"/>
              </w:rPr>
              <w:t>ENVIRONMENTAL AND SOCIAL SCREENING QUESTIONNAIRE AND SCREENING REPORT</w:t>
            </w:r>
            <w:r w:rsidR="000B21F5">
              <w:rPr>
                <w:noProof/>
                <w:webHidden/>
              </w:rPr>
              <w:tab/>
            </w:r>
            <w:r w:rsidR="000B21F5">
              <w:rPr>
                <w:noProof/>
                <w:webHidden/>
              </w:rPr>
              <w:fldChar w:fldCharType="begin"/>
            </w:r>
            <w:r w:rsidR="000B21F5">
              <w:rPr>
                <w:noProof/>
                <w:webHidden/>
              </w:rPr>
              <w:instrText xml:space="preserve"> PAGEREF _Toc56954091 \h </w:instrText>
            </w:r>
            <w:r w:rsidR="000B21F5">
              <w:rPr>
                <w:noProof/>
                <w:webHidden/>
              </w:rPr>
            </w:r>
            <w:r w:rsidR="000B21F5">
              <w:rPr>
                <w:noProof/>
                <w:webHidden/>
              </w:rPr>
              <w:fldChar w:fldCharType="separate"/>
            </w:r>
            <w:r w:rsidR="000B21F5">
              <w:rPr>
                <w:noProof/>
                <w:webHidden/>
              </w:rPr>
              <w:t>143</w:t>
            </w:r>
            <w:r w:rsidR="000B21F5">
              <w:rPr>
                <w:noProof/>
                <w:webHidden/>
              </w:rPr>
              <w:fldChar w:fldCharType="end"/>
            </w:r>
          </w:hyperlink>
        </w:p>
        <w:p w14:paraId="1D59DC96" w14:textId="3ACE3D12" w:rsidR="000B21F5" w:rsidRDefault="00C40C75">
          <w:pPr>
            <w:pStyle w:val="TOC1"/>
            <w:tabs>
              <w:tab w:val="right" w:leader="dot" w:pos="9016"/>
            </w:tabs>
            <w:rPr>
              <w:rFonts w:eastAsiaTheme="minorEastAsia" w:cstheme="minorBidi"/>
              <w:noProof/>
              <w:lang w:eastAsia="hr-HR"/>
            </w:rPr>
          </w:pPr>
          <w:hyperlink w:anchor="_Toc56954092" w:history="1">
            <w:r w:rsidR="000B21F5" w:rsidRPr="00D478C0">
              <w:rPr>
                <w:rStyle w:val="Hyperlink"/>
                <w:noProof/>
              </w:rPr>
              <w:t xml:space="preserve">ANNEX IX </w:t>
            </w:r>
            <w:r w:rsidR="000B21F5" w:rsidRPr="00D478C0">
              <w:rPr>
                <w:rStyle w:val="Hyperlink"/>
                <w:noProof/>
                <w:lang w:val="en-US"/>
              </w:rPr>
              <w:t>- ESMP CHECK LIST TEMPLATE</w:t>
            </w:r>
            <w:r w:rsidR="000B21F5">
              <w:rPr>
                <w:noProof/>
                <w:webHidden/>
              </w:rPr>
              <w:tab/>
            </w:r>
            <w:r w:rsidR="000B21F5">
              <w:rPr>
                <w:noProof/>
                <w:webHidden/>
              </w:rPr>
              <w:fldChar w:fldCharType="begin"/>
            </w:r>
            <w:r w:rsidR="000B21F5">
              <w:rPr>
                <w:noProof/>
                <w:webHidden/>
              </w:rPr>
              <w:instrText xml:space="preserve"> PAGEREF _Toc56954092 \h </w:instrText>
            </w:r>
            <w:r w:rsidR="000B21F5">
              <w:rPr>
                <w:noProof/>
                <w:webHidden/>
              </w:rPr>
            </w:r>
            <w:r w:rsidR="000B21F5">
              <w:rPr>
                <w:noProof/>
                <w:webHidden/>
              </w:rPr>
              <w:fldChar w:fldCharType="separate"/>
            </w:r>
            <w:r w:rsidR="000B21F5">
              <w:rPr>
                <w:noProof/>
                <w:webHidden/>
              </w:rPr>
              <w:t>146</w:t>
            </w:r>
            <w:r w:rsidR="000B21F5">
              <w:rPr>
                <w:noProof/>
                <w:webHidden/>
              </w:rPr>
              <w:fldChar w:fldCharType="end"/>
            </w:r>
          </w:hyperlink>
        </w:p>
        <w:p w14:paraId="1B7035EB" w14:textId="342B7DD6" w:rsidR="000B21F5" w:rsidRDefault="00C40C75">
          <w:pPr>
            <w:pStyle w:val="TOC1"/>
            <w:tabs>
              <w:tab w:val="right" w:leader="dot" w:pos="9016"/>
            </w:tabs>
            <w:rPr>
              <w:rFonts w:eastAsiaTheme="minorEastAsia" w:cstheme="minorBidi"/>
              <w:noProof/>
              <w:lang w:eastAsia="hr-HR"/>
            </w:rPr>
          </w:pPr>
          <w:hyperlink w:anchor="_Toc56954093" w:history="1">
            <w:r w:rsidR="000B21F5" w:rsidRPr="00D478C0">
              <w:rPr>
                <w:rStyle w:val="Hyperlink"/>
                <w:noProof/>
              </w:rPr>
              <w:t>ANNEX X</w:t>
            </w:r>
            <w:r w:rsidR="000B21F5" w:rsidRPr="00D478C0">
              <w:rPr>
                <w:rStyle w:val="Hyperlink"/>
                <w:noProof/>
                <w:lang w:val="en-US"/>
              </w:rPr>
              <w:t>- MONTHLY FIELD ENVIRONMENTAL MONITORING CHECKLIST</w:t>
            </w:r>
            <w:r w:rsidR="000B21F5">
              <w:rPr>
                <w:noProof/>
                <w:webHidden/>
              </w:rPr>
              <w:tab/>
            </w:r>
            <w:r w:rsidR="000B21F5">
              <w:rPr>
                <w:noProof/>
                <w:webHidden/>
              </w:rPr>
              <w:fldChar w:fldCharType="begin"/>
            </w:r>
            <w:r w:rsidR="000B21F5">
              <w:rPr>
                <w:noProof/>
                <w:webHidden/>
              </w:rPr>
              <w:instrText xml:space="preserve"> PAGEREF _Toc56954093 \h </w:instrText>
            </w:r>
            <w:r w:rsidR="000B21F5">
              <w:rPr>
                <w:noProof/>
                <w:webHidden/>
              </w:rPr>
            </w:r>
            <w:r w:rsidR="000B21F5">
              <w:rPr>
                <w:noProof/>
                <w:webHidden/>
              </w:rPr>
              <w:fldChar w:fldCharType="separate"/>
            </w:r>
            <w:r w:rsidR="000B21F5">
              <w:rPr>
                <w:noProof/>
                <w:webHidden/>
              </w:rPr>
              <w:t>157</w:t>
            </w:r>
            <w:r w:rsidR="000B21F5">
              <w:rPr>
                <w:noProof/>
                <w:webHidden/>
              </w:rPr>
              <w:fldChar w:fldCharType="end"/>
            </w:r>
          </w:hyperlink>
        </w:p>
        <w:p w14:paraId="3AD14087" w14:textId="55EA7BD2" w:rsidR="000B21F5" w:rsidRDefault="00C40C75">
          <w:pPr>
            <w:pStyle w:val="TOC1"/>
            <w:tabs>
              <w:tab w:val="right" w:leader="dot" w:pos="9016"/>
            </w:tabs>
            <w:rPr>
              <w:rFonts w:eastAsiaTheme="minorEastAsia" w:cstheme="minorBidi"/>
              <w:noProof/>
              <w:lang w:eastAsia="hr-HR"/>
            </w:rPr>
          </w:pPr>
          <w:hyperlink w:anchor="_Toc56954094" w:history="1">
            <w:r w:rsidR="000B21F5" w:rsidRPr="00D478C0">
              <w:rPr>
                <w:rStyle w:val="Hyperlink"/>
                <w:noProof/>
              </w:rPr>
              <w:t xml:space="preserve">ANNEX XI </w:t>
            </w:r>
            <w:r w:rsidR="000B21F5" w:rsidRPr="00D478C0">
              <w:rPr>
                <w:rStyle w:val="Hyperlink"/>
                <w:noProof/>
                <w:lang w:val="en-US"/>
              </w:rPr>
              <w:t xml:space="preserve"> – INFECTION CONTROL AND WASTE MANAGEMENT PLAN (ICWMP) TEMPLATE</w:t>
            </w:r>
            <w:r w:rsidR="000B21F5">
              <w:rPr>
                <w:noProof/>
                <w:webHidden/>
              </w:rPr>
              <w:tab/>
            </w:r>
            <w:r w:rsidR="000B21F5">
              <w:rPr>
                <w:noProof/>
                <w:webHidden/>
              </w:rPr>
              <w:fldChar w:fldCharType="begin"/>
            </w:r>
            <w:r w:rsidR="000B21F5">
              <w:rPr>
                <w:noProof/>
                <w:webHidden/>
              </w:rPr>
              <w:instrText xml:space="preserve"> PAGEREF _Toc56954094 \h </w:instrText>
            </w:r>
            <w:r w:rsidR="000B21F5">
              <w:rPr>
                <w:noProof/>
                <w:webHidden/>
              </w:rPr>
            </w:r>
            <w:r w:rsidR="000B21F5">
              <w:rPr>
                <w:noProof/>
                <w:webHidden/>
              </w:rPr>
              <w:fldChar w:fldCharType="separate"/>
            </w:r>
            <w:r w:rsidR="000B21F5">
              <w:rPr>
                <w:noProof/>
                <w:webHidden/>
              </w:rPr>
              <w:t>160</w:t>
            </w:r>
            <w:r w:rsidR="000B21F5">
              <w:rPr>
                <w:noProof/>
                <w:webHidden/>
              </w:rPr>
              <w:fldChar w:fldCharType="end"/>
            </w:r>
          </w:hyperlink>
        </w:p>
        <w:p w14:paraId="08A551D0" w14:textId="2C5FBAB9" w:rsidR="000B21F5" w:rsidRDefault="00C40C75">
          <w:pPr>
            <w:pStyle w:val="TOC1"/>
            <w:tabs>
              <w:tab w:val="right" w:leader="dot" w:pos="9016"/>
            </w:tabs>
            <w:rPr>
              <w:rFonts w:eastAsiaTheme="minorEastAsia" w:cstheme="minorBidi"/>
              <w:noProof/>
              <w:lang w:eastAsia="hr-HR"/>
            </w:rPr>
          </w:pPr>
          <w:hyperlink w:anchor="_Toc56954095" w:history="1">
            <w:r w:rsidR="000B21F5" w:rsidRPr="00D478C0">
              <w:rPr>
                <w:rStyle w:val="Hyperlink"/>
                <w:noProof/>
              </w:rPr>
              <w:t xml:space="preserve">ANNEX XII </w:t>
            </w:r>
            <w:r w:rsidR="000B21F5" w:rsidRPr="00D478C0">
              <w:rPr>
                <w:rStyle w:val="Hyperlink"/>
                <w:noProof/>
                <w:lang w:val="en-US"/>
              </w:rPr>
              <w:t xml:space="preserve"> – </w:t>
            </w:r>
            <w:r w:rsidR="000B21F5" w:rsidRPr="00D478C0">
              <w:rPr>
                <w:rStyle w:val="Hyperlink"/>
                <w:noProof/>
              </w:rPr>
              <w:t>ESF/SAFEGUARDS INTERIM NOTE</w:t>
            </w:r>
            <w:r w:rsidR="000B21F5">
              <w:rPr>
                <w:noProof/>
                <w:webHidden/>
              </w:rPr>
              <w:tab/>
            </w:r>
            <w:r w:rsidR="000B21F5">
              <w:rPr>
                <w:noProof/>
                <w:webHidden/>
              </w:rPr>
              <w:fldChar w:fldCharType="begin"/>
            </w:r>
            <w:r w:rsidR="000B21F5">
              <w:rPr>
                <w:noProof/>
                <w:webHidden/>
              </w:rPr>
              <w:instrText xml:space="preserve"> PAGEREF _Toc56954095 \h </w:instrText>
            </w:r>
            <w:r w:rsidR="000B21F5">
              <w:rPr>
                <w:noProof/>
                <w:webHidden/>
              </w:rPr>
            </w:r>
            <w:r w:rsidR="000B21F5">
              <w:rPr>
                <w:noProof/>
                <w:webHidden/>
              </w:rPr>
              <w:fldChar w:fldCharType="separate"/>
            </w:r>
            <w:r w:rsidR="000B21F5">
              <w:rPr>
                <w:noProof/>
                <w:webHidden/>
              </w:rPr>
              <w:t>166</w:t>
            </w:r>
            <w:r w:rsidR="000B21F5">
              <w:rPr>
                <w:noProof/>
                <w:webHidden/>
              </w:rPr>
              <w:fldChar w:fldCharType="end"/>
            </w:r>
          </w:hyperlink>
        </w:p>
        <w:p w14:paraId="49405913" w14:textId="4E3D70DD" w:rsidR="000B21F5" w:rsidRDefault="00C40C75">
          <w:pPr>
            <w:pStyle w:val="TOC1"/>
            <w:tabs>
              <w:tab w:val="right" w:leader="dot" w:pos="9016"/>
            </w:tabs>
            <w:rPr>
              <w:rFonts w:eastAsiaTheme="minorEastAsia" w:cstheme="minorBidi"/>
              <w:noProof/>
              <w:lang w:eastAsia="hr-HR"/>
            </w:rPr>
          </w:pPr>
          <w:hyperlink w:anchor="_Toc56954096" w:history="1">
            <w:r w:rsidR="000B21F5" w:rsidRPr="00D478C0">
              <w:rPr>
                <w:rStyle w:val="Hyperlink"/>
                <w:noProof/>
              </w:rPr>
              <w:t>ANNEX XIII</w:t>
            </w:r>
            <w:r w:rsidR="000B21F5" w:rsidRPr="00D478C0">
              <w:rPr>
                <w:rStyle w:val="Hyperlink"/>
                <w:noProof/>
                <w:lang w:val="en-US"/>
              </w:rPr>
              <w:t>– LIST OF COVID-19 GUIDANCES</w:t>
            </w:r>
            <w:r w:rsidR="000B21F5">
              <w:rPr>
                <w:noProof/>
                <w:webHidden/>
              </w:rPr>
              <w:tab/>
            </w:r>
            <w:r w:rsidR="000B21F5">
              <w:rPr>
                <w:noProof/>
                <w:webHidden/>
              </w:rPr>
              <w:fldChar w:fldCharType="begin"/>
            </w:r>
            <w:r w:rsidR="000B21F5">
              <w:rPr>
                <w:noProof/>
                <w:webHidden/>
              </w:rPr>
              <w:instrText xml:space="preserve"> PAGEREF _Toc56954096 \h </w:instrText>
            </w:r>
            <w:r w:rsidR="000B21F5">
              <w:rPr>
                <w:noProof/>
                <w:webHidden/>
              </w:rPr>
            </w:r>
            <w:r w:rsidR="000B21F5">
              <w:rPr>
                <w:noProof/>
                <w:webHidden/>
              </w:rPr>
              <w:fldChar w:fldCharType="separate"/>
            </w:r>
            <w:r w:rsidR="000B21F5">
              <w:rPr>
                <w:noProof/>
                <w:webHidden/>
              </w:rPr>
              <w:t>177</w:t>
            </w:r>
            <w:r w:rsidR="000B21F5">
              <w:rPr>
                <w:noProof/>
                <w:webHidden/>
              </w:rPr>
              <w:fldChar w:fldCharType="end"/>
            </w:r>
          </w:hyperlink>
        </w:p>
        <w:p w14:paraId="2A7A8D01" w14:textId="44A616CD" w:rsidR="004E4A80" w:rsidRPr="00156B9D" w:rsidRDefault="00996B58" w:rsidP="00156B9D">
          <w:r>
            <w:rPr>
              <w:b/>
              <w:bCs/>
              <w:noProof/>
            </w:rPr>
            <w:fldChar w:fldCharType="end"/>
          </w:r>
        </w:p>
      </w:sdtContent>
    </w:sdt>
    <w:p w14:paraId="47119726" w14:textId="29973FE2" w:rsidR="00C3615E" w:rsidRPr="00AB7D1E" w:rsidRDefault="00C3615E" w:rsidP="004E4A80">
      <w:pPr>
        <w:pStyle w:val="TableofFigures"/>
        <w:tabs>
          <w:tab w:val="right" w:leader="dot" w:pos="9016"/>
        </w:tabs>
        <w:rPr>
          <w:b/>
          <w:color w:val="276E8B" w:themeColor="accent1" w:themeShade="BF"/>
          <w:lang w:val="en-US"/>
        </w:rPr>
      </w:pPr>
      <w:r w:rsidRPr="00AB7D1E">
        <w:rPr>
          <w:b/>
          <w:color w:val="276E8B" w:themeColor="accent1" w:themeShade="BF"/>
          <w:lang w:val="en-US"/>
        </w:rPr>
        <w:t>Figures</w:t>
      </w:r>
      <w:r w:rsidR="00FC5724" w:rsidRPr="00AB7D1E">
        <w:rPr>
          <w:b/>
          <w:color w:val="276E8B" w:themeColor="accent1" w:themeShade="BF"/>
          <w:lang w:val="en-US"/>
        </w:rPr>
        <w:t>:</w:t>
      </w:r>
    </w:p>
    <w:p w14:paraId="3DD8DBA9" w14:textId="4D5E1EDB" w:rsidR="00A318BD" w:rsidRDefault="008A648B">
      <w:pPr>
        <w:pStyle w:val="TableofFigures"/>
        <w:tabs>
          <w:tab w:val="right" w:leader="dot" w:pos="9016"/>
        </w:tabs>
        <w:rPr>
          <w:rFonts w:eastAsiaTheme="minorEastAsia" w:cstheme="minorBidi"/>
          <w:noProof/>
          <w:lang w:eastAsia="hr-HR"/>
        </w:rPr>
      </w:pPr>
      <w:r w:rsidRPr="00AB7D1E">
        <w:rPr>
          <w:lang w:val="en-US"/>
        </w:rPr>
        <w:fldChar w:fldCharType="begin"/>
      </w:r>
      <w:r w:rsidRPr="00AB7D1E">
        <w:rPr>
          <w:lang w:val="en-US"/>
        </w:rPr>
        <w:instrText xml:space="preserve"> TOC \h \z \c "Figure" </w:instrText>
      </w:r>
      <w:r w:rsidRPr="00AB7D1E">
        <w:rPr>
          <w:lang w:val="en-US"/>
        </w:rPr>
        <w:fldChar w:fldCharType="separate"/>
      </w:r>
      <w:hyperlink w:anchor="_Toc56952681" w:history="1">
        <w:r w:rsidR="00A318BD" w:rsidRPr="00C624F4">
          <w:rPr>
            <w:rStyle w:val="Hyperlink"/>
            <w:noProof/>
            <w:lang w:val="en-US"/>
          </w:rPr>
          <w:t>Figure 1. Ground Shaking Intensity Map for the Main Shock</w:t>
        </w:r>
        <w:r w:rsidR="00A318BD">
          <w:rPr>
            <w:noProof/>
            <w:webHidden/>
          </w:rPr>
          <w:tab/>
        </w:r>
        <w:r w:rsidR="00A318BD">
          <w:rPr>
            <w:noProof/>
            <w:webHidden/>
          </w:rPr>
          <w:fldChar w:fldCharType="begin"/>
        </w:r>
        <w:r w:rsidR="00A318BD">
          <w:rPr>
            <w:noProof/>
            <w:webHidden/>
          </w:rPr>
          <w:instrText xml:space="preserve"> PAGEREF _Toc56952681 \h </w:instrText>
        </w:r>
        <w:r w:rsidR="00A318BD">
          <w:rPr>
            <w:noProof/>
            <w:webHidden/>
          </w:rPr>
        </w:r>
        <w:r w:rsidR="00A318BD">
          <w:rPr>
            <w:noProof/>
            <w:webHidden/>
          </w:rPr>
          <w:fldChar w:fldCharType="separate"/>
        </w:r>
        <w:r w:rsidR="00A318BD">
          <w:rPr>
            <w:noProof/>
            <w:webHidden/>
          </w:rPr>
          <w:t>17</w:t>
        </w:r>
        <w:r w:rsidR="00A318BD">
          <w:rPr>
            <w:noProof/>
            <w:webHidden/>
          </w:rPr>
          <w:fldChar w:fldCharType="end"/>
        </w:r>
      </w:hyperlink>
    </w:p>
    <w:p w14:paraId="436FC680" w14:textId="30254EC6" w:rsidR="00A318BD" w:rsidRDefault="00C40C75">
      <w:pPr>
        <w:pStyle w:val="TableofFigures"/>
        <w:tabs>
          <w:tab w:val="right" w:leader="dot" w:pos="9016"/>
        </w:tabs>
        <w:rPr>
          <w:rFonts w:eastAsiaTheme="minorEastAsia" w:cstheme="minorBidi"/>
          <w:noProof/>
          <w:lang w:eastAsia="hr-HR"/>
        </w:rPr>
      </w:pPr>
      <w:hyperlink w:anchor="_Toc56952682" w:history="1">
        <w:r w:rsidR="00A318BD" w:rsidRPr="00C624F4">
          <w:rPr>
            <w:rStyle w:val="Hyperlink"/>
            <w:noProof/>
          </w:rPr>
          <w:t>Figure 2.</w:t>
        </w:r>
        <w:r w:rsidR="00A318BD" w:rsidRPr="00C624F4">
          <w:rPr>
            <w:rStyle w:val="Hyperlink"/>
            <w:noProof/>
            <w:lang w:val="en-US"/>
          </w:rPr>
          <w:t xml:space="preserve"> New cases of COVID-19 in Croatia</w:t>
        </w:r>
        <w:r w:rsidR="00A318BD">
          <w:rPr>
            <w:noProof/>
            <w:webHidden/>
          </w:rPr>
          <w:tab/>
        </w:r>
        <w:r w:rsidR="00A318BD">
          <w:rPr>
            <w:noProof/>
            <w:webHidden/>
          </w:rPr>
          <w:fldChar w:fldCharType="begin"/>
        </w:r>
        <w:r w:rsidR="00A318BD">
          <w:rPr>
            <w:noProof/>
            <w:webHidden/>
          </w:rPr>
          <w:instrText xml:space="preserve"> PAGEREF _Toc56952682 \h </w:instrText>
        </w:r>
        <w:r w:rsidR="00A318BD">
          <w:rPr>
            <w:noProof/>
            <w:webHidden/>
          </w:rPr>
        </w:r>
        <w:r w:rsidR="00A318BD">
          <w:rPr>
            <w:noProof/>
            <w:webHidden/>
          </w:rPr>
          <w:fldChar w:fldCharType="separate"/>
        </w:r>
        <w:r w:rsidR="00A318BD">
          <w:rPr>
            <w:noProof/>
            <w:webHidden/>
          </w:rPr>
          <w:t>19</w:t>
        </w:r>
        <w:r w:rsidR="00A318BD">
          <w:rPr>
            <w:noProof/>
            <w:webHidden/>
          </w:rPr>
          <w:fldChar w:fldCharType="end"/>
        </w:r>
      </w:hyperlink>
    </w:p>
    <w:p w14:paraId="321EE9C1" w14:textId="1D7E79EF" w:rsidR="00A318BD" w:rsidRDefault="00C40C75">
      <w:pPr>
        <w:pStyle w:val="TableofFigures"/>
        <w:tabs>
          <w:tab w:val="right" w:leader="dot" w:pos="9016"/>
        </w:tabs>
        <w:rPr>
          <w:rFonts w:eastAsiaTheme="minorEastAsia" w:cstheme="minorBidi"/>
          <w:noProof/>
          <w:lang w:eastAsia="hr-HR"/>
        </w:rPr>
      </w:pPr>
      <w:hyperlink w:anchor="_Toc56952683" w:history="1">
        <w:r w:rsidR="00A318BD" w:rsidRPr="00C624F4">
          <w:rPr>
            <w:rStyle w:val="Hyperlink"/>
            <w:noProof/>
          </w:rPr>
          <w:t xml:space="preserve">Figure 3. </w:t>
        </w:r>
        <w:r w:rsidR="00A318BD" w:rsidRPr="00C624F4">
          <w:rPr>
            <w:rStyle w:val="Hyperlink"/>
            <w:noProof/>
            <w:lang w:val="en-US"/>
          </w:rPr>
          <w:t xml:space="preserve"> Croatia’s 14-day COVID-19 case and death notification rate</w:t>
        </w:r>
        <w:r w:rsidR="00A318BD">
          <w:rPr>
            <w:noProof/>
            <w:webHidden/>
          </w:rPr>
          <w:tab/>
        </w:r>
        <w:r w:rsidR="00A318BD">
          <w:rPr>
            <w:noProof/>
            <w:webHidden/>
          </w:rPr>
          <w:fldChar w:fldCharType="begin"/>
        </w:r>
        <w:r w:rsidR="00A318BD">
          <w:rPr>
            <w:noProof/>
            <w:webHidden/>
          </w:rPr>
          <w:instrText xml:space="preserve"> PAGEREF _Toc56952683 \h </w:instrText>
        </w:r>
        <w:r w:rsidR="00A318BD">
          <w:rPr>
            <w:noProof/>
            <w:webHidden/>
          </w:rPr>
        </w:r>
        <w:r w:rsidR="00A318BD">
          <w:rPr>
            <w:noProof/>
            <w:webHidden/>
          </w:rPr>
          <w:fldChar w:fldCharType="separate"/>
        </w:r>
        <w:r w:rsidR="00A318BD">
          <w:rPr>
            <w:noProof/>
            <w:webHidden/>
          </w:rPr>
          <w:t>19</w:t>
        </w:r>
        <w:r w:rsidR="00A318BD">
          <w:rPr>
            <w:noProof/>
            <w:webHidden/>
          </w:rPr>
          <w:fldChar w:fldCharType="end"/>
        </w:r>
      </w:hyperlink>
    </w:p>
    <w:p w14:paraId="66FA4F01" w14:textId="190E0094" w:rsidR="00A318BD" w:rsidRDefault="00C40C75">
      <w:pPr>
        <w:pStyle w:val="TableofFigures"/>
        <w:tabs>
          <w:tab w:val="right" w:leader="dot" w:pos="9016"/>
        </w:tabs>
        <w:rPr>
          <w:rFonts w:eastAsiaTheme="minorEastAsia" w:cstheme="minorBidi"/>
          <w:noProof/>
          <w:lang w:eastAsia="hr-HR"/>
        </w:rPr>
      </w:pPr>
      <w:hyperlink w:anchor="_Toc56952684" w:history="1">
        <w:r w:rsidR="00A318BD" w:rsidRPr="00C624F4">
          <w:rPr>
            <w:rStyle w:val="Hyperlink"/>
            <w:noProof/>
          </w:rPr>
          <w:t>Figure 4.</w:t>
        </w:r>
        <w:r w:rsidR="00A318BD" w:rsidRPr="00C624F4">
          <w:rPr>
            <w:rStyle w:val="Hyperlink"/>
            <w:noProof/>
            <w:lang w:val="en-US"/>
          </w:rPr>
          <w:t xml:space="preserve"> Croatia’s response measures overview, as of 17 November 2020</w:t>
        </w:r>
        <w:r w:rsidR="00A318BD">
          <w:rPr>
            <w:noProof/>
            <w:webHidden/>
          </w:rPr>
          <w:tab/>
        </w:r>
        <w:r w:rsidR="00A318BD">
          <w:rPr>
            <w:noProof/>
            <w:webHidden/>
          </w:rPr>
          <w:fldChar w:fldCharType="begin"/>
        </w:r>
        <w:r w:rsidR="00A318BD">
          <w:rPr>
            <w:noProof/>
            <w:webHidden/>
          </w:rPr>
          <w:instrText xml:space="preserve"> PAGEREF _Toc56952684 \h </w:instrText>
        </w:r>
        <w:r w:rsidR="00A318BD">
          <w:rPr>
            <w:noProof/>
            <w:webHidden/>
          </w:rPr>
        </w:r>
        <w:r w:rsidR="00A318BD">
          <w:rPr>
            <w:noProof/>
            <w:webHidden/>
          </w:rPr>
          <w:fldChar w:fldCharType="separate"/>
        </w:r>
        <w:r w:rsidR="00A318BD">
          <w:rPr>
            <w:noProof/>
            <w:webHidden/>
          </w:rPr>
          <w:t>20</w:t>
        </w:r>
        <w:r w:rsidR="00A318BD">
          <w:rPr>
            <w:noProof/>
            <w:webHidden/>
          </w:rPr>
          <w:fldChar w:fldCharType="end"/>
        </w:r>
      </w:hyperlink>
    </w:p>
    <w:p w14:paraId="2BB5B48D" w14:textId="78B5E6FF" w:rsidR="00A318BD" w:rsidRDefault="00C40C75">
      <w:pPr>
        <w:pStyle w:val="TableofFigures"/>
        <w:tabs>
          <w:tab w:val="right" w:leader="dot" w:pos="9016"/>
        </w:tabs>
        <w:rPr>
          <w:rFonts w:eastAsiaTheme="minorEastAsia" w:cstheme="minorBidi"/>
          <w:noProof/>
          <w:lang w:eastAsia="hr-HR"/>
        </w:rPr>
      </w:pPr>
      <w:hyperlink w:anchor="_Toc56952685" w:history="1">
        <w:r w:rsidR="00A318BD" w:rsidRPr="00C624F4">
          <w:rPr>
            <w:rStyle w:val="Hyperlink"/>
            <w:noProof/>
            <w:lang w:val="en-US"/>
          </w:rPr>
          <w:t>Figure 5. Croatia’s weekly testing rate</w:t>
        </w:r>
        <w:r w:rsidR="00A318BD">
          <w:rPr>
            <w:noProof/>
            <w:webHidden/>
          </w:rPr>
          <w:tab/>
        </w:r>
        <w:r w:rsidR="00A318BD">
          <w:rPr>
            <w:noProof/>
            <w:webHidden/>
          </w:rPr>
          <w:fldChar w:fldCharType="begin"/>
        </w:r>
        <w:r w:rsidR="00A318BD">
          <w:rPr>
            <w:noProof/>
            <w:webHidden/>
          </w:rPr>
          <w:instrText xml:space="preserve"> PAGEREF _Toc56952685 \h </w:instrText>
        </w:r>
        <w:r w:rsidR="00A318BD">
          <w:rPr>
            <w:noProof/>
            <w:webHidden/>
          </w:rPr>
        </w:r>
        <w:r w:rsidR="00A318BD">
          <w:rPr>
            <w:noProof/>
            <w:webHidden/>
          </w:rPr>
          <w:fldChar w:fldCharType="separate"/>
        </w:r>
        <w:r w:rsidR="00A318BD">
          <w:rPr>
            <w:noProof/>
            <w:webHidden/>
          </w:rPr>
          <w:t>20</w:t>
        </w:r>
        <w:r w:rsidR="00A318BD">
          <w:rPr>
            <w:noProof/>
            <w:webHidden/>
          </w:rPr>
          <w:fldChar w:fldCharType="end"/>
        </w:r>
      </w:hyperlink>
    </w:p>
    <w:p w14:paraId="74DC613B" w14:textId="098491D5" w:rsidR="00A318BD" w:rsidRDefault="00C40C75">
      <w:pPr>
        <w:pStyle w:val="TableofFigures"/>
        <w:tabs>
          <w:tab w:val="right" w:leader="dot" w:pos="9016"/>
        </w:tabs>
        <w:rPr>
          <w:rFonts w:eastAsiaTheme="minorEastAsia" w:cstheme="minorBidi"/>
          <w:noProof/>
          <w:lang w:eastAsia="hr-HR"/>
        </w:rPr>
      </w:pPr>
      <w:hyperlink w:anchor="_Toc56952686" w:history="1">
        <w:r w:rsidR="00A318BD" w:rsidRPr="00C624F4">
          <w:rPr>
            <w:rStyle w:val="Hyperlink"/>
            <w:noProof/>
            <w:lang w:val="en-US"/>
          </w:rPr>
          <w:t>Figure 6. Project Results Chain</w:t>
        </w:r>
        <w:r w:rsidR="00A318BD">
          <w:rPr>
            <w:noProof/>
            <w:webHidden/>
          </w:rPr>
          <w:tab/>
        </w:r>
        <w:r w:rsidR="00A318BD">
          <w:rPr>
            <w:noProof/>
            <w:webHidden/>
          </w:rPr>
          <w:fldChar w:fldCharType="begin"/>
        </w:r>
        <w:r w:rsidR="00A318BD">
          <w:rPr>
            <w:noProof/>
            <w:webHidden/>
          </w:rPr>
          <w:instrText xml:space="preserve"> PAGEREF _Toc56952686 \h </w:instrText>
        </w:r>
        <w:r w:rsidR="00A318BD">
          <w:rPr>
            <w:noProof/>
            <w:webHidden/>
          </w:rPr>
        </w:r>
        <w:r w:rsidR="00A318BD">
          <w:rPr>
            <w:noProof/>
            <w:webHidden/>
          </w:rPr>
          <w:fldChar w:fldCharType="separate"/>
        </w:r>
        <w:r w:rsidR="00A318BD">
          <w:rPr>
            <w:noProof/>
            <w:webHidden/>
          </w:rPr>
          <w:t>23</w:t>
        </w:r>
        <w:r w:rsidR="00A318BD">
          <w:rPr>
            <w:noProof/>
            <w:webHidden/>
          </w:rPr>
          <w:fldChar w:fldCharType="end"/>
        </w:r>
      </w:hyperlink>
    </w:p>
    <w:p w14:paraId="458B16BC" w14:textId="6F38F08A" w:rsidR="00A318BD" w:rsidRDefault="00C40C75">
      <w:pPr>
        <w:pStyle w:val="TableofFigures"/>
        <w:tabs>
          <w:tab w:val="right" w:leader="dot" w:pos="9016"/>
        </w:tabs>
        <w:rPr>
          <w:rFonts w:eastAsiaTheme="minorEastAsia" w:cstheme="minorBidi"/>
          <w:noProof/>
          <w:lang w:eastAsia="hr-HR"/>
        </w:rPr>
      </w:pPr>
      <w:hyperlink w:anchor="_Toc56952687" w:history="1">
        <w:r w:rsidR="00A318BD" w:rsidRPr="00C624F4">
          <w:rPr>
            <w:rStyle w:val="Hyperlink"/>
            <w:noProof/>
            <w:lang w:val="en-US"/>
          </w:rPr>
          <w:t>Figure 7. Locations of monitoring stations in the territory of the Republic of Croatia</w:t>
        </w:r>
        <w:r w:rsidR="00A318BD">
          <w:rPr>
            <w:noProof/>
            <w:webHidden/>
          </w:rPr>
          <w:tab/>
        </w:r>
        <w:r w:rsidR="00A318BD">
          <w:rPr>
            <w:noProof/>
            <w:webHidden/>
          </w:rPr>
          <w:fldChar w:fldCharType="begin"/>
        </w:r>
        <w:r w:rsidR="00A318BD">
          <w:rPr>
            <w:noProof/>
            <w:webHidden/>
          </w:rPr>
          <w:instrText xml:space="preserve"> PAGEREF _Toc56952687 \h </w:instrText>
        </w:r>
        <w:r w:rsidR="00A318BD">
          <w:rPr>
            <w:noProof/>
            <w:webHidden/>
          </w:rPr>
        </w:r>
        <w:r w:rsidR="00A318BD">
          <w:rPr>
            <w:noProof/>
            <w:webHidden/>
          </w:rPr>
          <w:fldChar w:fldCharType="separate"/>
        </w:r>
        <w:r w:rsidR="00A318BD">
          <w:rPr>
            <w:noProof/>
            <w:webHidden/>
          </w:rPr>
          <w:t>27</w:t>
        </w:r>
        <w:r w:rsidR="00A318BD">
          <w:rPr>
            <w:noProof/>
            <w:webHidden/>
          </w:rPr>
          <w:fldChar w:fldCharType="end"/>
        </w:r>
      </w:hyperlink>
    </w:p>
    <w:p w14:paraId="03F3FF58" w14:textId="1269C8B1" w:rsidR="00A318BD" w:rsidRDefault="00C40C75">
      <w:pPr>
        <w:pStyle w:val="TableofFigures"/>
        <w:tabs>
          <w:tab w:val="right" w:leader="dot" w:pos="9016"/>
        </w:tabs>
        <w:rPr>
          <w:rFonts w:eastAsiaTheme="minorEastAsia" w:cstheme="minorBidi"/>
          <w:noProof/>
          <w:lang w:eastAsia="hr-HR"/>
        </w:rPr>
      </w:pPr>
      <w:hyperlink w:anchor="_Toc56952688" w:history="1">
        <w:r w:rsidR="00A318BD" w:rsidRPr="00C624F4">
          <w:rPr>
            <w:rStyle w:val="Hyperlink"/>
            <w:noProof/>
            <w:lang w:val="en-US"/>
          </w:rPr>
          <w:t>Figure 8. Water districts and sub-basin areas with significant watercourses</w:t>
        </w:r>
        <w:r w:rsidR="00A318BD">
          <w:rPr>
            <w:noProof/>
            <w:webHidden/>
          </w:rPr>
          <w:tab/>
        </w:r>
        <w:r w:rsidR="00A318BD">
          <w:rPr>
            <w:noProof/>
            <w:webHidden/>
          </w:rPr>
          <w:fldChar w:fldCharType="begin"/>
        </w:r>
        <w:r w:rsidR="00A318BD">
          <w:rPr>
            <w:noProof/>
            <w:webHidden/>
          </w:rPr>
          <w:instrText xml:space="preserve"> PAGEREF _Toc56952688 \h </w:instrText>
        </w:r>
        <w:r w:rsidR="00A318BD">
          <w:rPr>
            <w:noProof/>
            <w:webHidden/>
          </w:rPr>
        </w:r>
        <w:r w:rsidR="00A318BD">
          <w:rPr>
            <w:noProof/>
            <w:webHidden/>
          </w:rPr>
          <w:fldChar w:fldCharType="separate"/>
        </w:r>
        <w:r w:rsidR="00A318BD">
          <w:rPr>
            <w:noProof/>
            <w:webHidden/>
          </w:rPr>
          <w:t>29</w:t>
        </w:r>
        <w:r w:rsidR="00A318BD">
          <w:rPr>
            <w:noProof/>
            <w:webHidden/>
          </w:rPr>
          <w:fldChar w:fldCharType="end"/>
        </w:r>
      </w:hyperlink>
    </w:p>
    <w:p w14:paraId="42978CAA" w14:textId="0222FD64" w:rsidR="00A318BD" w:rsidRDefault="00C40C75">
      <w:pPr>
        <w:pStyle w:val="TableofFigures"/>
        <w:tabs>
          <w:tab w:val="right" w:leader="dot" w:pos="9016"/>
        </w:tabs>
        <w:rPr>
          <w:rFonts w:eastAsiaTheme="minorEastAsia" w:cstheme="minorBidi"/>
          <w:noProof/>
          <w:lang w:eastAsia="hr-HR"/>
        </w:rPr>
      </w:pPr>
      <w:hyperlink w:anchor="_Toc56952689" w:history="1">
        <w:r w:rsidR="00A318BD" w:rsidRPr="00C624F4">
          <w:rPr>
            <w:rStyle w:val="Hyperlink"/>
            <w:noProof/>
            <w:lang w:val="en-US"/>
          </w:rPr>
          <w:t>Figure 9. Generated medical waste in the Republic of Croatia for the period 2014-2018</w:t>
        </w:r>
        <w:r w:rsidR="00A318BD">
          <w:rPr>
            <w:noProof/>
            <w:webHidden/>
          </w:rPr>
          <w:tab/>
        </w:r>
        <w:r w:rsidR="00A318BD">
          <w:rPr>
            <w:noProof/>
            <w:webHidden/>
          </w:rPr>
          <w:fldChar w:fldCharType="begin"/>
        </w:r>
        <w:r w:rsidR="00A318BD">
          <w:rPr>
            <w:noProof/>
            <w:webHidden/>
          </w:rPr>
          <w:instrText xml:space="preserve"> PAGEREF _Toc56952689 \h </w:instrText>
        </w:r>
        <w:r w:rsidR="00A318BD">
          <w:rPr>
            <w:noProof/>
            <w:webHidden/>
          </w:rPr>
        </w:r>
        <w:r w:rsidR="00A318BD">
          <w:rPr>
            <w:noProof/>
            <w:webHidden/>
          </w:rPr>
          <w:fldChar w:fldCharType="separate"/>
        </w:r>
        <w:r w:rsidR="00A318BD">
          <w:rPr>
            <w:noProof/>
            <w:webHidden/>
          </w:rPr>
          <w:t>33</w:t>
        </w:r>
        <w:r w:rsidR="00A318BD">
          <w:rPr>
            <w:noProof/>
            <w:webHidden/>
          </w:rPr>
          <w:fldChar w:fldCharType="end"/>
        </w:r>
      </w:hyperlink>
    </w:p>
    <w:p w14:paraId="4AFC2A5A" w14:textId="37B51E6A" w:rsidR="00A318BD" w:rsidRDefault="00C40C75">
      <w:pPr>
        <w:pStyle w:val="TableofFigures"/>
        <w:tabs>
          <w:tab w:val="right" w:leader="dot" w:pos="9016"/>
        </w:tabs>
        <w:rPr>
          <w:rFonts w:eastAsiaTheme="minorEastAsia" w:cstheme="minorBidi"/>
          <w:noProof/>
          <w:lang w:eastAsia="hr-HR"/>
        </w:rPr>
      </w:pPr>
      <w:hyperlink w:anchor="_Toc56952690" w:history="1">
        <w:r w:rsidR="00A318BD" w:rsidRPr="00C624F4">
          <w:rPr>
            <w:rStyle w:val="Hyperlink"/>
            <w:noProof/>
            <w:lang w:val="en-US"/>
          </w:rPr>
          <w:t>Figure 10. Share of medical waste types produced in 2018</w:t>
        </w:r>
        <w:r w:rsidR="00A318BD">
          <w:rPr>
            <w:noProof/>
            <w:webHidden/>
          </w:rPr>
          <w:tab/>
        </w:r>
        <w:r w:rsidR="00A318BD">
          <w:rPr>
            <w:noProof/>
            <w:webHidden/>
          </w:rPr>
          <w:fldChar w:fldCharType="begin"/>
        </w:r>
        <w:r w:rsidR="00A318BD">
          <w:rPr>
            <w:noProof/>
            <w:webHidden/>
          </w:rPr>
          <w:instrText xml:space="preserve"> PAGEREF _Toc56952690 \h </w:instrText>
        </w:r>
        <w:r w:rsidR="00A318BD">
          <w:rPr>
            <w:noProof/>
            <w:webHidden/>
          </w:rPr>
        </w:r>
        <w:r w:rsidR="00A318BD">
          <w:rPr>
            <w:noProof/>
            <w:webHidden/>
          </w:rPr>
          <w:fldChar w:fldCharType="separate"/>
        </w:r>
        <w:r w:rsidR="00A318BD">
          <w:rPr>
            <w:noProof/>
            <w:webHidden/>
          </w:rPr>
          <w:t>33</w:t>
        </w:r>
        <w:r w:rsidR="00A318BD">
          <w:rPr>
            <w:noProof/>
            <w:webHidden/>
          </w:rPr>
          <w:fldChar w:fldCharType="end"/>
        </w:r>
      </w:hyperlink>
    </w:p>
    <w:p w14:paraId="46F19B4E" w14:textId="235F1E04" w:rsidR="00A318BD" w:rsidRDefault="00C40C75">
      <w:pPr>
        <w:pStyle w:val="TableofFigures"/>
        <w:tabs>
          <w:tab w:val="right" w:leader="dot" w:pos="9016"/>
        </w:tabs>
        <w:rPr>
          <w:rFonts w:eastAsiaTheme="minorEastAsia" w:cstheme="minorBidi"/>
          <w:noProof/>
          <w:lang w:eastAsia="hr-HR"/>
        </w:rPr>
      </w:pPr>
      <w:hyperlink w:anchor="_Toc56952691" w:history="1">
        <w:r w:rsidR="00A318BD" w:rsidRPr="00C624F4">
          <w:rPr>
            <w:rStyle w:val="Hyperlink"/>
            <w:noProof/>
            <w:lang w:val="en-GB"/>
          </w:rPr>
          <w:t>Figure 11. Ecological Network for Component 1 (Natura 2000)</w:t>
        </w:r>
        <w:r w:rsidR="00A318BD">
          <w:rPr>
            <w:noProof/>
            <w:webHidden/>
          </w:rPr>
          <w:tab/>
        </w:r>
        <w:r w:rsidR="00A318BD">
          <w:rPr>
            <w:noProof/>
            <w:webHidden/>
          </w:rPr>
          <w:fldChar w:fldCharType="begin"/>
        </w:r>
        <w:r w:rsidR="00A318BD">
          <w:rPr>
            <w:noProof/>
            <w:webHidden/>
          </w:rPr>
          <w:instrText xml:space="preserve"> PAGEREF _Toc56952691 \h </w:instrText>
        </w:r>
        <w:r w:rsidR="00A318BD">
          <w:rPr>
            <w:noProof/>
            <w:webHidden/>
          </w:rPr>
        </w:r>
        <w:r w:rsidR="00A318BD">
          <w:rPr>
            <w:noProof/>
            <w:webHidden/>
          </w:rPr>
          <w:fldChar w:fldCharType="separate"/>
        </w:r>
        <w:r w:rsidR="00A318BD">
          <w:rPr>
            <w:noProof/>
            <w:webHidden/>
          </w:rPr>
          <w:t>37</w:t>
        </w:r>
        <w:r w:rsidR="00A318BD">
          <w:rPr>
            <w:noProof/>
            <w:webHidden/>
          </w:rPr>
          <w:fldChar w:fldCharType="end"/>
        </w:r>
      </w:hyperlink>
    </w:p>
    <w:p w14:paraId="3DDFECA8" w14:textId="25F6E7CA" w:rsidR="00A318BD" w:rsidRDefault="00C40C75">
      <w:pPr>
        <w:pStyle w:val="TableofFigures"/>
        <w:tabs>
          <w:tab w:val="right" w:leader="dot" w:pos="9016"/>
        </w:tabs>
        <w:rPr>
          <w:rFonts w:eastAsiaTheme="minorEastAsia" w:cstheme="minorBidi"/>
          <w:noProof/>
          <w:lang w:eastAsia="hr-HR"/>
        </w:rPr>
      </w:pPr>
      <w:hyperlink w:anchor="_Toc56952692" w:history="1">
        <w:r w:rsidR="00A318BD" w:rsidRPr="00C624F4">
          <w:rPr>
            <w:rStyle w:val="Hyperlink"/>
            <w:noProof/>
            <w:lang w:val="en-US"/>
          </w:rPr>
          <w:t xml:space="preserve">Figure 12. Geographic map of Croatia </w:t>
        </w:r>
        <w:r w:rsidR="00A318BD">
          <w:rPr>
            <w:noProof/>
            <w:webHidden/>
          </w:rPr>
          <w:tab/>
        </w:r>
        <w:r w:rsidR="00A318BD">
          <w:rPr>
            <w:noProof/>
            <w:webHidden/>
          </w:rPr>
          <w:fldChar w:fldCharType="begin"/>
        </w:r>
        <w:r w:rsidR="00A318BD">
          <w:rPr>
            <w:noProof/>
            <w:webHidden/>
          </w:rPr>
          <w:instrText xml:space="preserve"> PAGEREF _Toc56952692 \h </w:instrText>
        </w:r>
        <w:r w:rsidR="00A318BD">
          <w:rPr>
            <w:noProof/>
            <w:webHidden/>
          </w:rPr>
        </w:r>
        <w:r w:rsidR="00A318BD">
          <w:rPr>
            <w:noProof/>
            <w:webHidden/>
          </w:rPr>
          <w:fldChar w:fldCharType="separate"/>
        </w:r>
        <w:r w:rsidR="00A318BD">
          <w:rPr>
            <w:noProof/>
            <w:webHidden/>
          </w:rPr>
          <w:t>42</w:t>
        </w:r>
        <w:r w:rsidR="00A318BD">
          <w:rPr>
            <w:noProof/>
            <w:webHidden/>
          </w:rPr>
          <w:fldChar w:fldCharType="end"/>
        </w:r>
      </w:hyperlink>
    </w:p>
    <w:p w14:paraId="5286C365" w14:textId="339689C6" w:rsidR="00A318BD" w:rsidRDefault="00C40C75">
      <w:pPr>
        <w:pStyle w:val="TableofFigures"/>
        <w:tabs>
          <w:tab w:val="right" w:leader="dot" w:pos="9016"/>
        </w:tabs>
        <w:rPr>
          <w:rFonts w:eastAsiaTheme="minorEastAsia" w:cstheme="minorBidi"/>
          <w:noProof/>
          <w:lang w:eastAsia="hr-HR"/>
        </w:rPr>
      </w:pPr>
      <w:hyperlink w:anchor="_Toc56952693" w:history="1">
        <w:r w:rsidR="00A318BD" w:rsidRPr="00C624F4">
          <w:rPr>
            <w:rStyle w:val="Hyperlink"/>
            <w:noProof/>
            <w:lang w:val="en-US"/>
          </w:rPr>
          <w:t>Figure 13. County division of Croatia</w:t>
        </w:r>
        <w:r w:rsidR="00A318BD">
          <w:rPr>
            <w:noProof/>
            <w:webHidden/>
          </w:rPr>
          <w:tab/>
        </w:r>
        <w:r w:rsidR="00A318BD">
          <w:rPr>
            <w:noProof/>
            <w:webHidden/>
          </w:rPr>
          <w:fldChar w:fldCharType="begin"/>
        </w:r>
        <w:r w:rsidR="00A318BD">
          <w:rPr>
            <w:noProof/>
            <w:webHidden/>
          </w:rPr>
          <w:instrText xml:space="preserve"> PAGEREF _Toc56952693 \h </w:instrText>
        </w:r>
        <w:r w:rsidR="00A318BD">
          <w:rPr>
            <w:noProof/>
            <w:webHidden/>
          </w:rPr>
        </w:r>
        <w:r w:rsidR="00A318BD">
          <w:rPr>
            <w:noProof/>
            <w:webHidden/>
          </w:rPr>
          <w:fldChar w:fldCharType="separate"/>
        </w:r>
        <w:r w:rsidR="00A318BD">
          <w:rPr>
            <w:noProof/>
            <w:webHidden/>
          </w:rPr>
          <w:t>43</w:t>
        </w:r>
        <w:r w:rsidR="00A318BD">
          <w:rPr>
            <w:noProof/>
            <w:webHidden/>
          </w:rPr>
          <w:fldChar w:fldCharType="end"/>
        </w:r>
      </w:hyperlink>
    </w:p>
    <w:p w14:paraId="1702D5C8" w14:textId="6D350DB4" w:rsidR="00A318BD" w:rsidRDefault="00C40C75">
      <w:pPr>
        <w:pStyle w:val="TableofFigures"/>
        <w:tabs>
          <w:tab w:val="right" w:leader="dot" w:pos="9016"/>
        </w:tabs>
        <w:rPr>
          <w:rFonts w:eastAsiaTheme="minorEastAsia" w:cstheme="minorBidi"/>
          <w:noProof/>
          <w:lang w:eastAsia="hr-HR"/>
        </w:rPr>
      </w:pPr>
      <w:hyperlink w:anchor="_Toc56952694" w:history="1">
        <w:r w:rsidR="00A318BD" w:rsidRPr="00C624F4">
          <w:rPr>
            <w:rStyle w:val="Hyperlink"/>
            <w:noProof/>
            <w:lang w:val="en-US"/>
          </w:rPr>
          <w:t>Figure 14. NUTS 2 division which will go into force on 1 January 2023</w:t>
        </w:r>
        <w:r w:rsidR="00A318BD">
          <w:rPr>
            <w:noProof/>
            <w:webHidden/>
          </w:rPr>
          <w:tab/>
        </w:r>
        <w:r w:rsidR="00A318BD">
          <w:rPr>
            <w:noProof/>
            <w:webHidden/>
          </w:rPr>
          <w:fldChar w:fldCharType="begin"/>
        </w:r>
        <w:r w:rsidR="00A318BD">
          <w:rPr>
            <w:noProof/>
            <w:webHidden/>
          </w:rPr>
          <w:instrText xml:space="preserve"> PAGEREF _Toc56952694 \h </w:instrText>
        </w:r>
        <w:r w:rsidR="00A318BD">
          <w:rPr>
            <w:noProof/>
            <w:webHidden/>
          </w:rPr>
        </w:r>
        <w:r w:rsidR="00A318BD">
          <w:rPr>
            <w:noProof/>
            <w:webHidden/>
          </w:rPr>
          <w:fldChar w:fldCharType="separate"/>
        </w:r>
        <w:r w:rsidR="00A318BD">
          <w:rPr>
            <w:noProof/>
            <w:webHidden/>
          </w:rPr>
          <w:t>43</w:t>
        </w:r>
        <w:r w:rsidR="00A318BD">
          <w:rPr>
            <w:noProof/>
            <w:webHidden/>
          </w:rPr>
          <w:fldChar w:fldCharType="end"/>
        </w:r>
      </w:hyperlink>
    </w:p>
    <w:p w14:paraId="62D01632" w14:textId="7415DC05" w:rsidR="00A318BD" w:rsidRDefault="00C40C75">
      <w:pPr>
        <w:pStyle w:val="TableofFigures"/>
        <w:tabs>
          <w:tab w:val="right" w:leader="dot" w:pos="9016"/>
        </w:tabs>
        <w:rPr>
          <w:rFonts w:eastAsiaTheme="minorEastAsia" w:cstheme="minorBidi"/>
          <w:noProof/>
          <w:lang w:eastAsia="hr-HR"/>
        </w:rPr>
      </w:pPr>
      <w:hyperlink w:anchor="_Toc56952695" w:history="1">
        <w:r w:rsidR="00A318BD" w:rsidRPr="00C624F4">
          <w:rPr>
            <w:rStyle w:val="Hyperlink"/>
            <w:noProof/>
            <w:lang w:val="en-US"/>
          </w:rPr>
          <w:t>Figure 15. Croatia population density map</w:t>
        </w:r>
        <w:r w:rsidR="00A318BD">
          <w:rPr>
            <w:noProof/>
            <w:webHidden/>
          </w:rPr>
          <w:tab/>
        </w:r>
        <w:r w:rsidR="00A318BD">
          <w:rPr>
            <w:noProof/>
            <w:webHidden/>
          </w:rPr>
          <w:fldChar w:fldCharType="begin"/>
        </w:r>
        <w:r w:rsidR="00A318BD">
          <w:rPr>
            <w:noProof/>
            <w:webHidden/>
          </w:rPr>
          <w:instrText xml:space="preserve"> PAGEREF _Toc56952695 \h </w:instrText>
        </w:r>
        <w:r w:rsidR="00A318BD">
          <w:rPr>
            <w:noProof/>
            <w:webHidden/>
          </w:rPr>
        </w:r>
        <w:r w:rsidR="00A318BD">
          <w:rPr>
            <w:noProof/>
            <w:webHidden/>
          </w:rPr>
          <w:fldChar w:fldCharType="separate"/>
        </w:r>
        <w:r w:rsidR="00A318BD">
          <w:rPr>
            <w:noProof/>
            <w:webHidden/>
          </w:rPr>
          <w:t>44</w:t>
        </w:r>
        <w:r w:rsidR="00A318BD">
          <w:rPr>
            <w:noProof/>
            <w:webHidden/>
          </w:rPr>
          <w:fldChar w:fldCharType="end"/>
        </w:r>
      </w:hyperlink>
    </w:p>
    <w:p w14:paraId="63F07360" w14:textId="2D863AC3" w:rsidR="00A318BD" w:rsidRDefault="00C40C75">
      <w:pPr>
        <w:pStyle w:val="TableofFigures"/>
        <w:tabs>
          <w:tab w:val="right" w:leader="dot" w:pos="9016"/>
        </w:tabs>
        <w:rPr>
          <w:rFonts w:eastAsiaTheme="minorEastAsia" w:cstheme="minorBidi"/>
          <w:noProof/>
          <w:lang w:eastAsia="hr-HR"/>
        </w:rPr>
      </w:pPr>
      <w:hyperlink w:anchor="_Toc56952696" w:history="1">
        <w:r w:rsidR="00A318BD" w:rsidRPr="00C624F4">
          <w:rPr>
            <w:rStyle w:val="Hyperlink"/>
            <w:noProof/>
            <w:lang w:val="en-US"/>
          </w:rPr>
          <w:t>Figure 16. Gross domestic product over years and in May 2020, Croatia</w:t>
        </w:r>
        <w:r w:rsidR="00A318BD">
          <w:rPr>
            <w:noProof/>
            <w:webHidden/>
          </w:rPr>
          <w:tab/>
        </w:r>
        <w:r w:rsidR="00A318BD">
          <w:rPr>
            <w:noProof/>
            <w:webHidden/>
          </w:rPr>
          <w:fldChar w:fldCharType="begin"/>
        </w:r>
        <w:r w:rsidR="00A318BD">
          <w:rPr>
            <w:noProof/>
            <w:webHidden/>
          </w:rPr>
          <w:instrText xml:space="preserve"> PAGEREF _Toc56952696 \h </w:instrText>
        </w:r>
        <w:r w:rsidR="00A318BD">
          <w:rPr>
            <w:noProof/>
            <w:webHidden/>
          </w:rPr>
        </w:r>
        <w:r w:rsidR="00A318BD">
          <w:rPr>
            <w:noProof/>
            <w:webHidden/>
          </w:rPr>
          <w:fldChar w:fldCharType="separate"/>
        </w:r>
        <w:r w:rsidR="00A318BD">
          <w:rPr>
            <w:noProof/>
            <w:webHidden/>
          </w:rPr>
          <w:t>46</w:t>
        </w:r>
        <w:r w:rsidR="00A318BD">
          <w:rPr>
            <w:noProof/>
            <w:webHidden/>
          </w:rPr>
          <w:fldChar w:fldCharType="end"/>
        </w:r>
      </w:hyperlink>
    </w:p>
    <w:p w14:paraId="1A870358" w14:textId="7C0FE0CA" w:rsidR="00A318BD" w:rsidRDefault="00C40C75">
      <w:pPr>
        <w:pStyle w:val="TableofFigures"/>
        <w:tabs>
          <w:tab w:val="right" w:leader="dot" w:pos="9016"/>
        </w:tabs>
        <w:rPr>
          <w:rFonts w:eastAsiaTheme="minorEastAsia" w:cstheme="minorBidi"/>
          <w:noProof/>
          <w:lang w:eastAsia="hr-HR"/>
        </w:rPr>
      </w:pPr>
      <w:hyperlink w:anchor="_Toc56952697" w:history="1">
        <w:r w:rsidR="00A318BD" w:rsidRPr="00C624F4">
          <w:rPr>
            <w:rStyle w:val="Hyperlink"/>
            <w:noProof/>
            <w:lang w:val="en-US"/>
          </w:rPr>
          <w:t xml:space="preserve">Figure 17. </w:t>
        </w:r>
        <w:r w:rsidR="00A318BD" w:rsidRPr="00C624F4">
          <w:rPr>
            <w:rStyle w:val="Hyperlink"/>
            <w:noProof/>
            <w:lang w:val="en-US" w:eastAsia="hr-HR"/>
          </w:rPr>
          <w:t>Obligations defined by Regulation on environmental impact assessment (OG 61/14, 3/17)</w:t>
        </w:r>
        <w:r w:rsidR="00A318BD">
          <w:rPr>
            <w:noProof/>
            <w:webHidden/>
          </w:rPr>
          <w:tab/>
        </w:r>
        <w:r w:rsidR="00A318BD">
          <w:rPr>
            <w:noProof/>
            <w:webHidden/>
          </w:rPr>
          <w:fldChar w:fldCharType="begin"/>
        </w:r>
        <w:r w:rsidR="00A318BD">
          <w:rPr>
            <w:noProof/>
            <w:webHidden/>
          </w:rPr>
          <w:instrText xml:space="preserve"> PAGEREF _Toc56952697 \h </w:instrText>
        </w:r>
        <w:r w:rsidR="00A318BD">
          <w:rPr>
            <w:noProof/>
            <w:webHidden/>
          </w:rPr>
        </w:r>
        <w:r w:rsidR="00A318BD">
          <w:rPr>
            <w:noProof/>
            <w:webHidden/>
          </w:rPr>
          <w:fldChar w:fldCharType="separate"/>
        </w:r>
        <w:r w:rsidR="00A318BD">
          <w:rPr>
            <w:noProof/>
            <w:webHidden/>
          </w:rPr>
          <w:t>60</w:t>
        </w:r>
        <w:r w:rsidR="00A318BD">
          <w:rPr>
            <w:noProof/>
            <w:webHidden/>
          </w:rPr>
          <w:fldChar w:fldCharType="end"/>
        </w:r>
      </w:hyperlink>
    </w:p>
    <w:p w14:paraId="4897F5CC" w14:textId="76D53511" w:rsidR="00A318BD" w:rsidRDefault="00C40C75">
      <w:pPr>
        <w:pStyle w:val="TableofFigures"/>
        <w:tabs>
          <w:tab w:val="right" w:leader="dot" w:pos="9016"/>
        </w:tabs>
        <w:rPr>
          <w:rFonts w:eastAsiaTheme="minorEastAsia" w:cstheme="minorBidi"/>
          <w:noProof/>
          <w:lang w:eastAsia="hr-HR"/>
        </w:rPr>
      </w:pPr>
      <w:hyperlink w:anchor="_Toc56952698" w:history="1">
        <w:r w:rsidR="00A318BD" w:rsidRPr="00C624F4">
          <w:rPr>
            <w:rStyle w:val="Hyperlink"/>
            <w:noProof/>
          </w:rPr>
          <w:t xml:space="preserve">Figure 18. </w:t>
        </w:r>
        <w:r w:rsidR="00A318BD" w:rsidRPr="00C624F4">
          <w:rPr>
            <w:rStyle w:val="Hyperlink"/>
            <w:noProof/>
            <w:lang w:eastAsia="hr-HR"/>
          </w:rPr>
          <w:t>Environmental impact assessment procedure</w:t>
        </w:r>
        <w:r w:rsidR="00A318BD">
          <w:rPr>
            <w:noProof/>
            <w:webHidden/>
          </w:rPr>
          <w:tab/>
        </w:r>
        <w:r w:rsidR="00A318BD">
          <w:rPr>
            <w:noProof/>
            <w:webHidden/>
          </w:rPr>
          <w:fldChar w:fldCharType="begin"/>
        </w:r>
        <w:r w:rsidR="00A318BD">
          <w:rPr>
            <w:noProof/>
            <w:webHidden/>
          </w:rPr>
          <w:instrText xml:space="preserve"> PAGEREF _Toc56952698 \h </w:instrText>
        </w:r>
        <w:r w:rsidR="00A318BD">
          <w:rPr>
            <w:noProof/>
            <w:webHidden/>
          </w:rPr>
        </w:r>
        <w:r w:rsidR="00A318BD">
          <w:rPr>
            <w:noProof/>
            <w:webHidden/>
          </w:rPr>
          <w:fldChar w:fldCharType="separate"/>
        </w:r>
        <w:r w:rsidR="00A318BD">
          <w:rPr>
            <w:noProof/>
            <w:webHidden/>
          </w:rPr>
          <w:t>61</w:t>
        </w:r>
        <w:r w:rsidR="00A318BD">
          <w:rPr>
            <w:noProof/>
            <w:webHidden/>
          </w:rPr>
          <w:fldChar w:fldCharType="end"/>
        </w:r>
      </w:hyperlink>
    </w:p>
    <w:p w14:paraId="08BD811C" w14:textId="32ED2D6F" w:rsidR="00A318BD" w:rsidRDefault="00C40C75">
      <w:pPr>
        <w:pStyle w:val="TableofFigures"/>
        <w:tabs>
          <w:tab w:val="right" w:leader="dot" w:pos="9016"/>
        </w:tabs>
        <w:rPr>
          <w:rFonts w:eastAsiaTheme="minorEastAsia" w:cstheme="minorBidi"/>
          <w:noProof/>
          <w:lang w:eastAsia="hr-HR"/>
        </w:rPr>
      </w:pPr>
      <w:hyperlink w:anchor="_Toc56952699" w:history="1">
        <w:r w:rsidR="00A318BD" w:rsidRPr="00C624F4">
          <w:rPr>
            <w:rStyle w:val="Hyperlink"/>
            <w:noProof/>
          </w:rPr>
          <w:t xml:space="preserve">Figure 19. </w:t>
        </w:r>
        <w:r w:rsidR="00A318BD" w:rsidRPr="00C624F4">
          <w:rPr>
            <w:rStyle w:val="Hyperlink"/>
            <w:rFonts w:ascii="Calibri" w:hAnsi="Calibri"/>
            <w:noProof/>
            <w:lang w:val="en-US"/>
          </w:rPr>
          <w:t>Levels of reconstruction of earthquake damaged building structures in relation to mechanical resistance and stability according to Technical Regulation for Building Structures (OG 17/17, 75/20)</w:t>
        </w:r>
        <w:r w:rsidR="00A318BD">
          <w:rPr>
            <w:noProof/>
            <w:webHidden/>
          </w:rPr>
          <w:tab/>
        </w:r>
        <w:r w:rsidR="00A318BD">
          <w:rPr>
            <w:noProof/>
            <w:webHidden/>
          </w:rPr>
          <w:fldChar w:fldCharType="begin"/>
        </w:r>
        <w:r w:rsidR="00A318BD">
          <w:rPr>
            <w:noProof/>
            <w:webHidden/>
          </w:rPr>
          <w:instrText xml:space="preserve"> PAGEREF _Toc56952699 \h </w:instrText>
        </w:r>
        <w:r w:rsidR="00A318BD">
          <w:rPr>
            <w:noProof/>
            <w:webHidden/>
          </w:rPr>
        </w:r>
        <w:r w:rsidR="00A318BD">
          <w:rPr>
            <w:noProof/>
            <w:webHidden/>
          </w:rPr>
          <w:fldChar w:fldCharType="separate"/>
        </w:r>
        <w:r w:rsidR="00A318BD">
          <w:rPr>
            <w:noProof/>
            <w:webHidden/>
          </w:rPr>
          <w:t>68</w:t>
        </w:r>
        <w:r w:rsidR="00A318BD">
          <w:rPr>
            <w:noProof/>
            <w:webHidden/>
          </w:rPr>
          <w:fldChar w:fldCharType="end"/>
        </w:r>
      </w:hyperlink>
    </w:p>
    <w:p w14:paraId="690EB529" w14:textId="48B4A236" w:rsidR="00A318BD" w:rsidRDefault="00C40C75">
      <w:pPr>
        <w:pStyle w:val="TableofFigures"/>
        <w:tabs>
          <w:tab w:val="right" w:leader="dot" w:pos="9016"/>
        </w:tabs>
        <w:rPr>
          <w:rFonts w:eastAsiaTheme="minorEastAsia" w:cstheme="minorBidi"/>
          <w:noProof/>
          <w:lang w:eastAsia="hr-HR"/>
        </w:rPr>
      </w:pPr>
      <w:hyperlink w:anchor="_Toc56952700" w:history="1">
        <w:r w:rsidR="00A318BD" w:rsidRPr="00C624F4">
          <w:rPr>
            <w:rStyle w:val="Hyperlink"/>
            <w:rFonts w:ascii="Calibri" w:hAnsi="Calibri"/>
            <w:iCs/>
            <w:noProof/>
            <w:lang w:val="en-US"/>
          </w:rPr>
          <w:t>Figure 20. Types of cultural property according to Act on the Protection and Preservation of Cultural Property (OG 69/99, 151/03, 157/03, 100/04, 87/09, 88/10, 61/11, 25/12, 136/12, 157/13, 152/14, 98/15, 44/17, 90/18, 32/20, 62/20)</w:t>
        </w:r>
        <w:r w:rsidR="00A318BD">
          <w:rPr>
            <w:noProof/>
            <w:webHidden/>
          </w:rPr>
          <w:tab/>
        </w:r>
        <w:r w:rsidR="00A318BD">
          <w:rPr>
            <w:noProof/>
            <w:webHidden/>
          </w:rPr>
          <w:fldChar w:fldCharType="begin"/>
        </w:r>
        <w:r w:rsidR="00A318BD">
          <w:rPr>
            <w:noProof/>
            <w:webHidden/>
          </w:rPr>
          <w:instrText xml:space="preserve"> PAGEREF _Toc56952700 \h </w:instrText>
        </w:r>
        <w:r w:rsidR="00A318BD">
          <w:rPr>
            <w:noProof/>
            <w:webHidden/>
          </w:rPr>
        </w:r>
        <w:r w:rsidR="00A318BD">
          <w:rPr>
            <w:noProof/>
            <w:webHidden/>
          </w:rPr>
          <w:fldChar w:fldCharType="separate"/>
        </w:r>
        <w:r w:rsidR="00A318BD">
          <w:rPr>
            <w:noProof/>
            <w:webHidden/>
          </w:rPr>
          <w:t>75</w:t>
        </w:r>
        <w:r w:rsidR="00A318BD">
          <w:rPr>
            <w:noProof/>
            <w:webHidden/>
          </w:rPr>
          <w:fldChar w:fldCharType="end"/>
        </w:r>
      </w:hyperlink>
    </w:p>
    <w:p w14:paraId="30B0A564" w14:textId="7448C341" w:rsidR="00DF4FE6" w:rsidRDefault="008A648B" w:rsidP="00BD679B">
      <w:pPr>
        <w:suppressAutoHyphens w:val="0"/>
        <w:jc w:val="left"/>
        <w:rPr>
          <w:lang w:val="en-US"/>
        </w:rPr>
      </w:pPr>
      <w:r w:rsidRPr="00AB7D1E">
        <w:rPr>
          <w:lang w:val="en-US"/>
        </w:rPr>
        <w:fldChar w:fldCharType="end"/>
      </w:r>
    </w:p>
    <w:p w14:paraId="74502D6D" w14:textId="10346153" w:rsidR="00C3615E" w:rsidRPr="00AB7D1E" w:rsidRDefault="00C3615E" w:rsidP="008070CE">
      <w:pPr>
        <w:suppressAutoHyphens w:val="0"/>
        <w:jc w:val="left"/>
        <w:rPr>
          <w:b/>
          <w:color w:val="276E8B" w:themeColor="accent1" w:themeShade="BF"/>
          <w:lang w:val="en-US"/>
        </w:rPr>
      </w:pPr>
      <w:r w:rsidRPr="00AB7D1E">
        <w:rPr>
          <w:b/>
          <w:color w:val="276E8B" w:themeColor="accent1" w:themeShade="BF"/>
          <w:lang w:val="en-US"/>
        </w:rPr>
        <w:t>Tables</w:t>
      </w:r>
      <w:r w:rsidR="00FC5724" w:rsidRPr="00AB7D1E">
        <w:rPr>
          <w:b/>
          <w:color w:val="276E8B" w:themeColor="accent1" w:themeShade="BF"/>
          <w:lang w:val="en-US"/>
        </w:rPr>
        <w:t>:</w:t>
      </w:r>
    </w:p>
    <w:p w14:paraId="642853FB" w14:textId="3FE873DA" w:rsidR="00A318BD" w:rsidRDefault="00A43BC9">
      <w:pPr>
        <w:pStyle w:val="TableofFigures"/>
        <w:tabs>
          <w:tab w:val="right" w:leader="dot" w:pos="9016"/>
        </w:tabs>
        <w:rPr>
          <w:rFonts w:eastAsiaTheme="minorEastAsia" w:cstheme="minorBidi"/>
          <w:noProof/>
          <w:lang w:eastAsia="hr-HR"/>
        </w:rPr>
      </w:pPr>
      <w:r w:rsidRPr="00AB7D1E">
        <w:rPr>
          <w:lang w:val="en-US"/>
        </w:rPr>
        <w:fldChar w:fldCharType="begin"/>
      </w:r>
      <w:r w:rsidRPr="00AB7D1E">
        <w:rPr>
          <w:lang w:val="en-US"/>
        </w:rPr>
        <w:instrText xml:space="preserve"> TOC \h \z \c "Table" </w:instrText>
      </w:r>
      <w:r w:rsidRPr="00AB7D1E">
        <w:rPr>
          <w:lang w:val="en-US"/>
        </w:rPr>
        <w:fldChar w:fldCharType="separate"/>
      </w:r>
      <w:hyperlink w:anchor="_Toc56952701" w:history="1">
        <w:r w:rsidR="00A318BD" w:rsidRPr="00780CD3">
          <w:rPr>
            <w:rStyle w:val="Hyperlink"/>
            <w:noProof/>
          </w:rPr>
          <w:t>Table 1. Overview of project components</w:t>
        </w:r>
        <w:r w:rsidR="00A318BD">
          <w:rPr>
            <w:noProof/>
            <w:webHidden/>
          </w:rPr>
          <w:tab/>
        </w:r>
        <w:r w:rsidR="00A318BD">
          <w:rPr>
            <w:noProof/>
            <w:webHidden/>
          </w:rPr>
          <w:fldChar w:fldCharType="begin"/>
        </w:r>
        <w:r w:rsidR="00A318BD">
          <w:rPr>
            <w:noProof/>
            <w:webHidden/>
          </w:rPr>
          <w:instrText xml:space="preserve"> PAGEREF _Toc56952701 \h </w:instrText>
        </w:r>
        <w:r w:rsidR="00A318BD">
          <w:rPr>
            <w:noProof/>
            <w:webHidden/>
          </w:rPr>
        </w:r>
        <w:r w:rsidR="00A318BD">
          <w:rPr>
            <w:noProof/>
            <w:webHidden/>
          </w:rPr>
          <w:fldChar w:fldCharType="separate"/>
        </w:r>
        <w:r w:rsidR="00A318BD">
          <w:rPr>
            <w:noProof/>
            <w:webHidden/>
          </w:rPr>
          <w:t>21</w:t>
        </w:r>
        <w:r w:rsidR="00A318BD">
          <w:rPr>
            <w:noProof/>
            <w:webHidden/>
          </w:rPr>
          <w:fldChar w:fldCharType="end"/>
        </w:r>
      </w:hyperlink>
    </w:p>
    <w:p w14:paraId="7A2AAF2E" w14:textId="7325DCE5" w:rsidR="00A318BD" w:rsidRDefault="00C40C75">
      <w:pPr>
        <w:pStyle w:val="TableofFigures"/>
        <w:tabs>
          <w:tab w:val="right" w:leader="dot" w:pos="9016"/>
        </w:tabs>
        <w:rPr>
          <w:rFonts w:eastAsiaTheme="minorEastAsia" w:cstheme="minorBidi"/>
          <w:noProof/>
          <w:lang w:eastAsia="hr-HR"/>
        </w:rPr>
      </w:pPr>
      <w:hyperlink w:anchor="_Toc56952702" w:history="1">
        <w:r w:rsidR="00A318BD" w:rsidRPr="00780CD3">
          <w:rPr>
            <w:rStyle w:val="Hyperlink"/>
            <w:noProof/>
          </w:rPr>
          <w:t>Table 2. Trend of total emissions of the Republic of Croatia by pollutant</w:t>
        </w:r>
        <w:r w:rsidR="00A318BD">
          <w:rPr>
            <w:noProof/>
            <w:webHidden/>
          </w:rPr>
          <w:tab/>
        </w:r>
        <w:r w:rsidR="00A318BD">
          <w:rPr>
            <w:noProof/>
            <w:webHidden/>
          </w:rPr>
          <w:fldChar w:fldCharType="begin"/>
        </w:r>
        <w:r w:rsidR="00A318BD">
          <w:rPr>
            <w:noProof/>
            <w:webHidden/>
          </w:rPr>
          <w:instrText xml:space="preserve"> PAGEREF _Toc56952702 \h </w:instrText>
        </w:r>
        <w:r w:rsidR="00A318BD">
          <w:rPr>
            <w:noProof/>
            <w:webHidden/>
          </w:rPr>
        </w:r>
        <w:r w:rsidR="00A318BD">
          <w:rPr>
            <w:noProof/>
            <w:webHidden/>
          </w:rPr>
          <w:fldChar w:fldCharType="separate"/>
        </w:r>
        <w:r w:rsidR="00A318BD">
          <w:rPr>
            <w:noProof/>
            <w:webHidden/>
          </w:rPr>
          <w:t>26</w:t>
        </w:r>
        <w:r w:rsidR="00A318BD">
          <w:rPr>
            <w:noProof/>
            <w:webHidden/>
          </w:rPr>
          <w:fldChar w:fldCharType="end"/>
        </w:r>
      </w:hyperlink>
    </w:p>
    <w:p w14:paraId="528F603C" w14:textId="47A5F7CD" w:rsidR="00A318BD" w:rsidRDefault="00C40C75">
      <w:pPr>
        <w:pStyle w:val="TableofFigures"/>
        <w:tabs>
          <w:tab w:val="right" w:leader="dot" w:pos="9016"/>
        </w:tabs>
        <w:rPr>
          <w:rFonts w:eastAsiaTheme="minorEastAsia" w:cstheme="minorBidi"/>
          <w:noProof/>
          <w:lang w:eastAsia="hr-HR"/>
        </w:rPr>
      </w:pPr>
      <w:hyperlink w:anchor="_Toc56952703" w:history="1">
        <w:r w:rsidR="00A318BD" w:rsidRPr="00780CD3">
          <w:rPr>
            <w:rStyle w:val="Hyperlink"/>
            <w:noProof/>
          </w:rPr>
          <w:t>Table 3. Municipal waste management in Croatia in 2019</w:t>
        </w:r>
        <w:r w:rsidR="00A318BD">
          <w:rPr>
            <w:noProof/>
            <w:webHidden/>
          </w:rPr>
          <w:tab/>
        </w:r>
        <w:r w:rsidR="00A318BD">
          <w:rPr>
            <w:noProof/>
            <w:webHidden/>
          </w:rPr>
          <w:fldChar w:fldCharType="begin"/>
        </w:r>
        <w:r w:rsidR="00A318BD">
          <w:rPr>
            <w:noProof/>
            <w:webHidden/>
          </w:rPr>
          <w:instrText xml:space="preserve"> PAGEREF _Toc56952703 \h </w:instrText>
        </w:r>
        <w:r w:rsidR="00A318BD">
          <w:rPr>
            <w:noProof/>
            <w:webHidden/>
          </w:rPr>
        </w:r>
        <w:r w:rsidR="00A318BD">
          <w:rPr>
            <w:noProof/>
            <w:webHidden/>
          </w:rPr>
          <w:fldChar w:fldCharType="separate"/>
        </w:r>
        <w:r w:rsidR="00A318BD">
          <w:rPr>
            <w:noProof/>
            <w:webHidden/>
          </w:rPr>
          <w:t>32</w:t>
        </w:r>
        <w:r w:rsidR="00A318BD">
          <w:rPr>
            <w:noProof/>
            <w:webHidden/>
          </w:rPr>
          <w:fldChar w:fldCharType="end"/>
        </w:r>
      </w:hyperlink>
    </w:p>
    <w:p w14:paraId="616BC69F" w14:textId="6081C6A0" w:rsidR="00A318BD" w:rsidRDefault="00C40C75">
      <w:pPr>
        <w:pStyle w:val="TableofFigures"/>
        <w:tabs>
          <w:tab w:val="right" w:leader="dot" w:pos="9016"/>
        </w:tabs>
        <w:rPr>
          <w:rFonts w:eastAsiaTheme="minorEastAsia" w:cstheme="minorBidi"/>
          <w:noProof/>
          <w:lang w:eastAsia="hr-HR"/>
        </w:rPr>
      </w:pPr>
      <w:hyperlink w:anchor="_Toc56952704" w:history="1">
        <w:r w:rsidR="00A318BD" w:rsidRPr="00780CD3">
          <w:rPr>
            <w:rStyle w:val="Hyperlink"/>
            <w:noProof/>
          </w:rPr>
          <w:t>Table 4. Categories of protected areas according to the Nature Protection Act</w:t>
        </w:r>
        <w:r w:rsidR="00A318BD">
          <w:rPr>
            <w:noProof/>
            <w:webHidden/>
          </w:rPr>
          <w:tab/>
        </w:r>
        <w:r w:rsidR="00A318BD">
          <w:rPr>
            <w:noProof/>
            <w:webHidden/>
          </w:rPr>
          <w:fldChar w:fldCharType="begin"/>
        </w:r>
        <w:r w:rsidR="00A318BD">
          <w:rPr>
            <w:noProof/>
            <w:webHidden/>
          </w:rPr>
          <w:instrText xml:space="preserve"> PAGEREF _Toc56952704 \h </w:instrText>
        </w:r>
        <w:r w:rsidR="00A318BD">
          <w:rPr>
            <w:noProof/>
            <w:webHidden/>
          </w:rPr>
        </w:r>
        <w:r w:rsidR="00A318BD">
          <w:rPr>
            <w:noProof/>
            <w:webHidden/>
          </w:rPr>
          <w:fldChar w:fldCharType="separate"/>
        </w:r>
        <w:r w:rsidR="00A318BD">
          <w:rPr>
            <w:noProof/>
            <w:webHidden/>
          </w:rPr>
          <w:t>36</w:t>
        </w:r>
        <w:r w:rsidR="00A318BD">
          <w:rPr>
            <w:noProof/>
            <w:webHidden/>
          </w:rPr>
          <w:fldChar w:fldCharType="end"/>
        </w:r>
      </w:hyperlink>
    </w:p>
    <w:p w14:paraId="7EAFA005" w14:textId="63BD1011" w:rsidR="00A318BD" w:rsidRDefault="00C40C75">
      <w:pPr>
        <w:pStyle w:val="TableofFigures"/>
        <w:tabs>
          <w:tab w:val="right" w:leader="dot" w:pos="9016"/>
        </w:tabs>
        <w:rPr>
          <w:rFonts w:eastAsiaTheme="minorEastAsia" w:cstheme="minorBidi"/>
          <w:noProof/>
          <w:lang w:eastAsia="hr-HR"/>
        </w:rPr>
      </w:pPr>
      <w:hyperlink w:anchor="_Toc56952705" w:history="1">
        <w:r w:rsidR="00A318BD" w:rsidRPr="00780CD3">
          <w:rPr>
            <w:rStyle w:val="Hyperlink"/>
            <w:noProof/>
            <w:lang w:val="en-GB"/>
          </w:rPr>
          <w:t>Table 5. List of nature protected areas in the City of Zagreb, Zagreb County and Krapina –Zagorje County</w:t>
        </w:r>
        <w:r w:rsidR="00A318BD">
          <w:rPr>
            <w:noProof/>
            <w:webHidden/>
          </w:rPr>
          <w:tab/>
        </w:r>
        <w:r w:rsidR="00A318BD">
          <w:rPr>
            <w:noProof/>
            <w:webHidden/>
          </w:rPr>
          <w:fldChar w:fldCharType="begin"/>
        </w:r>
        <w:r w:rsidR="00A318BD">
          <w:rPr>
            <w:noProof/>
            <w:webHidden/>
          </w:rPr>
          <w:instrText xml:space="preserve"> PAGEREF _Toc56952705 \h </w:instrText>
        </w:r>
        <w:r w:rsidR="00A318BD">
          <w:rPr>
            <w:noProof/>
            <w:webHidden/>
          </w:rPr>
        </w:r>
        <w:r w:rsidR="00A318BD">
          <w:rPr>
            <w:noProof/>
            <w:webHidden/>
          </w:rPr>
          <w:fldChar w:fldCharType="separate"/>
        </w:r>
        <w:r w:rsidR="00A318BD">
          <w:rPr>
            <w:noProof/>
            <w:webHidden/>
          </w:rPr>
          <w:t>37</w:t>
        </w:r>
        <w:r w:rsidR="00A318BD">
          <w:rPr>
            <w:noProof/>
            <w:webHidden/>
          </w:rPr>
          <w:fldChar w:fldCharType="end"/>
        </w:r>
      </w:hyperlink>
    </w:p>
    <w:p w14:paraId="329ACCFD" w14:textId="5150C2E7" w:rsidR="00A318BD" w:rsidRDefault="00C40C75">
      <w:pPr>
        <w:pStyle w:val="TableofFigures"/>
        <w:tabs>
          <w:tab w:val="right" w:leader="dot" w:pos="9016"/>
        </w:tabs>
        <w:rPr>
          <w:rFonts w:eastAsiaTheme="minorEastAsia" w:cstheme="minorBidi"/>
          <w:noProof/>
          <w:lang w:eastAsia="hr-HR"/>
        </w:rPr>
      </w:pPr>
      <w:hyperlink w:anchor="_Toc56952706" w:history="1">
        <w:r w:rsidR="00A318BD" w:rsidRPr="00780CD3">
          <w:rPr>
            <w:rStyle w:val="Hyperlink"/>
            <w:noProof/>
            <w:lang w:val="en-GB"/>
          </w:rPr>
          <w:t xml:space="preserve">Table 6. </w:t>
        </w:r>
        <w:r w:rsidR="00A318BD" w:rsidRPr="00780CD3">
          <w:rPr>
            <w:rStyle w:val="Hyperlink"/>
            <w:rFonts w:ascii="Calibri" w:hAnsi="Calibri" w:cs="Calibri"/>
            <w:noProof/>
            <w:lang w:val="en-GB"/>
          </w:rPr>
          <w:t>List of protected cultural and historical entity in the City of Zagreb, Zagrebačka Coutny and Krapinsko-Zagorska County</w:t>
        </w:r>
        <w:r w:rsidR="00A318BD">
          <w:rPr>
            <w:noProof/>
            <w:webHidden/>
          </w:rPr>
          <w:tab/>
        </w:r>
        <w:r w:rsidR="00A318BD">
          <w:rPr>
            <w:noProof/>
            <w:webHidden/>
          </w:rPr>
          <w:fldChar w:fldCharType="begin"/>
        </w:r>
        <w:r w:rsidR="00A318BD">
          <w:rPr>
            <w:noProof/>
            <w:webHidden/>
          </w:rPr>
          <w:instrText xml:space="preserve"> PAGEREF _Toc56952706 \h </w:instrText>
        </w:r>
        <w:r w:rsidR="00A318BD">
          <w:rPr>
            <w:noProof/>
            <w:webHidden/>
          </w:rPr>
        </w:r>
        <w:r w:rsidR="00A318BD">
          <w:rPr>
            <w:noProof/>
            <w:webHidden/>
          </w:rPr>
          <w:fldChar w:fldCharType="separate"/>
        </w:r>
        <w:r w:rsidR="00A318BD">
          <w:rPr>
            <w:noProof/>
            <w:webHidden/>
          </w:rPr>
          <w:t>40</w:t>
        </w:r>
        <w:r w:rsidR="00A318BD">
          <w:rPr>
            <w:noProof/>
            <w:webHidden/>
          </w:rPr>
          <w:fldChar w:fldCharType="end"/>
        </w:r>
      </w:hyperlink>
    </w:p>
    <w:p w14:paraId="77B6D269" w14:textId="26AB4B67" w:rsidR="00A318BD" w:rsidRDefault="00C40C75">
      <w:pPr>
        <w:pStyle w:val="TableofFigures"/>
        <w:tabs>
          <w:tab w:val="right" w:leader="dot" w:pos="9016"/>
        </w:tabs>
        <w:rPr>
          <w:rFonts w:eastAsiaTheme="minorEastAsia" w:cstheme="minorBidi"/>
          <w:noProof/>
          <w:lang w:eastAsia="hr-HR"/>
        </w:rPr>
      </w:pPr>
      <w:hyperlink w:anchor="_Toc56952707" w:history="1">
        <w:r w:rsidR="00A318BD" w:rsidRPr="00780CD3">
          <w:rPr>
            <w:rStyle w:val="Hyperlink"/>
            <w:noProof/>
          </w:rPr>
          <w:t>Table 7. Share of each function in total amount of social protection benefits over years, Croatia</w:t>
        </w:r>
        <w:r w:rsidR="00A318BD">
          <w:rPr>
            <w:noProof/>
            <w:webHidden/>
          </w:rPr>
          <w:tab/>
        </w:r>
        <w:r w:rsidR="00A318BD">
          <w:rPr>
            <w:noProof/>
            <w:webHidden/>
          </w:rPr>
          <w:fldChar w:fldCharType="begin"/>
        </w:r>
        <w:r w:rsidR="00A318BD">
          <w:rPr>
            <w:noProof/>
            <w:webHidden/>
          </w:rPr>
          <w:instrText xml:space="preserve"> PAGEREF _Toc56952707 \h </w:instrText>
        </w:r>
        <w:r w:rsidR="00A318BD">
          <w:rPr>
            <w:noProof/>
            <w:webHidden/>
          </w:rPr>
        </w:r>
        <w:r w:rsidR="00A318BD">
          <w:rPr>
            <w:noProof/>
            <w:webHidden/>
          </w:rPr>
          <w:fldChar w:fldCharType="separate"/>
        </w:r>
        <w:r w:rsidR="00A318BD">
          <w:rPr>
            <w:noProof/>
            <w:webHidden/>
          </w:rPr>
          <w:t>48</w:t>
        </w:r>
        <w:r w:rsidR="00A318BD">
          <w:rPr>
            <w:noProof/>
            <w:webHidden/>
          </w:rPr>
          <w:fldChar w:fldCharType="end"/>
        </w:r>
      </w:hyperlink>
    </w:p>
    <w:p w14:paraId="3BB2F171" w14:textId="3D8B0CE3" w:rsidR="00A318BD" w:rsidRDefault="00C40C75">
      <w:pPr>
        <w:pStyle w:val="TableofFigures"/>
        <w:tabs>
          <w:tab w:val="right" w:leader="dot" w:pos="9016"/>
        </w:tabs>
        <w:rPr>
          <w:rFonts w:eastAsiaTheme="minorEastAsia" w:cstheme="minorBidi"/>
          <w:noProof/>
          <w:lang w:eastAsia="hr-HR"/>
        </w:rPr>
      </w:pPr>
      <w:hyperlink w:anchor="_Toc56952708" w:history="1">
        <w:r w:rsidR="00A318BD" w:rsidRPr="00780CD3">
          <w:rPr>
            <w:rStyle w:val="Hyperlink"/>
            <w:noProof/>
          </w:rPr>
          <w:t>Table 8. Founders responsible for investment in health care institutions</w:t>
        </w:r>
        <w:r w:rsidR="00A318BD">
          <w:rPr>
            <w:noProof/>
            <w:webHidden/>
          </w:rPr>
          <w:tab/>
        </w:r>
        <w:r w:rsidR="00A318BD">
          <w:rPr>
            <w:noProof/>
            <w:webHidden/>
          </w:rPr>
          <w:fldChar w:fldCharType="begin"/>
        </w:r>
        <w:r w:rsidR="00A318BD">
          <w:rPr>
            <w:noProof/>
            <w:webHidden/>
          </w:rPr>
          <w:instrText xml:space="preserve"> PAGEREF _Toc56952708 \h </w:instrText>
        </w:r>
        <w:r w:rsidR="00A318BD">
          <w:rPr>
            <w:noProof/>
            <w:webHidden/>
          </w:rPr>
        </w:r>
        <w:r w:rsidR="00A318BD">
          <w:rPr>
            <w:noProof/>
            <w:webHidden/>
          </w:rPr>
          <w:fldChar w:fldCharType="separate"/>
        </w:r>
        <w:r w:rsidR="00A318BD">
          <w:rPr>
            <w:noProof/>
            <w:webHidden/>
          </w:rPr>
          <w:t>49</w:t>
        </w:r>
        <w:r w:rsidR="00A318BD">
          <w:rPr>
            <w:noProof/>
            <w:webHidden/>
          </w:rPr>
          <w:fldChar w:fldCharType="end"/>
        </w:r>
      </w:hyperlink>
    </w:p>
    <w:p w14:paraId="5AE55A16" w14:textId="32835659" w:rsidR="00A318BD" w:rsidRDefault="00C40C75">
      <w:pPr>
        <w:pStyle w:val="TableofFigures"/>
        <w:tabs>
          <w:tab w:val="right" w:leader="dot" w:pos="9016"/>
        </w:tabs>
        <w:rPr>
          <w:rFonts w:eastAsiaTheme="minorEastAsia" w:cstheme="minorBidi"/>
          <w:noProof/>
          <w:lang w:eastAsia="hr-HR"/>
        </w:rPr>
      </w:pPr>
      <w:hyperlink w:anchor="_Toc56952709" w:history="1">
        <w:r w:rsidR="00A318BD" w:rsidRPr="00780CD3">
          <w:rPr>
            <w:rStyle w:val="Hyperlink"/>
            <w:noProof/>
          </w:rPr>
          <w:t xml:space="preserve">Table 9. </w:t>
        </w:r>
        <w:r w:rsidR="00A318BD" w:rsidRPr="00780CD3">
          <w:rPr>
            <w:rStyle w:val="Hyperlink"/>
            <w:noProof/>
            <w:lang w:eastAsia="hr-HR"/>
          </w:rPr>
          <w:t>Health institutions in Croatia, December 31,2019</w:t>
        </w:r>
        <w:r w:rsidR="00A318BD">
          <w:rPr>
            <w:noProof/>
            <w:webHidden/>
          </w:rPr>
          <w:tab/>
        </w:r>
        <w:r w:rsidR="00A318BD">
          <w:rPr>
            <w:noProof/>
            <w:webHidden/>
          </w:rPr>
          <w:fldChar w:fldCharType="begin"/>
        </w:r>
        <w:r w:rsidR="00A318BD">
          <w:rPr>
            <w:noProof/>
            <w:webHidden/>
          </w:rPr>
          <w:instrText xml:space="preserve"> PAGEREF _Toc56952709 \h </w:instrText>
        </w:r>
        <w:r w:rsidR="00A318BD">
          <w:rPr>
            <w:noProof/>
            <w:webHidden/>
          </w:rPr>
        </w:r>
        <w:r w:rsidR="00A318BD">
          <w:rPr>
            <w:noProof/>
            <w:webHidden/>
          </w:rPr>
          <w:fldChar w:fldCharType="separate"/>
        </w:r>
        <w:r w:rsidR="00A318BD">
          <w:rPr>
            <w:noProof/>
            <w:webHidden/>
          </w:rPr>
          <w:t>50</w:t>
        </w:r>
        <w:r w:rsidR="00A318BD">
          <w:rPr>
            <w:noProof/>
            <w:webHidden/>
          </w:rPr>
          <w:fldChar w:fldCharType="end"/>
        </w:r>
      </w:hyperlink>
    </w:p>
    <w:p w14:paraId="2BBDD642" w14:textId="4C5495AA" w:rsidR="00A318BD" w:rsidRDefault="00C40C75">
      <w:pPr>
        <w:pStyle w:val="TableofFigures"/>
        <w:tabs>
          <w:tab w:val="right" w:leader="dot" w:pos="9016"/>
        </w:tabs>
        <w:rPr>
          <w:rFonts w:eastAsiaTheme="minorEastAsia" w:cstheme="minorBidi"/>
          <w:noProof/>
          <w:lang w:eastAsia="hr-HR"/>
        </w:rPr>
      </w:pPr>
      <w:hyperlink w:anchor="_Toc56952710" w:history="1">
        <w:r w:rsidR="00A318BD" w:rsidRPr="00780CD3">
          <w:rPr>
            <w:rStyle w:val="Hyperlink"/>
            <w:rFonts w:cstheme="minorHAnsi"/>
            <w:noProof/>
          </w:rPr>
          <w:t xml:space="preserve">Table 10. </w:t>
        </w:r>
        <w:r w:rsidR="00A318BD" w:rsidRPr="00780CD3">
          <w:rPr>
            <w:rStyle w:val="Hyperlink"/>
            <w:rFonts w:cstheme="minorHAnsi"/>
            <w:noProof/>
            <w:lang w:val="en-US"/>
          </w:rPr>
          <w:t>Overview of type of damaged buildings and methods for their recovery according to Reconstruction Act</w:t>
        </w:r>
        <w:r w:rsidR="00A318BD">
          <w:rPr>
            <w:noProof/>
            <w:webHidden/>
          </w:rPr>
          <w:tab/>
        </w:r>
        <w:r w:rsidR="00A318BD">
          <w:rPr>
            <w:noProof/>
            <w:webHidden/>
          </w:rPr>
          <w:fldChar w:fldCharType="begin"/>
        </w:r>
        <w:r w:rsidR="00A318BD">
          <w:rPr>
            <w:noProof/>
            <w:webHidden/>
          </w:rPr>
          <w:instrText xml:space="preserve"> PAGEREF _Toc56952710 \h </w:instrText>
        </w:r>
        <w:r w:rsidR="00A318BD">
          <w:rPr>
            <w:noProof/>
            <w:webHidden/>
          </w:rPr>
        </w:r>
        <w:r w:rsidR="00A318BD">
          <w:rPr>
            <w:noProof/>
            <w:webHidden/>
          </w:rPr>
          <w:fldChar w:fldCharType="separate"/>
        </w:r>
        <w:r w:rsidR="00A318BD">
          <w:rPr>
            <w:noProof/>
            <w:webHidden/>
          </w:rPr>
          <w:t>67</w:t>
        </w:r>
        <w:r w:rsidR="00A318BD">
          <w:rPr>
            <w:noProof/>
            <w:webHidden/>
          </w:rPr>
          <w:fldChar w:fldCharType="end"/>
        </w:r>
      </w:hyperlink>
    </w:p>
    <w:p w14:paraId="2CD17AC5" w14:textId="5E871193" w:rsidR="00A318BD" w:rsidRDefault="00C40C75">
      <w:pPr>
        <w:pStyle w:val="TableofFigures"/>
        <w:tabs>
          <w:tab w:val="right" w:leader="dot" w:pos="9016"/>
        </w:tabs>
        <w:rPr>
          <w:rFonts w:eastAsiaTheme="minorEastAsia" w:cstheme="minorBidi"/>
          <w:noProof/>
          <w:lang w:eastAsia="hr-HR"/>
        </w:rPr>
      </w:pPr>
      <w:hyperlink w:anchor="_Toc56952711" w:history="1">
        <w:r w:rsidR="00A318BD" w:rsidRPr="00780CD3">
          <w:rPr>
            <w:rStyle w:val="Hyperlink"/>
            <w:noProof/>
          </w:rPr>
          <w:t xml:space="preserve">Table 11. </w:t>
        </w:r>
        <w:r w:rsidR="00A318BD" w:rsidRPr="00780CD3">
          <w:rPr>
            <w:rStyle w:val="Hyperlink"/>
            <w:rFonts w:ascii="Calibri" w:hAnsi="Calibri" w:cs="Calibri"/>
            <w:noProof/>
            <w:lang w:val="en-US"/>
          </w:rPr>
          <w:t>The sources and shares for financing specific reconstruction activities</w:t>
        </w:r>
        <w:r w:rsidR="00A318BD">
          <w:rPr>
            <w:noProof/>
            <w:webHidden/>
          </w:rPr>
          <w:tab/>
        </w:r>
        <w:r w:rsidR="00A318BD">
          <w:rPr>
            <w:noProof/>
            <w:webHidden/>
          </w:rPr>
          <w:fldChar w:fldCharType="begin"/>
        </w:r>
        <w:r w:rsidR="00A318BD">
          <w:rPr>
            <w:noProof/>
            <w:webHidden/>
          </w:rPr>
          <w:instrText xml:space="preserve"> PAGEREF _Toc56952711 \h </w:instrText>
        </w:r>
        <w:r w:rsidR="00A318BD">
          <w:rPr>
            <w:noProof/>
            <w:webHidden/>
          </w:rPr>
        </w:r>
        <w:r w:rsidR="00A318BD">
          <w:rPr>
            <w:noProof/>
            <w:webHidden/>
          </w:rPr>
          <w:fldChar w:fldCharType="separate"/>
        </w:r>
        <w:r w:rsidR="00A318BD">
          <w:rPr>
            <w:noProof/>
            <w:webHidden/>
          </w:rPr>
          <w:t>70</w:t>
        </w:r>
        <w:r w:rsidR="00A318BD">
          <w:rPr>
            <w:noProof/>
            <w:webHidden/>
          </w:rPr>
          <w:fldChar w:fldCharType="end"/>
        </w:r>
      </w:hyperlink>
    </w:p>
    <w:p w14:paraId="7B5F9468" w14:textId="4C25FB2D" w:rsidR="00A318BD" w:rsidRDefault="00C40C75">
      <w:pPr>
        <w:pStyle w:val="TableofFigures"/>
        <w:tabs>
          <w:tab w:val="right" w:leader="dot" w:pos="9016"/>
        </w:tabs>
        <w:rPr>
          <w:rFonts w:eastAsiaTheme="minorEastAsia" w:cstheme="minorBidi"/>
          <w:noProof/>
          <w:lang w:eastAsia="hr-HR"/>
        </w:rPr>
      </w:pPr>
      <w:hyperlink w:anchor="_Toc56952712" w:history="1">
        <w:r w:rsidR="00A318BD" w:rsidRPr="00780CD3">
          <w:rPr>
            <w:rStyle w:val="Hyperlink"/>
            <w:noProof/>
          </w:rPr>
          <w:t xml:space="preserve">Table 12. </w:t>
        </w:r>
        <w:r w:rsidR="00A318BD" w:rsidRPr="00780CD3">
          <w:rPr>
            <w:rStyle w:val="Hyperlink"/>
            <w:rFonts w:ascii="Calibri" w:hAnsi="Calibri" w:cs="Calibri"/>
            <w:noProof/>
            <w:lang w:val="en-US"/>
          </w:rPr>
          <w:t>Exemptions from payment for owners or co-owners</w:t>
        </w:r>
        <w:r w:rsidR="00A318BD">
          <w:rPr>
            <w:noProof/>
            <w:webHidden/>
          </w:rPr>
          <w:tab/>
        </w:r>
        <w:r w:rsidR="00A318BD">
          <w:rPr>
            <w:noProof/>
            <w:webHidden/>
          </w:rPr>
          <w:fldChar w:fldCharType="begin"/>
        </w:r>
        <w:r w:rsidR="00A318BD">
          <w:rPr>
            <w:noProof/>
            <w:webHidden/>
          </w:rPr>
          <w:instrText xml:space="preserve"> PAGEREF _Toc56952712 \h </w:instrText>
        </w:r>
        <w:r w:rsidR="00A318BD">
          <w:rPr>
            <w:noProof/>
            <w:webHidden/>
          </w:rPr>
        </w:r>
        <w:r w:rsidR="00A318BD">
          <w:rPr>
            <w:noProof/>
            <w:webHidden/>
          </w:rPr>
          <w:fldChar w:fldCharType="separate"/>
        </w:r>
        <w:r w:rsidR="00A318BD">
          <w:rPr>
            <w:noProof/>
            <w:webHidden/>
          </w:rPr>
          <w:t>73</w:t>
        </w:r>
        <w:r w:rsidR="00A318BD">
          <w:rPr>
            <w:noProof/>
            <w:webHidden/>
          </w:rPr>
          <w:fldChar w:fldCharType="end"/>
        </w:r>
      </w:hyperlink>
    </w:p>
    <w:p w14:paraId="1CCD4681" w14:textId="52D7B865" w:rsidR="00A318BD" w:rsidRDefault="00C40C75">
      <w:pPr>
        <w:pStyle w:val="TableofFigures"/>
        <w:tabs>
          <w:tab w:val="right" w:leader="dot" w:pos="9016"/>
        </w:tabs>
        <w:rPr>
          <w:rFonts w:eastAsiaTheme="minorEastAsia" w:cstheme="minorBidi"/>
          <w:noProof/>
          <w:lang w:eastAsia="hr-HR"/>
        </w:rPr>
      </w:pPr>
      <w:hyperlink w:anchor="_Toc56952713" w:history="1">
        <w:r w:rsidR="00A318BD" w:rsidRPr="00780CD3">
          <w:rPr>
            <w:rStyle w:val="Hyperlink"/>
            <w:noProof/>
          </w:rPr>
          <w:t>Table 13. Preliminary assessment of ESS</w:t>
        </w:r>
        <w:r w:rsidR="00A318BD">
          <w:rPr>
            <w:noProof/>
            <w:webHidden/>
          </w:rPr>
          <w:tab/>
        </w:r>
        <w:r w:rsidR="00A318BD">
          <w:rPr>
            <w:noProof/>
            <w:webHidden/>
          </w:rPr>
          <w:fldChar w:fldCharType="begin"/>
        </w:r>
        <w:r w:rsidR="00A318BD">
          <w:rPr>
            <w:noProof/>
            <w:webHidden/>
          </w:rPr>
          <w:instrText xml:space="preserve"> PAGEREF _Toc56952713 \h </w:instrText>
        </w:r>
        <w:r w:rsidR="00A318BD">
          <w:rPr>
            <w:noProof/>
            <w:webHidden/>
          </w:rPr>
        </w:r>
        <w:r w:rsidR="00A318BD">
          <w:rPr>
            <w:noProof/>
            <w:webHidden/>
          </w:rPr>
          <w:fldChar w:fldCharType="separate"/>
        </w:r>
        <w:r w:rsidR="00A318BD">
          <w:rPr>
            <w:noProof/>
            <w:webHidden/>
          </w:rPr>
          <w:t>89</w:t>
        </w:r>
        <w:r w:rsidR="00A318BD">
          <w:rPr>
            <w:noProof/>
            <w:webHidden/>
          </w:rPr>
          <w:fldChar w:fldCharType="end"/>
        </w:r>
      </w:hyperlink>
    </w:p>
    <w:p w14:paraId="0A168BEC" w14:textId="0EA53410" w:rsidR="00A318BD" w:rsidRDefault="00C40C75">
      <w:pPr>
        <w:pStyle w:val="TableofFigures"/>
        <w:tabs>
          <w:tab w:val="right" w:leader="dot" w:pos="9016"/>
        </w:tabs>
        <w:rPr>
          <w:rFonts w:eastAsiaTheme="minorEastAsia" w:cstheme="minorBidi"/>
          <w:noProof/>
          <w:lang w:eastAsia="hr-HR"/>
        </w:rPr>
      </w:pPr>
      <w:hyperlink w:anchor="_Toc56952714" w:history="1">
        <w:r w:rsidR="00A318BD" w:rsidRPr="00780CD3">
          <w:rPr>
            <w:rStyle w:val="Hyperlink"/>
            <w:noProof/>
          </w:rPr>
          <w:t>Table 14. Compliance analysis of ESS and national legislation</w:t>
        </w:r>
        <w:r w:rsidR="00A318BD">
          <w:rPr>
            <w:noProof/>
            <w:webHidden/>
          </w:rPr>
          <w:tab/>
        </w:r>
        <w:r w:rsidR="00A318BD">
          <w:rPr>
            <w:noProof/>
            <w:webHidden/>
          </w:rPr>
          <w:fldChar w:fldCharType="begin"/>
        </w:r>
        <w:r w:rsidR="00A318BD">
          <w:rPr>
            <w:noProof/>
            <w:webHidden/>
          </w:rPr>
          <w:instrText xml:space="preserve"> PAGEREF _Toc56952714 \h </w:instrText>
        </w:r>
        <w:r w:rsidR="00A318BD">
          <w:rPr>
            <w:noProof/>
            <w:webHidden/>
          </w:rPr>
        </w:r>
        <w:r w:rsidR="00A318BD">
          <w:rPr>
            <w:noProof/>
            <w:webHidden/>
          </w:rPr>
          <w:fldChar w:fldCharType="separate"/>
        </w:r>
        <w:r w:rsidR="00A318BD">
          <w:rPr>
            <w:noProof/>
            <w:webHidden/>
          </w:rPr>
          <w:t>92</w:t>
        </w:r>
        <w:r w:rsidR="00A318BD">
          <w:rPr>
            <w:noProof/>
            <w:webHidden/>
          </w:rPr>
          <w:fldChar w:fldCharType="end"/>
        </w:r>
      </w:hyperlink>
    </w:p>
    <w:p w14:paraId="1E029409" w14:textId="103C89D6" w:rsidR="00A318BD" w:rsidRDefault="00C40C75">
      <w:pPr>
        <w:pStyle w:val="TableofFigures"/>
        <w:tabs>
          <w:tab w:val="right" w:leader="dot" w:pos="9016"/>
        </w:tabs>
        <w:rPr>
          <w:rFonts w:eastAsiaTheme="minorEastAsia" w:cstheme="minorBidi"/>
          <w:noProof/>
          <w:lang w:eastAsia="hr-HR"/>
        </w:rPr>
      </w:pPr>
      <w:hyperlink w:anchor="_Toc56952715" w:history="1">
        <w:r w:rsidR="00A318BD" w:rsidRPr="00780CD3">
          <w:rPr>
            <w:rStyle w:val="Hyperlink"/>
            <w:noProof/>
          </w:rPr>
          <w:t>Table 15. Classification of waste which may occur in the healthcare institutions - not an exhaustive list</w:t>
        </w:r>
        <w:r w:rsidR="00A318BD">
          <w:rPr>
            <w:noProof/>
            <w:webHidden/>
          </w:rPr>
          <w:tab/>
        </w:r>
        <w:r w:rsidR="00A318BD">
          <w:rPr>
            <w:noProof/>
            <w:webHidden/>
          </w:rPr>
          <w:fldChar w:fldCharType="begin"/>
        </w:r>
        <w:r w:rsidR="00A318BD">
          <w:rPr>
            <w:noProof/>
            <w:webHidden/>
          </w:rPr>
          <w:instrText xml:space="preserve"> PAGEREF _Toc56952715 \h </w:instrText>
        </w:r>
        <w:r w:rsidR="00A318BD">
          <w:rPr>
            <w:noProof/>
            <w:webHidden/>
          </w:rPr>
        </w:r>
        <w:r w:rsidR="00A318BD">
          <w:rPr>
            <w:noProof/>
            <w:webHidden/>
          </w:rPr>
          <w:fldChar w:fldCharType="separate"/>
        </w:r>
        <w:r w:rsidR="00A318BD">
          <w:rPr>
            <w:noProof/>
            <w:webHidden/>
          </w:rPr>
          <w:t>100</w:t>
        </w:r>
        <w:r w:rsidR="00A318BD">
          <w:rPr>
            <w:noProof/>
            <w:webHidden/>
          </w:rPr>
          <w:fldChar w:fldCharType="end"/>
        </w:r>
      </w:hyperlink>
    </w:p>
    <w:p w14:paraId="63F5D2B1" w14:textId="444CDB70" w:rsidR="00A318BD" w:rsidRDefault="00C40C75">
      <w:pPr>
        <w:pStyle w:val="TableofFigures"/>
        <w:tabs>
          <w:tab w:val="right" w:leader="dot" w:pos="9016"/>
        </w:tabs>
        <w:rPr>
          <w:rFonts w:eastAsiaTheme="minorEastAsia" w:cstheme="minorBidi"/>
          <w:noProof/>
          <w:lang w:eastAsia="hr-HR"/>
        </w:rPr>
      </w:pPr>
      <w:hyperlink w:anchor="_Toc56952716" w:history="1">
        <w:r w:rsidR="00A318BD" w:rsidRPr="00780CD3">
          <w:rPr>
            <w:rStyle w:val="Hyperlink"/>
            <w:noProof/>
          </w:rPr>
          <w:t>Table 16. Obligations of medical waste generators regarding handling the medical waste (Groups B1-B4, C1-C3), according to the waste legislation</w:t>
        </w:r>
        <w:r w:rsidR="00A318BD">
          <w:rPr>
            <w:noProof/>
            <w:webHidden/>
          </w:rPr>
          <w:tab/>
        </w:r>
        <w:r w:rsidR="00A318BD">
          <w:rPr>
            <w:noProof/>
            <w:webHidden/>
          </w:rPr>
          <w:fldChar w:fldCharType="begin"/>
        </w:r>
        <w:r w:rsidR="00A318BD">
          <w:rPr>
            <w:noProof/>
            <w:webHidden/>
          </w:rPr>
          <w:instrText xml:space="preserve"> PAGEREF _Toc56952716 \h </w:instrText>
        </w:r>
        <w:r w:rsidR="00A318BD">
          <w:rPr>
            <w:noProof/>
            <w:webHidden/>
          </w:rPr>
        </w:r>
        <w:r w:rsidR="00A318BD">
          <w:rPr>
            <w:noProof/>
            <w:webHidden/>
          </w:rPr>
          <w:fldChar w:fldCharType="separate"/>
        </w:r>
        <w:r w:rsidR="00A318BD">
          <w:rPr>
            <w:noProof/>
            <w:webHidden/>
          </w:rPr>
          <w:t>102</w:t>
        </w:r>
        <w:r w:rsidR="00A318BD">
          <w:rPr>
            <w:noProof/>
            <w:webHidden/>
          </w:rPr>
          <w:fldChar w:fldCharType="end"/>
        </w:r>
      </w:hyperlink>
    </w:p>
    <w:p w14:paraId="68A0BDB2" w14:textId="562278D9" w:rsidR="00A318BD" w:rsidRDefault="00C40C75">
      <w:pPr>
        <w:pStyle w:val="TableofFigures"/>
        <w:tabs>
          <w:tab w:val="right" w:leader="dot" w:pos="9016"/>
        </w:tabs>
        <w:rPr>
          <w:rFonts w:eastAsiaTheme="minorEastAsia" w:cstheme="minorBidi"/>
          <w:noProof/>
          <w:lang w:eastAsia="hr-HR"/>
        </w:rPr>
      </w:pPr>
      <w:hyperlink w:anchor="_Toc56952717" w:history="1">
        <w:r w:rsidR="00A318BD" w:rsidRPr="00780CD3">
          <w:rPr>
            <w:rStyle w:val="Hyperlink"/>
            <w:noProof/>
          </w:rPr>
          <w:t>Table 17. Obligations of radioactive medical waste generators (Group C4)</w:t>
        </w:r>
        <w:r w:rsidR="00A318BD">
          <w:rPr>
            <w:noProof/>
            <w:webHidden/>
          </w:rPr>
          <w:tab/>
        </w:r>
        <w:r w:rsidR="00A318BD">
          <w:rPr>
            <w:noProof/>
            <w:webHidden/>
          </w:rPr>
          <w:fldChar w:fldCharType="begin"/>
        </w:r>
        <w:r w:rsidR="00A318BD">
          <w:rPr>
            <w:noProof/>
            <w:webHidden/>
          </w:rPr>
          <w:instrText xml:space="preserve"> PAGEREF _Toc56952717 \h </w:instrText>
        </w:r>
        <w:r w:rsidR="00A318BD">
          <w:rPr>
            <w:noProof/>
            <w:webHidden/>
          </w:rPr>
        </w:r>
        <w:r w:rsidR="00A318BD">
          <w:rPr>
            <w:noProof/>
            <w:webHidden/>
          </w:rPr>
          <w:fldChar w:fldCharType="separate"/>
        </w:r>
        <w:r w:rsidR="00A318BD">
          <w:rPr>
            <w:noProof/>
            <w:webHidden/>
          </w:rPr>
          <w:t>104</w:t>
        </w:r>
        <w:r w:rsidR="00A318BD">
          <w:rPr>
            <w:noProof/>
            <w:webHidden/>
          </w:rPr>
          <w:fldChar w:fldCharType="end"/>
        </w:r>
      </w:hyperlink>
    </w:p>
    <w:p w14:paraId="799A36FE" w14:textId="2D37FA4D" w:rsidR="00A318BD" w:rsidRDefault="00C40C75">
      <w:pPr>
        <w:pStyle w:val="TableofFigures"/>
        <w:tabs>
          <w:tab w:val="right" w:leader="dot" w:pos="9016"/>
        </w:tabs>
        <w:rPr>
          <w:rFonts w:eastAsiaTheme="minorEastAsia" w:cstheme="minorBidi"/>
          <w:noProof/>
          <w:lang w:eastAsia="hr-HR"/>
        </w:rPr>
      </w:pPr>
      <w:hyperlink w:anchor="_Toc56952718" w:history="1">
        <w:r w:rsidR="00A318BD" w:rsidRPr="00780CD3">
          <w:rPr>
            <w:rStyle w:val="Hyperlink"/>
            <w:noProof/>
          </w:rPr>
          <w:t>Table 18. National due diligence documents and decisions by Project activities</w:t>
        </w:r>
        <w:r w:rsidR="00A318BD">
          <w:rPr>
            <w:noProof/>
            <w:webHidden/>
          </w:rPr>
          <w:tab/>
        </w:r>
        <w:r w:rsidR="00A318BD">
          <w:rPr>
            <w:noProof/>
            <w:webHidden/>
          </w:rPr>
          <w:fldChar w:fldCharType="begin"/>
        </w:r>
        <w:r w:rsidR="00A318BD">
          <w:rPr>
            <w:noProof/>
            <w:webHidden/>
          </w:rPr>
          <w:instrText xml:space="preserve"> PAGEREF _Toc56952718 \h </w:instrText>
        </w:r>
        <w:r w:rsidR="00A318BD">
          <w:rPr>
            <w:noProof/>
            <w:webHidden/>
          </w:rPr>
        </w:r>
        <w:r w:rsidR="00A318BD">
          <w:rPr>
            <w:noProof/>
            <w:webHidden/>
          </w:rPr>
          <w:fldChar w:fldCharType="separate"/>
        </w:r>
        <w:r w:rsidR="00A318BD">
          <w:rPr>
            <w:noProof/>
            <w:webHidden/>
          </w:rPr>
          <w:t>113</w:t>
        </w:r>
        <w:r w:rsidR="00A318BD">
          <w:rPr>
            <w:noProof/>
            <w:webHidden/>
          </w:rPr>
          <w:fldChar w:fldCharType="end"/>
        </w:r>
      </w:hyperlink>
    </w:p>
    <w:p w14:paraId="2C3CAC9B" w14:textId="656F769E" w:rsidR="00A318BD" w:rsidRDefault="00C40C75">
      <w:pPr>
        <w:pStyle w:val="TableofFigures"/>
        <w:tabs>
          <w:tab w:val="right" w:leader="dot" w:pos="9016"/>
        </w:tabs>
        <w:rPr>
          <w:rFonts w:eastAsiaTheme="minorEastAsia" w:cstheme="minorBidi"/>
          <w:noProof/>
          <w:lang w:eastAsia="hr-HR"/>
        </w:rPr>
      </w:pPr>
      <w:hyperlink w:anchor="_Toc56952719" w:history="1">
        <w:r w:rsidR="00A318BD" w:rsidRPr="00780CD3">
          <w:rPr>
            <w:rStyle w:val="Hyperlink"/>
            <w:rFonts w:ascii="Calibri" w:hAnsi="Calibri"/>
            <w:noProof/>
            <w:lang w:val="en-US"/>
          </w:rPr>
          <w:t>Table 19. Specific responsibilities for the identification, assessment and addressing environmental and social aspects of the project activities, by implementing body</w:t>
        </w:r>
        <w:r w:rsidR="00A318BD">
          <w:rPr>
            <w:noProof/>
            <w:webHidden/>
          </w:rPr>
          <w:tab/>
        </w:r>
        <w:r w:rsidR="00A318BD">
          <w:rPr>
            <w:noProof/>
            <w:webHidden/>
          </w:rPr>
          <w:fldChar w:fldCharType="begin"/>
        </w:r>
        <w:r w:rsidR="00A318BD">
          <w:rPr>
            <w:noProof/>
            <w:webHidden/>
          </w:rPr>
          <w:instrText xml:space="preserve"> PAGEREF _Toc56952719 \h </w:instrText>
        </w:r>
        <w:r w:rsidR="00A318BD">
          <w:rPr>
            <w:noProof/>
            <w:webHidden/>
          </w:rPr>
        </w:r>
        <w:r w:rsidR="00A318BD">
          <w:rPr>
            <w:noProof/>
            <w:webHidden/>
          </w:rPr>
          <w:fldChar w:fldCharType="separate"/>
        </w:r>
        <w:r w:rsidR="00A318BD">
          <w:rPr>
            <w:noProof/>
            <w:webHidden/>
          </w:rPr>
          <w:t>118</w:t>
        </w:r>
        <w:r w:rsidR="00A318BD">
          <w:rPr>
            <w:noProof/>
            <w:webHidden/>
          </w:rPr>
          <w:fldChar w:fldCharType="end"/>
        </w:r>
      </w:hyperlink>
    </w:p>
    <w:p w14:paraId="2EB67360" w14:textId="708BF2FF" w:rsidR="00A318BD" w:rsidRDefault="00C40C75">
      <w:pPr>
        <w:pStyle w:val="TableofFigures"/>
        <w:tabs>
          <w:tab w:val="right" w:leader="dot" w:pos="9016"/>
        </w:tabs>
        <w:rPr>
          <w:rFonts w:eastAsiaTheme="minorEastAsia" w:cstheme="minorBidi"/>
          <w:noProof/>
          <w:lang w:eastAsia="hr-HR"/>
        </w:rPr>
      </w:pPr>
      <w:hyperlink w:anchor="_Toc56952720" w:history="1">
        <w:r w:rsidR="00A318BD" w:rsidRPr="00780CD3">
          <w:rPr>
            <w:rStyle w:val="Hyperlink"/>
            <w:noProof/>
          </w:rPr>
          <w:t>Table 20. PIU-2 (MoH) staff engaged for the Project</w:t>
        </w:r>
        <w:r w:rsidR="00A318BD">
          <w:rPr>
            <w:noProof/>
            <w:webHidden/>
          </w:rPr>
          <w:tab/>
        </w:r>
        <w:r w:rsidR="00A318BD">
          <w:rPr>
            <w:noProof/>
            <w:webHidden/>
          </w:rPr>
          <w:fldChar w:fldCharType="begin"/>
        </w:r>
        <w:r w:rsidR="00A318BD">
          <w:rPr>
            <w:noProof/>
            <w:webHidden/>
          </w:rPr>
          <w:instrText xml:space="preserve"> PAGEREF _Toc56952720 \h </w:instrText>
        </w:r>
        <w:r w:rsidR="00A318BD">
          <w:rPr>
            <w:noProof/>
            <w:webHidden/>
          </w:rPr>
        </w:r>
        <w:r w:rsidR="00A318BD">
          <w:rPr>
            <w:noProof/>
            <w:webHidden/>
          </w:rPr>
          <w:fldChar w:fldCharType="separate"/>
        </w:r>
        <w:r w:rsidR="00A318BD">
          <w:rPr>
            <w:noProof/>
            <w:webHidden/>
          </w:rPr>
          <w:t>121</w:t>
        </w:r>
        <w:r w:rsidR="00A318BD">
          <w:rPr>
            <w:noProof/>
            <w:webHidden/>
          </w:rPr>
          <w:fldChar w:fldCharType="end"/>
        </w:r>
      </w:hyperlink>
    </w:p>
    <w:p w14:paraId="28750524" w14:textId="2B2EEA35" w:rsidR="00A318BD" w:rsidRDefault="00C40C75">
      <w:pPr>
        <w:pStyle w:val="TableofFigures"/>
        <w:tabs>
          <w:tab w:val="right" w:leader="dot" w:pos="9016"/>
        </w:tabs>
        <w:rPr>
          <w:rFonts w:eastAsiaTheme="minorEastAsia" w:cstheme="minorBidi"/>
          <w:noProof/>
          <w:lang w:eastAsia="hr-HR"/>
        </w:rPr>
      </w:pPr>
      <w:hyperlink w:anchor="_Toc56952721" w:history="1">
        <w:r w:rsidR="00A318BD" w:rsidRPr="00780CD3">
          <w:rPr>
            <w:rStyle w:val="Hyperlink"/>
            <w:noProof/>
          </w:rPr>
          <w:t>Table 21. Responsibilities during project preparation/implementation</w:t>
        </w:r>
        <w:r w:rsidR="00A318BD">
          <w:rPr>
            <w:noProof/>
            <w:webHidden/>
          </w:rPr>
          <w:tab/>
        </w:r>
        <w:r w:rsidR="00A318BD">
          <w:rPr>
            <w:noProof/>
            <w:webHidden/>
          </w:rPr>
          <w:fldChar w:fldCharType="begin"/>
        </w:r>
        <w:r w:rsidR="00A318BD">
          <w:rPr>
            <w:noProof/>
            <w:webHidden/>
          </w:rPr>
          <w:instrText xml:space="preserve"> PAGEREF _Toc56952721 \h </w:instrText>
        </w:r>
        <w:r w:rsidR="00A318BD">
          <w:rPr>
            <w:noProof/>
            <w:webHidden/>
          </w:rPr>
        </w:r>
        <w:r w:rsidR="00A318BD">
          <w:rPr>
            <w:noProof/>
            <w:webHidden/>
          </w:rPr>
          <w:fldChar w:fldCharType="separate"/>
        </w:r>
        <w:r w:rsidR="00A318BD">
          <w:rPr>
            <w:noProof/>
            <w:webHidden/>
          </w:rPr>
          <w:t>122</w:t>
        </w:r>
        <w:r w:rsidR="00A318BD">
          <w:rPr>
            <w:noProof/>
            <w:webHidden/>
          </w:rPr>
          <w:fldChar w:fldCharType="end"/>
        </w:r>
      </w:hyperlink>
    </w:p>
    <w:p w14:paraId="2C52F2B2" w14:textId="0C817EBC" w:rsidR="00A318BD" w:rsidRDefault="00C40C75">
      <w:pPr>
        <w:pStyle w:val="TableofFigures"/>
        <w:tabs>
          <w:tab w:val="right" w:leader="dot" w:pos="9016"/>
        </w:tabs>
        <w:rPr>
          <w:rFonts w:eastAsiaTheme="minorEastAsia" w:cstheme="minorBidi"/>
          <w:noProof/>
          <w:lang w:eastAsia="hr-HR"/>
        </w:rPr>
      </w:pPr>
      <w:hyperlink w:anchor="_Toc56952722" w:history="1">
        <w:r w:rsidR="00A318BD" w:rsidRPr="00780CD3">
          <w:rPr>
            <w:rStyle w:val="Hyperlink"/>
            <w:noProof/>
          </w:rPr>
          <w:t>Table 22. Reporting obligations during project implementation</w:t>
        </w:r>
        <w:r w:rsidR="00A318BD">
          <w:rPr>
            <w:noProof/>
            <w:webHidden/>
          </w:rPr>
          <w:tab/>
        </w:r>
        <w:r w:rsidR="00A318BD">
          <w:rPr>
            <w:noProof/>
            <w:webHidden/>
          </w:rPr>
          <w:fldChar w:fldCharType="begin"/>
        </w:r>
        <w:r w:rsidR="00A318BD">
          <w:rPr>
            <w:noProof/>
            <w:webHidden/>
          </w:rPr>
          <w:instrText xml:space="preserve"> PAGEREF _Toc56952722 \h </w:instrText>
        </w:r>
        <w:r w:rsidR="00A318BD">
          <w:rPr>
            <w:noProof/>
            <w:webHidden/>
          </w:rPr>
        </w:r>
        <w:r w:rsidR="00A318BD">
          <w:rPr>
            <w:noProof/>
            <w:webHidden/>
          </w:rPr>
          <w:fldChar w:fldCharType="separate"/>
        </w:r>
        <w:r w:rsidR="00A318BD">
          <w:rPr>
            <w:noProof/>
            <w:webHidden/>
          </w:rPr>
          <w:t>123</w:t>
        </w:r>
        <w:r w:rsidR="00A318BD">
          <w:rPr>
            <w:noProof/>
            <w:webHidden/>
          </w:rPr>
          <w:fldChar w:fldCharType="end"/>
        </w:r>
      </w:hyperlink>
    </w:p>
    <w:p w14:paraId="05356E7C" w14:textId="3AD3BE89" w:rsidR="00A318BD" w:rsidRDefault="00C40C75">
      <w:pPr>
        <w:pStyle w:val="TableofFigures"/>
        <w:tabs>
          <w:tab w:val="right" w:leader="dot" w:pos="9016"/>
        </w:tabs>
        <w:rPr>
          <w:rFonts w:eastAsiaTheme="minorEastAsia" w:cstheme="minorBidi"/>
          <w:noProof/>
          <w:lang w:eastAsia="hr-HR"/>
        </w:rPr>
      </w:pPr>
      <w:hyperlink w:anchor="_Toc56952723" w:history="1">
        <w:r w:rsidR="00A318BD" w:rsidRPr="00780CD3">
          <w:rPr>
            <w:rStyle w:val="Hyperlink"/>
            <w:noProof/>
          </w:rPr>
          <w:t xml:space="preserve">Table 23. Channels for submitting complaints, feedback, </w:t>
        </w:r>
        <w:r w:rsidR="00A318BD" w:rsidRPr="00780CD3">
          <w:rPr>
            <w:rStyle w:val="Hyperlink"/>
            <w:rFonts w:ascii="Calibri" w:eastAsiaTheme="minorHAnsi" w:hAnsi="Calibri" w:cs="Calibri"/>
            <w:noProof/>
          </w:rPr>
          <w:t>queries, suggestions, or compliments</w:t>
        </w:r>
        <w:r w:rsidR="00A318BD">
          <w:rPr>
            <w:noProof/>
            <w:webHidden/>
          </w:rPr>
          <w:tab/>
        </w:r>
        <w:r w:rsidR="00A318BD">
          <w:rPr>
            <w:noProof/>
            <w:webHidden/>
          </w:rPr>
          <w:fldChar w:fldCharType="begin"/>
        </w:r>
        <w:r w:rsidR="00A318BD">
          <w:rPr>
            <w:noProof/>
            <w:webHidden/>
          </w:rPr>
          <w:instrText xml:space="preserve"> PAGEREF _Toc56952723 \h </w:instrText>
        </w:r>
        <w:r w:rsidR="00A318BD">
          <w:rPr>
            <w:noProof/>
            <w:webHidden/>
          </w:rPr>
        </w:r>
        <w:r w:rsidR="00A318BD">
          <w:rPr>
            <w:noProof/>
            <w:webHidden/>
          </w:rPr>
          <w:fldChar w:fldCharType="separate"/>
        </w:r>
        <w:r w:rsidR="00A318BD">
          <w:rPr>
            <w:noProof/>
            <w:webHidden/>
          </w:rPr>
          <w:t>125</w:t>
        </w:r>
        <w:r w:rsidR="00A318BD">
          <w:rPr>
            <w:noProof/>
            <w:webHidden/>
          </w:rPr>
          <w:fldChar w:fldCharType="end"/>
        </w:r>
      </w:hyperlink>
    </w:p>
    <w:p w14:paraId="6DDC3A06" w14:textId="4D263BA0" w:rsidR="00A318BD" w:rsidRDefault="00C40C75">
      <w:pPr>
        <w:pStyle w:val="TableofFigures"/>
        <w:tabs>
          <w:tab w:val="right" w:leader="dot" w:pos="9016"/>
        </w:tabs>
        <w:rPr>
          <w:rFonts w:eastAsiaTheme="minorEastAsia" w:cstheme="minorBidi"/>
          <w:noProof/>
          <w:lang w:eastAsia="hr-HR"/>
        </w:rPr>
      </w:pPr>
      <w:hyperlink w:anchor="_Toc56952724" w:history="1">
        <w:r w:rsidR="00A318BD" w:rsidRPr="00780CD3">
          <w:rPr>
            <w:rStyle w:val="Hyperlink"/>
            <w:noProof/>
          </w:rPr>
          <w:t>Table 24. Environmental and social screening questionnaire</w:t>
        </w:r>
        <w:r w:rsidR="00A318BD">
          <w:rPr>
            <w:noProof/>
            <w:webHidden/>
          </w:rPr>
          <w:tab/>
        </w:r>
        <w:r w:rsidR="00A318BD">
          <w:rPr>
            <w:noProof/>
            <w:webHidden/>
          </w:rPr>
          <w:fldChar w:fldCharType="begin"/>
        </w:r>
        <w:r w:rsidR="00A318BD">
          <w:rPr>
            <w:noProof/>
            <w:webHidden/>
          </w:rPr>
          <w:instrText xml:space="preserve"> PAGEREF _Toc56952724 \h </w:instrText>
        </w:r>
        <w:r w:rsidR="00A318BD">
          <w:rPr>
            <w:noProof/>
            <w:webHidden/>
          </w:rPr>
        </w:r>
        <w:r w:rsidR="00A318BD">
          <w:rPr>
            <w:noProof/>
            <w:webHidden/>
          </w:rPr>
          <w:fldChar w:fldCharType="separate"/>
        </w:r>
        <w:r w:rsidR="00A318BD">
          <w:rPr>
            <w:noProof/>
            <w:webHidden/>
          </w:rPr>
          <w:t>143</w:t>
        </w:r>
        <w:r w:rsidR="00A318BD">
          <w:rPr>
            <w:noProof/>
            <w:webHidden/>
          </w:rPr>
          <w:fldChar w:fldCharType="end"/>
        </w:r>
      </w:hyperlink>
    </w:p>
    <w:p w14:paraId="34AAF41D" w14:textId="66180E26" w:rsidR="00A318BD" w:rsidRDefault="00C40C75">
      <w:pPr>
        <w:pStyle w:val="TableofFigures"/>
        <w:tabs>
          <w:tab w:val="right" w:leader="dot" w:pos="9016"/>
        </w:tabs>
        <w:rPr>
          <w:rFonts w:eastAsiaTheme="minorEastAsia" w:cstheme="minorBidi"/>
          <w:noProof/>
          <w:lang w:eastAsia="hr-HR"/>
        </w:rPr>
      </w:pPr>
      <w:hyperlink w:anchor="_Toc56952725" w:history="1">
        <w:r w:rsidR="00A318BD" w:rsidRPr="00780CD3">
          <w:rPr>
            <w:rStyle w:val="Hyperlink"/>
            <w:noProof/>
          </w:rPr>
          <w:t>Table 25. Part I - General project and site information</w:t>
        </w:r>
        <w:r w:rsidR="00A318BD">
          <w:rPr>
            <w:noProof/>
            <w:webHidden/>
          </w:rPr>
          <w:tab/>
        </w:r>
        <w:r w:rsidR="00A318BD">
          <w:rPr>
            <w:noProof/>
            <w:webHidden/>
          </w:rPr>
          <w:fldChar w:fldCharType="begin"/>
        </w:r>
        <w:r w:rsidR="00A318BD">
          <w:rPr>
            <w:noProof/>
            <w:webHidden/>
          </w:rPr>
          <w:instrText xml:space="preserve"> PAGEREF _Toc56952725 \h </w:instrText>
        </w:r>
        <w:r w:rsidR="00A318BD">
          <w:rPr>
            <w:noProof/>
            <w:webHidden/>
          </w:rPr>
        </w:r>
        <w:r w:rsidR="00A318BD">
          <w:rPr>
            <w:noProof/>
            <w:webHidden/>
          </w:rPr>
          <w:fldChar w:fldCharType="separate"/>
        </w:r>
        <w:r w:rsidR="00A318BD">
          <w:rPr>
            <w:noProof/>
            <w:webHidden/>
          </w:rPr>
          <w:t>146</w:t>
        </w:r>
        <w:r w:rsidR="00A318BD">
          <w:rPr>
            <w:noProof/>
            <w:webHidden/>
          </w:rPr>
          <w:fldChar w:fldCharType="end"/>
        </w:r>
      </w:hyperlink>
    </w:p>
    <w:p w14:paraId="1D63C0CC" w14:textId="44EF357A" w:rsidR="00A318BD" w:rsidRDefault="00C40C75">
      <w:pPr>
        <w:pStyle w:val="TableofFigures"/>
        <w:tabs>
          <w:tab w:val="right" w:leader="dot" w:pos="9016"/>
        </w:tabs>
        <w:rPr>
          <w:rFonts w:eastAsiaTheme="minorEastAsia" w:cstheme="minorBidi"/>
          <w:noProof/>
          <w:lang w:eastAsia="hr-HR"/>
        </w:rPr>
      </w:pPr>
      <w:hyperlink w:anchor="_Toc56952726" w:history="1">
        <w:r w:rsidR="00A318BD" w:rsidRPr="00780CD3">
          <w:rPr>
            <w:rStyle w:val="Hyperlink"/>
            <w:noProof/>
          </w:rPr>
          <w:t>Table 26. Part II - Environmental/Social screening</w:t>
        </w:r>
        <w:r w:rsidR="00A318BD">
          <w:rPr>
            <w:noProof/>
            <w:webHidden/>
          </w:rPr>
          <w:tab/>
        </w:r>
        <w:r w:rsidR="00A318BD">
          <w:rPr>
            <w:noProof/>
            <w:webHidden/>
          </w:rPr>
          <w:fldChar w:fldCharType="begin"/>
        </w:r>
        <w:r w:rsidR="00A318BD">
          <w:rPr>
            <w:noProof/>
            <w:webHidden/>
          </w:rPr>
          <w:instrText xml:space="preserve"> PAGEREF _Toc56952726 \h </w:instrText>
        </w:r>
        <w:r w:rsidR="00A318BD">
          <w:rPr>
            <w:noProof/>
            <w:webHidden/>
          </w:rPr>
        </w:r>
        <w:r w:rsidR="00A318BD">
          <w:rPr>
            <w:noProof/>
            <w:webHidden/>
          </w:rPr>
          <w:fldChar w:fldCharType="separate"/>
        </w:r>
        <w:r w:rsidR="00A318BD">
          <w:rPr>
            <w:noProof/>
            <w:webHidden/>
          </w:rPr>
          <w:t>148</w:t>
        </w:r>
        <w:r w:rsidR="00A318BD">
          <w:rPr>
            <w:noProof/>
            <w:webHidden/>
          </w:rPr>
          <w:fldChar w:fldCharType="end"/>
        </w:r>
      </w:hyperlink>
    </w:p>
    <w:p w14:paraId="16E817CC" w14:textId="42130251" w:rsidR="00A318BD" w:rsidRDefault="00C40C75">
      <w:pPr>
        <w:pStyle w:val="TableofFigures"/>
        <w:tabs>
          <w:tab w:val="right" w:leader="dot" w:pos="9016"/>
        </w:tabs>
        <w:rPr>
          <w:rFonts w:eastAsiaTheme="minorEastAsia" w:cstheme="minorBidi"/>
          <w:noProof/>
          <w:lang w:eastAsia="hr-HR"/>
        </w:rPr>
      </w:pPr>
      <w:hyperlink w:anchor="_Toc56952727" w:history="1">
        <w:r w:rsidR="00A318BD" w:rsidRPr="00780CD3">
          <w:rPr>
            <w:rStyle w:val="Hyperlink"/>
            <w:noProof/>
          </w:rPr>
          <w:t>Table 27. Part III - Environmental and social mitigation measures</w:t>
        </w:r>
        <w:r w:rsidR="00A318BD">
          <w:rPr>
            <w:noProof/>
            <w:webHidden/>
          </w:rPr>
          <w:tab/>
        </w:r>
        <w:r w:rsidR="00A318BD">
          <w:rPr>
            <w:noProof/>
            <w:webHidden/>
          </w:rPr>
          <w:fldChar w:fldCharType="begin"/>
        </w:r>
        <w:r w:rsidR="00A318BD">
          <w:rPr>
            <w:noProof/>
            <w:webHidden/>
          </w:rPr>
          <w:instrText xml:space="preserve"> PAGEREF _Toc56952727 \h </w:instrText>
        </w:r>
        <w:r w:rsidR="00A318BD">
          <w:rPr>
            <w:noProof/>
            <w:webHidden/>
          </w:rPr>
        </w:r>
        <w:r w:rsidR="00A318BD">
          <w:rPr>
            <w:noProof/>
            <w:webHidden/>
          </w:rPr>
          <w:fldChar w:fldCharType="separate"/>
        </w:r>
        <w:r w:rsidR="00A318BD">
          <w:rPr>
            <w:noProof/>
            <w:webHidden/>
          </w:rPr>
          <w:t>149</w:t>
        </w:r>
        <w:r w:rsidR="00A318BD">
          <w:rPr>
            <w:noProof/>
            <w:webHidden/>
          </w:rPr>
          <w:fldChar w:fldCharType="end"/>
        </w:r>
      </w:hyperlink>
    </w:p>
    <w:p w14:paraId="60E59DBC" w14:textId="624A45EB" w:rsidR="00A318BD" w:rsidRDefault="00C40C75">
      <w:pPr>
        <w:pStyle w:val="TableofFigures"/>
        <w:tabs>
          <w:tab w:val="right" w:leader="dot" w:pos="9016"/>
        </w:tabs>
        <w:rPr>
          <w:rFonts w:eastAsiaTheme="minorEastAsia" w:cstheme="minorBidi"/>
          <w:noProof/>
          <w:lang w:eastAsia="hr-HR"/>
        </w:rPr>
      </w:pPr>
      <w:hyperlink w:anchor="_Toc56952728" w:history="1">
        <w:r w:rsidR="00A318BD" w:rsidRPr="00780CD3">
          <w:rPr>
            <w:rStyle w:val="Hyperlink"/>
            <w:noProof/>
            <w:lang w:val="en-GB"/>
          </w:rPr>
          <w:t>Table 28. CULTURAL HERITAGE MANAGEMENT PLAN (CHMP)</w:t>
        </w:r>
        <w:r w:rsidR="00A318BD">
          <w:rPr>
            <w:noProof/>
            <w:webHidden/>
          </w:rPr>
          <w:tab/>
        </w:r>
        <w:r w:rsidR="00A318BD">
          <w:rPr>
            <w:noProof/>
            <w:webHidden/>
          </w:rPr>
          <w:fldChar w:fldCharType="begin"/>
        </w:r>
        <w:r w:rsidR="00A318BD">
          <w:rPr>
            <w:noProof/>
            <w:webHidden/>
          </w:rPr>
          <w:instrText xml:space="preserve"> PAGEREF _Toc56952728 \h </w:instrText>
        </w:r>
        <w:r w:rsidR="00A318BD">
          <w:rPr>
            <w:noProof/>
            <w:webHidden/>
          </w:rPr>
        </w:r>
        <w:r w:rsidR="00A318BD">
          <w:rPr>
            <w:noProof/>
            <w:webHidden/>
          </w:rPr>
          <w:fldChar w:fldCharType="separate"/>
        </w:r>
        <w:r w:rsidR="00A318BD">
          <w:rPr>
            <w:noProof/>
            <w:webHidden/>
          </w:rPr>
          <w:t>154</w:t>
        </w:r>
        <w:r w:rsidR="00A318BD">
          <w:rPr>
            <w:noProof/>
            <w:webHidden/>
          </w:rPr>
          <w:fldChar w:fldCharType="end"/>
        </w:r>
      </w:hyperlink>
    </w:p>
    <w:p w14:paraId="63E13114" w14:textId="4148B20F" w:rsidR="00A318BD" w:rsidRDefault="00C40C75">
      <w:pPr>
        <w:pStyle w:val="TableofFigures"/>
        <w:tabs>
          <w:tab w:val="right" w:leader="dot" w:pos="9016"/>
        </w:tabs>
        <w:rPr>
          <w:rFonts w:eastAsiaTheme="minorEastAsia" w:cstheme="minorBidi"/>
          <w:noProof/>
          <w:lang w:eastAsia="hr-HR"/>
        </w:rPr>
      </w:pPr>
      <w:hyperlink w:anchor="_Toc56952729" w:history="1">
        <w:r w:rsidR="00A318BD" w:rsidRPr="00780CD3">
          <w:rPr>
            <w:rStyle w:val="Hyperlink"/>
            <w:noProof/>
          </w:rPr>
          <w:t>Table 29. Monitoring plan</w:t>
        </w:r>
        <w:r w:rsidR="00A318BD">
          <w:rPr>
            <w:noProof/>
            <w:webHidden/>
          </w:rPr>
          <w:tab/>
        </w:r>
        <w:r w:rsidR="00A318BD">
          <w:rPr>
            <w:noProof/>
            <w:webHidden/>
          </w:rPr>
          <w:fldChar w:fldCharType="begin"/>
        </w:r>
        <w:r w:rsidR="00A318BD">
          <w:rPr>
            <w:noProof/>
            <w:webHidden/>
          </w:rPr>
          <w:instrText xml:space="preserve"> PAGEREF _Toc56952729 \h </w:instrText>
        </w:r>
        <w:r w:rsidR="00A318BD">
          <w:rPr>
            <w:noProof/>
            <w:webHidden/>
          </w:rPr>
        </w:r>
        <w:r w:rsidR="00A318BD">
          <w:rPr>
            <w:noProof/>
            <w:webHidden/>
          </w:rPr>
          <w:fldChar w:fldCharType="separate"/>
        </w:r>
        <w:r w:rsidR="00A318BD">
          <w:rPr>
            <w:noProof/>
            <w:webHidden/>
          </w:rPr>
          <w:t>156</w:t>
        </w:r>
        <w:r w:rsidR="00A318BD">
          <w:rPr>
            <w:noProof/>
            <w:webHidden/>
          </w:rPr>
          <w:fldChar w:fldCharType="end"/>
        </w:r>
      </w:hyperlink>
    </w:p>
    <w:p w14:paraId="5124A8CD" w14:textId="2CF211C8" w:rsidR="00A318BD" w:rsidRDefault="00C40C75">
      <w:pPr>
        <w:pStyle w:val="TableofFigures"/>
        <w:tabs>
          <w:tab w:val="right" w:leader="dot" w:pos="9016"/>
        </w:tabs>
        <w:rPr>
          <w:rFonts w:eastAsiaTheme="minorEastAsia" w:cstheme="minorBidi"/>
          <w:noProof/>
          <w:lang w:eastAsia="hr-HR"/>
        </w:rPr>
      </w:pPr>
      <w:hyperlink w:anchor="_Toc56952730" w:history="1">
        <w:r w:rsidR="00A318BD" w:rsidRPr="00780CD3">
          <w:rPr>
            <w:rStyle w:val="Hyperlink"/>
            <w:noProof/>
          </w:rPr>
          <w:t>Table 30. Monthly field environmental monitoring checklist</w:t>
        </w:r>
        <w:r w:rsidR="00A318BD">
          <w:rPr>
            <w:noProof/>
            <w:webHidden/>
          </w:rPr>
          <w:tab/>
        </w:r>
        <w:r w:rsidR="00A318BD">
          <w:rPr>
            <w:noProof/>
            <w:webHidden/>
          </w:rPr>
          <w:fldChar w:fldCharType="begin"/>
        </w:r>
        <w:r w:rsidR="00A318BD">
          <w:rPr>
            <w:noProof/>
            <w:webHidden/>
          </w:rPr>
          <w:instrText xml:space="preserve"> PAGEREF _Toc56952730 \h </w:instrText>
        </w:r>
        <w:r w:rsidR="00A318BD">
          <w:rPr>
            <w:noProof/>
            <w:webHidden/>
          </w:rPr>
        </w:r>
        <w:r w:rsidR="00A318BD">
          <w:rPr>
            <w:noProof/>
            <w:webHidden/>
          </w:rPr>
          <w:fldChar w:fldCharType="separate"/>
        </w:r>
        <w:r w:rsidR="00A318BD">
          <w:rPr>
            <w:noProof/>
            <w:webHidden/>
          </w:rPr>
          <w:t>157</w:t>
        </w:r>
        <w:r w:rsidR="00A318BD">
          <w:rPr>
            <w:noProof/>
            <w:webHidden/>
          </w:rPr>
          <w:fldChar w:fldCharType="end"/>
        </w:r>
      </w:hyperlink>
    </w:p>
    <w:p w14:paraId="066CA6D4" w14:textId="16215890" w:rsidR="00A318BD" w:rsidRDefault="00C40C75">
      <w:pPr>
        <w:pStyle w:val="TableofFigures"/>
        <w:tabs>
          <w:tab w:val="right" w:leader="dot" w:pos="9016"/>
        </w:tabs>
        <w:rPr>
          <w:rFonts w:eastAsiaTheme="minorEastAsia" w:cstheme="minorBidi"/>
          <w:noProof/>
          <w:lang w:eastAsia="hr-HR"/>
        </w:rPr>
      </w:pPr>
      <w:hyperlink w:anchor="_Toc56952731" w:history="1">
        <w:r w:rsidR="00A318BD" w:rsidRPr="00780CD3">
          <w:rPr>
            <w:rStyle w:val="Hyperlink"/>
            <w:noProof/>
          </w:rPr>
          <w:t xml:space="preserve">Table 31. </w:t>
        </w:r>
        <w:r w:rsidR="00A318BD" w:rsidRPr="00780CD3">
          <w:rPr>
            <w:rStyle w:val="Hyperlink"/>
            <w:rFonts w:cstheme="minorHAnsi"/>
            <w:bCs/>
            <w:noProof/>
            <w:lang w:val="en-US"/>
          </w:rPr>
          <w:t>ICWMP table</w:t>
        </w:r>
        <w:r w:rsidR="00A318BD">
          <w:rPr>
            <w:noProof/>
            <w:webHidden/>
          </w:rPr>
          <w:tab/>
        </w:r>
        <w:r w:rsidR="00A318BD">
          <w:rPr>
            <w:noProof/>
            <w:webHidden/>
          </w:rPr>
          <w:fldChar w:fldCharType="begin"/>
        </w:r>
        <w:r w:rsidR="00A318BD">
          <w:rPr>
            <w:noProof/>
            <w:webHidden/>
          </w:rPr>
          <w:instrText xml:space="preserve"> PAGEREF _Toc56952731 \h </w:instrText>
        </w:r>
        <w:r w:rsidR="00A318BD">
          <w:rPr>
            <w:noProof/>
            <w:webHidden/>
          </w:rPr>
        </w:r>
        <w:r w:rsidR="00A318BD">
          <w:rPr>
            <w:noProof/>
            <w:webHidden/>
          </w:rPr>
          <w:fldChar w:fldCharType="separate"/>
        </w:r>
        <w:r w:rsidR="00A318BD">
          <w:rPr>
            <w:noProof/>
            <w:webHidden/>
          </w:rPr>
          <w:t>164</w:t>
        </w:r>
        <w:r w:rsidR="00A318BD">
          <w:rPr>
            <w:noProof/>
            <w:webHidden/>
          </w:rPr>
          <w:fldChar w:fldCharType="end"/>
        </w:r>
      </w:hyperlink>
    </w:p>
    <w:p w14:paraId="1AEBF7BF" w14:textId="1148CB24" w:rsidR="00196BF6" w:rsidRPr="00AB7D1E" w:rsidRDefault="00A43BC9" w:rsidP="008070CE">
      <w:pPr>
        <w:pStyle w:val="TableofFigures"/>
        <w:tabs>
          <w:tab w:val="right" w:leader="dot" w:pos="9016"/>
        </w:tabs>
        <w:jc w:val="left"/>
        <w:rPr>
          <w:lang w:val="en-US"/>
        </w:rPr>
      </w:pPr>
      <w:r w:rsidRPr="00AB7D1E">
        <w:rPr>
          <w:lang w:val="en-US"/>
        </w:rPr>
        <w:fldChar w:fldCharType="end"/>
      </w:r>
      <w:r w:rsidR="00196BF6" w:rsidRPr="00AB7D1E">
        <w:rPr>
          <w:lang w:val="en-US"/>
        </w:rPr>
        <w:br w:type="page"/>
      </w:r>
    </w:p>
    <w:p w14:paraId="2432DA38" w14:textId="77777777" w:rsidR="00225514" w:rsidRPr="00AB7D1E" w:rsidRDefault="00225514" w:rsidP="00225514">
      <w:pPr>
        <w:pStyle w:val="Heading1"/>
        <w:numPr>
          <w:ilvl w:val="0"/>
          <w:numId w:val="0"/>
        </w:numPr>
        <w:ind w:left="432" w:hanging="432"/>
        <w:rPr>
          <w:lang w:val="en-US"/>
        </w:rPr>
      </w:pPr>
      <w:bookmarkStart w:id="2" w:name="_Toc56954023"/>
      <w:bookmarkStart w:id="3" w:name="_Ref11008939"/>
      <w:r w:rsidRPr="00AB7D1E">
        <w:rPr>
          <w:lang w:val="en-US"/>
        </w:rPr>
        <w:lastRenderedPageBreak/>
        <w:t>LIST OF ABBREVIATIONS &amp; ACRONYMS</w:t>
      </w:r>
      <w:bookmarkEnd w:id="2"/>
    </w:p>
    <w:tbl>
      <w:tblPr>
        <w:tblStyle w:val="TABLICAHAOP1"/>
        <w:tblW w:w="0" w:type="auto"/>
        <w:tblLook w:val="04A0" w:firstRow="1" w:lastRow="0" w:firstColumn="1" w:lastColumn="0" w:noHBand="0" w:noVBand="1"/>
      </w:tblPr>
      <w:tblGrid>
        <w:gridCol w:w="1696"/>
        <w:gridCol w:w="7230"/>
      </w:tblGrid>
      <w:tr w:rsidR="004511D4" w:rsidRPr="00AB7D1E" w14:paraId="645BDA61" w14:textId="77777777" w:rsidTr="00EC6200">
        <w:tc>
          <w:tcPr>
            <w:tcW w:w="1696" w:type="dxa"/>
          </w:tcPr>
          <w:p w14:paraId="4863108C"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ABD</w:t>
            </w:r>
          </w:p>
        </w:tc>
        <w:tc>
          <w:tcPr>
            <w:tcW w:w="7230" w:type="dxa"/>
          </w:tcPr>
          <w:p w14:paraId="1B7EA3BA"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Adriatic River Basin District</w:t>
            </w:r>
          </w:p>
        </w:tc>
      </w:tr>
      <w:tr w:rsidR="004511D4" w:rsidRPr="00AB7D1E" w14:paraId="68B1DA09" w14:textId="77777777" w:rsidTr="00EC6200">
        <w:tc>
          <w:tcPr>
            <w:tcW w:w="1696" w:type="dxa"/>
          </w:tcPr>
          <w:p w14:paraId="32D5A3D7"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As</w:t>
            </w:r>
          </w:p>
        </w:tc>
        <w:tc>
          <w:tcPr>
            <w:tcW w:w="7230" w:type="dxa"/>
          </w:tcPr>
          <w:p w14:paraId="48FB3876"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Arsenic</w:t>
            </w:r>
          </w:p>
        </w:tc>
      </w:tr>
      <w:tr w:rsidR="004511D4" w:rsidRPr="00AB7D1E" w14:paraId="64DB2516" w14:textId="77777777" w:rsidTr="00EC6200">
        <w:tc>
          <w:tcPr>
            <w:tcW w:w="1696" w:type="dxa"/>
          </w:tcPr>
          <w:p w14:paraId="0A067CF0"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BMP</w:t>
            </w:r>
          </w:p>
        </w:tc>
        <w:tc>
          <w:tcPr>
            <w:tcW w:w="7230" w:type="dxa"/>
          </w:tcPr>
          <w:p w14:paraId="35F3CBB8"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Biodiversity Management Plan</w:t>
            </w:r>
          </w:p>
        </w:tc>
      </w:tr>
      <w:tr w:rsidR="004511D4" w:rsidRPr="00AB7D1E" w14:paraId="1B973C2D" w14:textId="77777777" w:rsidTr="00EC6200">
        <w:tc>
          <w:tcPr>
            <w:tcW w:w="1696" w:type="dxa"/>
          </w:tcPr>
          <w:p w14:paraId="462AB5A0"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C</w:t>
            </w:r>
            <w:r w:rsidRPr="00AB7D1E">
              <w:rPr>
                <w:rFonts w:ascii="Calibri" w:hAnsi="Calibri"/>
                <w:sz w:val="20"/>
                <w:szCs w:val="20"/>
                <w:vertAlign w:val="subscript"/>
                <w:lang w:val="en-US"/>
              </w:rPr>
              <w:t>6</w:t>
            </w:r>
            <w:r w:rsidRPr="00AB7D1E">
              <w:rPr>
                <w:rFonts w:ascii="Calibri" w:hAnsi="Calibri"/>
                <w:sz w:val="20"/>
                <w:szCs w:val="20"/>
                <w:lang w:val="en-US"/>
              </w:rPr>
              <w:t>H</w:t>
            </w:r>
            <w:r w:rsidRPr="00AB7D1E">
              <w:rPr>
                <w:rFonts w:ascii="Calibri" w:hAnsi="Calibri"/>
                <w:sz w:val="20"/>
                <w:szCs w:val="20"/>
                <w:vertAlign w:val="subscript"/>
                <w:lang w:val="en-US"/>
              </w:rPr>
              <w:t>6</w:t>
            </w:r>
          </w:p>
        </w:tc>
        <w:tc>
          <w:tcPr>
            <w:tcW w:w="7230" w:type="dxa"/>
          </w:tcPr>
          <w:p w14:paraId="6F86A5E5"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Benzene</w:t>
            </w:r>
          </w:p>
        </w:tc>
      </w:tr>
      <w:tr w:rsidR="004511D4" w:rsidRPr="00AB7D1E" w14:paraId="6F816EBE" w14:textId="77777777" w:rsidTr="00EC6200">
        <w:tc>
          <w:tcPr>
            <w:tcW w:w="1696" w:type="dxa"/>
          </w:tcPr>
          <w:p w14:paraId="13EC591A"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CBS</w:t>
            </w:r>
          </w:p>
        </w:tc>
        <w:tc>
          <w:tcPr>
            <w:tcW w:w="7230" w:type="dxa"/>
          </w:tcPr>
          <w:p w14:paraId="6D22EA3F"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Croatian Bureau of Statistics</w:t>
            </w:r>
          </w:p>
        </w:tc>
      </w:tr>
      <w:tr w:rsidR="004511D4" w:rsidRPr="00AB7D1E" w14:paraId="4492910D" w14:textId="77777777" w:rsidTr="00EC6200">
        <w:tc>
          <w:tcPr>
            <w:tcW w:w="1696" w:type="dxa"/>
          </w:tcPr>
          <w:p w14:paraId="5382529A"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Cd</w:t>
            </w:r>
          </w:p>
        </w:tc>
        <w:tc>
          <w:tcPr>
            <w:tcW w:w="7230" w:type="dxa"/>
          </w:tcPr>
          <w:p w14:paraId="49A7C738"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Cadmium</w:t>
            </w:r>
          </w:p>
        </w:tc>
      </w:tr>
      <w:tr w:rsidR="008E6D2F" w:rsidRPr="00AB7D1E" w14:paraId="010DF4C7" w14:textId="77777777" w:rsidTr="00EC6200">
        <w:tc>
          <w:tcPr>
            <w:tcW w:w="1696" w:type="dxa"/>
          </w:tcPr>
          <w:p w14:paraId="1A8CA13E" w14:textId="41451BA9" w:rsidR="008E6D2F" w:rsidRPr="00AB7D1E" w:rsidRDefault="008E6D2F" w:rsidP="0094406F">
            <w:pPr>
              <w:spacing w:before="0" w:after="0"/>
              <w:rPr>
                <w:rFonts w:ascii="Calibri" w:hAnsi="Calibri"/>
                <w:sz w:val="20"/>
                <w:szCs w:val="20"/>
                <w:lang w:val="en-US"/>
              </w:rPr>
            </w:pPr>
            <w:r>
              <w:rPr>
                <w:rFonts w:ascii="Calibri" w:hAnsi="Calibri"/>
                <w:sz w:val="20"/>
                <w:szCs w:val="20"/>
                <w:lang w:val="en-US"/>
              </w:rPr>
              <w:t>CHMP</w:t>
            </w:r>
          </w:p>
        </w:tc>
        <w:tc>
          <w:tcPr>
            <w:tcW w:w="7230" w:type="dxa"/>
          </w:tcPr>
          <w:p w14:paraId="201281E5" w14:textId="51DBFE7D" w:rsidR="008E6D2F" w:rsidRPr="00AB7D1E" w:rsidRDefault="008E6D2F" w:rsidP="0094406F">
            <w:pPr>
              <w:spacing w:before="0" w:after="0"/>
              <w:rPr>
                <w:rFonts w:ascii="Calibri" w:hAnsi="Calibri"/>
                <w:sz w:val="20"/>
                <w:szCs w:val="20"/>
                <w:lang w:val="en-US"/>
              </w:rPr>
            </w:pPr>
            <w:r>
              <w:rPr>
                <w:rFonts w:ascii="Calibri" w:hAnsi="Calibri"/>
                <w:sz w:val="20"/>
                <w:szCs w:val="20"/>
                <w:lang w:val="en-US"/>
              </w:rPr>
              <w:t>Cultural Heritage Management Plan</w:t>
            </w:r>
          </w:p>
        </w:tc>
      </w:tr>
      <w:tr w:rsidR="004511D4" w:rsidRPr="00AB7D1E" w14:paraId="22866E21" w14:textId="77777777" w:rsidTr="00EC6200">
        <w:tc>
          <w:tcPr>
            <w:tcW w:w="1696" w:type="dxa"/>
          </w:tcPr>
          <w:p w14:paraId="6E808CD0" w14:textId="47A89D7B"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CIPH</w:t>
            </w:r>
          </w:p>
        </w:tc>
        <w:tc>
          <w:tcPr>
            <w:tcW w:w="7230" w:type="dxa"/>
          </w:tcPr>
          <w:p w14:paraId="54A6EAB1"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Croatian Institute for Public Health</w:t>
            </w:r>
          </w:p>
        </w:tc>
      </w:tr>
      <w:tr w:rsidR="004511D4" w:rsidRPr="00AB7D1E" w14:paraId="22D766BF" w14:textId="77777777" w:rsidTr="00EC6200">
        <w:tc>
          <w:tcPr>
            <w:tcW w:w="1696" w:type="dxa"/>
          </w:tcPr>
          <w:p w14:paraId="1A3BBC0F"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CO</w:t>
            </w:r>
          </w:p>
        </w:tc>
        <w:tc>
          <w:tcPr>
            <w:tcW w:w="7230" w:type="dxa"/>
          </w:tcPr>
          <w:p w14:paraId="00AA5DA6"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Carbon Monoxide</w:t>
            </w:r>
          </w:p>
        </w:tc>
      </w:tr>
      <w:tr w:rsidR="004511D4" w:rsidRPr="00AB7D1E" w14:paraId="56153296" w14:textId="77777777" w:rsidTr="00EC6200">
        <w:tc>
          <w:tcPr>
            <w:tcW w:w="1696" w:type="dxa"/>
          </w:tcPr>
          <w:p w14:paraId="3C8D8521"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COVID-19</w:t>
            </w:r>
          </w:p>
        </w:tc>
        <w:tc>
          <w:tcPr>
            <w:tcW w:w="7230" w:type="dxa"/>
          </w:tcPr>
          <w:p w14:paraId="1C391CDE"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Coronavirus Disease 2019</w:t>
            </w:r>
          </w:p>
        </w:tc>
      </w:tr>
      <w:tr w:rsidR="004511D4" w:rsidRPr="00AB7D1E" w14:paraId="4BB8675C" w14:textId="77777777" w:rsidTr="00EC6200">
        <w:tc>
          <w:tcPr>
            <w:tcW w:w="1696" w:type="dxa"/>
          </w:tcPr>
          <w:p w14:paraId="06427857"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Cr</w:t>
            </w:r>
          </w:p>
        </w:tc>
        <w:tc>
          <w:tcPr>
            <w:tcW w:w="7230" w:type="dxa"/>
          </w:tcPr>
          <w:p w14:paraId="3F0F5EE6"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Chromium</w:t>
            </w:r>
          </w:p>
        </w:tc>
      </w:tr>
      <w:tr w:rsidR="004511D4" w:rsidRPr="00AB7D1E" w14:paraId="50826D41" w14:textId="77777777" w:rsidTr="00EC6200">
        <w:tc>
          <w:tcPr>
            <w:tcW w:w="1696" w:type="dxa"/>
          </w:tcPr>
          <w:p w14:paraId="7C620B09"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Cu</w:t>
            </w:r>
          </w:p>
        </w:tc>
        <w:tc>
          <w:tcPr>
            <w:tcW w:w="7230" w:type="dxa"/>
          </w:tcPr>
          <w:p w14:paraId="584E5792"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Copper</w:t>
            </w:r>
          </w:p>
        </w:tc>
      </w:tr>
      <w:tr w:rsidR="004511D4" w:rsidRPr="00AB7D1E" w14:paraId="15457043" w14:textId="77777777" w:rsidTr="00EC6200">
        <w:tc>
          <w:tcPr>
            <w:tcW w:w="1696" w:type="dxa"/>
          </w:tcPr>
          <w:p w14:paraId="36A64210"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DBD</w:t>
            </w:r>
          </w:p>
        </w:tc>
        <w:tc>
          <w:tcPr>
            <w:tcW w:w="7230" w:type="dxa"/>
          </w:tcPr>
          <w:p w14:paraId="2341256C"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Danube River Basin District</w:t>
            </w:r>
          </w:p>
        </w:tc>
      </w:tr>
      <w:tr w:rsidR="004511D4" w:rsidRPr="00AB7D1E" w14:paraId="59836B68" w14:textId="77777777" w:rsidTr="00EC6200">
        <w:tc>
          <w:tcPr>
            <w:tcW w:w="1696" w:type="dxa"/>
          </w:tcPr>
          <w:p w14:paraId="23F06D85"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D-RAS</w:t>
            </w:r>
          </w:p>
        </w:tc>
        <w:tc>
          <w:tcPr>
            <w:tcW w:w="7230" w:type="dxa"/>
          </w:tcPr>
          <w:p w14:paraId="59A63D1D"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Disaster Resilience Analytics and Solutions</w:t>
            </w:r>
          </w:p>
        </w:tc>
      </w:tr>
      <w:tr w:rsidR="004511D4" w:rsidRPr="00AB7D1E" w14:paraId="470C0FDE" w14:textId="77777777" w:rsidTr="00EC6200">
        <w:tc>
          <w:tcPr>
            <w:tcW w:w="1696" w:type="dxa"/>
          </w:tcPr>
          <w:p w14:paraId="21BC67E0"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DRG</w:t>
            </w:r>
          </w:p>
        </w:tc>
        <w:tc>
          <w:tcPr>
            <w:tcW w:w="7230" w:type="dxa"/>
          </w:tcPr>
          <w:p w14:paraId="53E9AFDA"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Diagnosis-Related Group</w:t>
            </w:r>
          </w:p>
        </w:tc>
      </w:tr>
      <w:tr w:rsidR="004511D4" w:rsidRPr="00AB7D1E" w14:paraId="001D95AE" w14:textId="77777777" w:rsidTr="00EC6200">
        <w:tc>
          <w:tcPr>
            <w:tcW w:w="1696" w:type="dxa"/>
          </w:tcPr>
          <w:p w14:paraId="34C9910A"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EIA</w:t>
            </w:r>
          </w:p>
        </w:tc>
        <w:tc>
          <w:tcPr>
            <w:tcW w:w="7230" w:type="dxa"/>
          </w:tcPr>
          <w:p w14:paraId="33CDFADC"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 xml:space="preserve">Environmental Impact Assessment </w:t>
            </w:r>
          </w:p>
        </w:tc>
      </w:tr>
      <w:tr w:rsidR="004511D4" w:rsidRPr="00AB7D1E" w14:paraId="305FEEAB" w14:textId="77777777" w:rsidTr="00EC6200">
        <w:tc>
          <w:tcPr>
            <w:tcW w:w="1696" w:type="dxa"/>
          </w:tcPr>
          <w:p w14:paraId="0A03D9D4"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ENIA</w:t>
            </w:r>
          </w:p>
        </w:tc>
        <w:tc>
          <w:tcPr>
            <w:tcW w:w="7230" w:type="dxa"/>
          </w:tcPr>
          <w:p w14:paraId="50C85489"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Ecological Network Impact Assessment</w:t>
            </w:r>
          </w:p>
        </w:tc>
      </w:tr>
      <w:tr w:rsidR="004511D4" w:rsidRPr="00AB7D1E" w14:paraId="58508E99" w14:textId="77777777" w:rsidTr="00EC6200">
        <w:tc>
          <w:tcPr>
            <w:tcW w:w="1696" w:type="dxa"/>
          </w:tcPr>
          <w:p w14:paraId="6B53D7AE"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EPEEF</w:t>
            </w:r>
          </w:p>
        </w:tc>
        <w:tc>
          <w:tcPr>
            <w:tcW w:w="7230" w:type="dxa"/>
          </w:tcPr>
          <w:p w14:paraId="0A862BF2"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Environmental Protection and Energy Efficiency Fund</w:t>
            </w:r>
          </w:p>
        </w:tc>
      </w:tr>
      <w:tr w:rsidR="004511D4" w:rsidRPr="00AB7D1E" w14:paraId="52A9B677" w14:textId="77777777" w:rsidTr="00EC6200">
        <w:tc>
          <w:tcPr>
            <w:tcW w:w="1696" w:type="dxa"/>
          </w:tcPr>
          <w:p w14:paraId="257B5974" w14:textId="77777777" w:rsidR="004511D4" w:rsidRPr="00AB7D1E" w:rsidRDefault="004511D4" w:rsidP="0094406F">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ESCP</w:t>
            </w:r>
          </w:p>
        </w:tc>
        <w:tc>
          <w:tcPr>
            <w:tcW w:w="7230" w:type="dxa"/>
          </w:tcPr>
          <w:p w14:paraId="082370C4" w14:textId="77777777" w:rsidR="004511D4" w:rsidRPr="00AB7D1E" w:rsidRDefault="004511D4" w:rsidP="0094406F">
            <w:pPr>
              <w:spacing w:before="0" w:after="0"/>
              <w:rPr>
                <w:rFonts w:ascii="Calibri" w:hAnsi="Calibri"/>
                <w:sz w:val="20"/>
                <w:szCs w:val="20"/>
                <w:lang w:val="en-US"/>
              </w:rPr>
            </w:pPr>
            <w:r w:rsidRPr="00AB7D1E">
              <w:rPr>
                <w:rFonts w:ascii="Calibri" w:hAnsi="Calibri"/>
                <w:sz w:val="20"/>
                <w:szCs w:val="20"/>
                <w:lang w:val="en-US"/>
              </w:rPr>
              <w:t>Environmental and Social Commitment Plan</w:t>
            </w:r>
          </w:p>
        </w:tc>
      </w:tr>
      <w:tr w:rsidR="004511D4" w:rsidRPr="00AB7D1E" w14:paraId="1768E7F3" w14:textId="77777777" w:rsidTr="00EC6200">
        <w:tc>
          <w:tcPr>
            <w:tcW w:w="1696" w:type="dxa"/>
          </w:tcPr>
          <w:p w14:paraId="53C9D3F6" w14:textId="77777777" w:rsidR="004511D4" w:rsidRPr="00AB7D1E" w:rsidRDefault="004511D4" w:rsidP="004511D4">
            <w:pPr>
              <w:spacing w:before="0" w:after="0"/>
              <w:rPr>
                <w:rFonts w:ascii="Calibri" w:hAnsi="Calibri" w:cs="Calibri"/>
                <w:sz w:val="20"/>
                <w:szCs w:val="20"/>
                <w:lang w:val="en-US"/>
              </w:rPr>
            </w:pPr>
            <w:r w:rsidRPr="00AB7D1E">
              <w:rPr>
                <w:rFonts w:cs="Calibri"/>
                <w:sz w:val="20"/>
                <w:szCs w:val="20"/>
                <w:lang w:val="en-US"/>
              </w:rPr>
              <w:t>ESF</w:t>
            </w:r>
          </w:p>
        </w:tc>
        <w:tc>
          <w:tcPr>
            <w:tcW w:w="7230" w:type="dxa"/>
          </w:tcPr>
          <w:p w14:paraId="00D57151" w14:textId="77777777" w:rsidR="004511D4" w:rsidRPr="00AB7D1E" w:rsidRDefault="004511D4" w:rsidP="004511D4">
            <w:pPr>
              <w:spacing w:before="0" w:after="0"/>
              <w:rPr>
                <w:rFonts w:ascii="Calibri" w:hAnsi="Calibri" w:cs="Calibri"/>
                <w:sz w:val="20"/>
                <w:szCs w:val="20"/>
                <w:lang w:val="en-US"/>
              </w:rPr>
            </w:pPr>
            <w:r w:rsidRPr="00AB7D1E">
              <w:rPr>
                <w:rFonts w:cs="Calibri"/>
                <w:sz w:val="20"/>
                <w:szCs w:val="20"/>
                <w:lang w:val="en-US"/>
              </w:rPr>
              <w:t>Environmental and Social Framework</w:t>
            </w:r>
          </w:p>
        </w:tc>
      </w:tr>
      <w:tr w:rsidR="004511D4" w:rsidRPr="00AB7D1E" w14:paraId="1C7D4E36" w14:textId="77777777" w:rsidTr="00EC6200">
        <w:tc>
          <w:tcPr>
            <w:tcW w:w="1696" w:type="dxa"/>
          </w:tcPr>
          <w:p w14:paraId="2E971F9C" w14:textId="77777777" w:rsidR="004511D4" w:rsidRPr="00AB7D1E" w:rsidRDefault="004511D4" w:rsidP="0094406F">
            <w:pPr>
              <w:spacing w:before="0" w:after="0"/>
              <w:rPr>
                <w:rFonts w:ascii="Calibri" w:hAnsi="Calibri"/>
                <w:sz w:val="20"/>
                <w:szCs w:val="20"/>
                <w:lang w:val="en-US"/>
              </w:rPr>
            </w:pPr>
            <w:r w:rsidRPr="00AB7D1E">
              <w:rPr>
                <w:rFonts w:ascii="Calibri" w:hAnsi="Calibri" w:cs="Calibri"/>
                <w:sz w:val="20"/>
                <w:szCs w:val="20"/>
                <w:lang w:val="en-US"/>
              </w:rPr>
              <w:t>ESMF</w:t>
            </w:r>
          </w:p>
        </w:tc>
        <w:tc>
          <w:tcPr>
            <w:tcW w:w="7230" w:type="dxa"/>
          </w:tcPr>
          <w:p w14:paraId="76A469D7" w14:textId="77777777" w:rsidR="004511D4" w:rsidRPr="00AB7D1E" w:rsidRDefault="004511D4" w:rsidP="0094406F">
            <w:pPr>
              <w:spacing w:before="0" w:after="0"/>
              <w:rPr>
                <w:rFonts w:ascii="Calibri" w:hAnsi="Calibri"/>
                <w:sz w:val="20"/>
                <w:szCs w:val="20"/>
                <w:lang w:val="en-US"/>
              </w:rPr>
            </w:pPr>
            <w:r w:rsidRPr="00AB7D1E">
              <w:rPr>
                <w:rFonts w:ascii="Calibri" w:hAnsi="Calibri" w:cs="Calibri"/>
                <w:sz w:val="20"/>
                <w:szCs w:val="20"/>
                <w:lang w:val="en-US"/>
              </w:rPr>
              <w:t xml:space="preserve">Environmental and Social Management Framework </w:t>
            </w:r>
          </w:p>
        </w:tc>
      </w:tr>
      <w:tr w:rsidR="004511D4" w:rsidRPr="00AB7D1E" w14:paraId="5034DA3B" w14:textId="77777777" w:rsidTr="00EC6200">
        <w:tc>
          <w:tcPr>
            <w:tcW w:w="1696" w:type="dxa"/>
          </w:tcPr>
          <w:p w14:paraId="0E2E3B7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ESMP</w:t>
            </w:r>
          </w:p>
        </w:tc>
        <w:tc>
          <w:tcPr>
            <w:tcW w:w="7230" w:type="dxa"/>
          </w:tcPr>
          <w:p w14:paraId="1EAC39D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Environmental and Social Management Plan </w:t>
            </w:r>
          </w:p>
        </w:tc>
      </w:tr>
      <w:tr w:rsidR="004511D4" w:rsidRPr="00AB7D1E" w14:paraId="014A374B" w14:textId="77777777" w:rsidTr="00EC6200">
        <w:tc>
          <w:tcPr>
            <w:tcW w:w="1696" w:type="dxa"/>
          </w:tcPr>
          <w:p w14:paraId="16A4E872" w14:textId="77777777" w:rsidR="004511D4" w:rsidRPr="00AB7D1E" w:rsidRDefault="004511D4" w:rsidP="004511D4">
            <w:pPr>
              <w:spacing w:before="0" w:after="0"/>
              <w:rPr>
                <w:rFonts w:ascii="Calibri" w:hAnsi="Calibri"/>
                <w:sz w:val="20"/>
                <w:szCs w:val="20"/>
                <w:lang w:val="en-US"/>
              </w:rPr>
            </w:pPr>
            <w:bookmarkStart w:id="4" w:name="_Hlk48050065"/>
            <w:r w:rsidRPr="00AB7D1E">
              <w:rPr>
                <w:rFonts w:ascii="Calibri" w:hAnsi="Calibri"/>
                <w:sz w:val="20"/>
                <w:szCs w:val="20"/>
                <w:lang w:val="en-US"/>
              </w:rPr>
              <w:t>ESS</w:t>
            </w:r>
          </w:p>
        </w:tc>
        <w:tc>
          <w:tcPr>
            <w:tcW w:w="7230" w:type="dxa"/>
          </w:tcPr>
          <w:p w14:paraId="4F761D2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World Bank Environmental and Social Standards </w:t>
            </w:r>
          </w:p>
        </w:tc>
      </w:tr>
      <w:bookmarkEnd w:id="4"/>
      <w:tr w:rsidR="004511D4" w:rsidRPr="00AB7D1E" w14:paraId="2E0DD8DB" w14:textId="77777777" w:rsidTr="00EC6200">
        <w:tc>
          <w:tcPr>
            <w:tcW w:w="1696" w:type="dxa"/>
          </w:tcPr>
          <w:p w14:paraId="1737F9F6"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ESSPROS</w:t>
            </w:r>
          </w:p>
        </w:tc>
        <w:tc>
          <w:tcPr>
            <w:tcW w:w="7230" w:type="dxa"/>
          </w:tcPr>
          <w:p w14:paraId="597D114F" w14:textId="77BF01DE"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European System of integrated Social P</w:t>
            </w:r>
            <w:r w:rsidR="00B474CE">
              <w:rPr>
                <w:rFonts w:ascii="Calibri" w:hAnsi="Calibri"/>
                <w:sz w:val="20"/>
                <w:szCs w:val="20"/>
                <w:lang w:val="en-US"/>
              </w:rPr>
              <w:t>ro</w:t>
            </w:r>
            <w:r w:rsidRPr="00AB7D1E">
              <w:rPr>
                <w:rFonts w:ascii="Calibri" w:hAnsi="Calibri"/>
                <w:sz w:val="20"/>
                <w:szCs w:val="20"/>
                <w:lang w:val="en-US"/>
              </w:rPr>
              <w:t>tection Statistics</w:t>
            </w:r>
          </w:p>
        </w:tc>
      </w:tr>
      <w:tr w:rsidR="0087655C" w:rsidRPr="00AB7D1E" w14:paraId="53C5DC50" w14:textId="77777777" w:rsidTr="00EC6200">
        <w:tc>
          <w:tcPr>
            <w:tcW w:w="1696" w:type="dxa"/>
          </w:tcPr>
          <w:p w14:paraId="4F9B21C1" w14:textId="6E1FC919" w:rsidR="0087655C" w:rsidRPr="00AB7D1E" w:rsidRDefault="0087655C" w:rsidP="004511D4">
            <w:pPr>
              <w:suppressAutoHyphens w:val="0"/>
              <w:spacing w:before="0" w:after="0" w:line="240" w:lineRule="auto"/>
              <w:jc w:val="left"/>
              <w:rPr>
                <w:rFonts w:ascii="Calibri" w:hAnsi="Calibri"/>
                <w:sz w:val="20"/>
                <w:szCs w:val="20"/>
                <w:lang w:val="en-US"/>
              </w:rPr>
            </w:pPr>
            <w:r w:rsidRPr="0087655C">
              <w:rPr>
                <w:rFonts w:ascii="Calibri" w:hAnsi="Calibri"/>
                <w:sz w:val="20"/>
                <w:szCs w:val="20"/>
                <w:lang w:val="en-US"/>
              </w:rPr>
              <w:t>ESSQ</w:t>
            </w:r>
          </w:p>
        </w:tc>
        <w:tc>
          <w:tcPr>
            <w:tcW w:w="7230" w:type="dxa"/>
          </w:tcPr>
          <w:p w14:paraId="0D6AC2F5" w14:textId="0A6F8385" w:rsidR="0087655C" w:rsidRPr="00AB7D1E" w:rsidRDefault="0087655C" w:rsidP="004511D4">
            <w:pPr>
              <w:spacing w:before="0" w:after="0"/>
              <w:rPr>
                <w:rFonts w:ascii="Calibri" w:hAnsi="Calibri"/>
                <w:sz w:val="20"/>
                <w:szCs w:val="20"/>
                <w:lang w:val="en-US"/>
              </w:rPr>
            </w:pPr>
            <w:r w:rsidRPr="0087655C">
              <w:rPr>
                <w:rFonts w:ascii="Calibri" w:hAnsi="Calibri"/>
                <w:sz w:val="20"/>
                <w:szCs w:val="20"/>
                <w:lang w:val="en-US"/>
              </w:rPr>
              <w:t>Environmental and Social Screening Questionnaire</w:t>
            </w:r>
          </w:p>
        </w:tc>
      </w:tr>
      <w:tr w:rsidR="004511D4" w:rsidRPr="00AB7D1E" w14:paraId="4B45FF91" w14:textId="77777777" w:rsidTr="00EC6200">
        <w:tc>
          <w:tcPr>
            <w:tcW w:w="1696" w:type="dxa"/>
          </w:tcPr>
          <w:p w14:paraId="644520EC"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FGRM</w:t>
            </w:r>
          </w:p>
        </w:tc>
        <w:tc>
          <w:tcPr>
            <w:tcW w:w="7230" w:type="dxa"/>
          </w:tcPr>
          <w:p w14:paraId="4B0CF5F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Feedback and Grievance Redress Mechanism</w:t>
            </w:r>
          </w:p>
        </w:tc>
      </w:tr>
      <w:tr w:rsidR="004511D4" w:rsidRPr="00AB7D1E" w14:paraId="17820286" w14:textId="77777777" w:rsidTr="00EC6200">
        <w:tc>
          <w:tcPr>
            <w:tcW w:w="1696" w:type="dxa"/>
          </w:tcPr>
          <w:p w14:paraId="576A45E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GBV</w:t>
            </w:r>
          </w:p>
        </w:tc>
        <w:tc>
          <w:tcPr>
            <w:tcW w:w="7230" w:type="dxa"/>
          </w:tcPr>
          <w:p w14:paraId="23087BC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Gender-Based Violence</w:t>
            </w:r>
          </w:p>
        </w:tc>
      </w:tr>
      <w:tr w:rsidR="004511D4" w:rsidRPr="00AB7D1E" w14:paraId="57E07851" w14:textId="77777777" w:rsidTr="00EC6200">
        <w:tc>
          <w:tcPr>
            <w:tcW w:w="1696" w:type="dxa"/>
          </w:tcPr>
          <w:p w14:paraId="71A7981B"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GDP</w:t>
            </w:r>
          </w:p>
        </w:tc>
        <w:tc>
          <w:tcPr>
            <w:tcW w:w="7230" w:type="dxa"/>
          </w:tcPr>
          <w:p w14:paraId="4583445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Gross Domestic Product</w:t>
            </w:r>
          </w:p>
        </w:tc>
      </w:tr>
      <w:tr w:rsidR="004511D4" w:rsidRPr="00AB7D1E" w14:paraId="188BB7D4" w14:textId="77777777" w:rsidTr="00EC6200">
        <w:tc>
          <w:tcPr>
            <w:tcW w:w="1696" w:type="dxa"/>
          </w:tcPr>
          <w:p w14:paraId="5974B1A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GM</w:t>
            </w:r>
          </w:p>
        </w:tc>
        <w:tc>
          <w:tcPr>
            <w:tcW w:w="7230" w:type="dxa"/>
          </w:tcPr>
          <w:p w14:paraId="6CD0925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Grievance Mechanism</w:t>
            </w:r>
          </w:p>
        </w:tc>
      </w:tr>
      <w:tr w:rsidR="004511D4" w:rsidRPr="00AB7D1E" w14:paraId="33852280" w14:textId="77777777" w:rsidTr="00EC6200">
        <w:tc>
          <w:tcPr>
            <w:tcW w:w="1696" w:type="dxa"/>
          </w:tcPr>
          <w:p w14:paraId="431802C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GRADE</w:t>
            </w:r>
          </w:p>
        </w:tc>
        <w:tc>
          <w:tcPr>
            <w:tcW w:w="7230" w:type="dxa"/>
          </w:tcPr>
          <w:p w14:paraId="0B2F601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Global Rapid post-disaster Damage Estimation</w:t>
            </w:r>
          </w:p>
        </w:tc>
      </w:tr>
      <w:tr w:rsidR="004511D4" w:rsidRPr="00AB7D1E" w14:paraId="407A3991" w14:textId="77777777" w:rsidTr="00EC6200">
        <w:tc>
          <w:tcPr>
            <w:tcW w:w="1696" w:type="dxa"/>
          </w:tcPr>
          <w:p w14:paraId="1589566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GV</w:t>
            </w:r>
          </w:p>
        </w:tc>
        <w:tc>
          <w:tcPr>
            <w:tcW w:w="7230" w:type="dxa"/>
          </w:tcPr>
          <w:p w14:paraId="50C569D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Daily Limit Values</w:t>
            </w:r>
          </w:p>
        </w:tc>
      </w:tr>
      <w:tr w:rsidR="004511D4" w:rsidRPr="00AB7D1E" w14:paraId="2862556D" w14:textId="77777777" w:rsidTr="00EC6200">
        <w:tc>
          <w:tcPr>
            <w:tcW w:w="1696" w:type="dxa"/>
          </w:tcPr>
          <w:p w14:paraId="2BFF4F10"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GVA</w:t>
            </w:r>
          </w:p>
        </w:tc>
        <w:tc>
          <w:tcPr>
            <w:tcW w:w="7230" w:type="dxa"/>
          </w:tcPr>
          <w:p w14:paraId="7C88D50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Gross Value Added </w:t>
            </w:r>
          </w:p>
        </w:tc>
      </w:tr>
      <w:tr w:rsidR="004511D4" w:rsidRPr="00AB7D1E" w14:paraId="6A3DB52C" w14:textId="77777777" w:rsidTr="00EC6200">
        <w:tc>
          <w:tcPr>
            <w:tcW w:w="1696" w:type="dxa"/>
          </w:tcPr>
          <w:p w14:paraId="5F73FA42"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H2S</w:t>
            </w:r>
          </w:p>
        </w:tc>
        <w:tc>
          <w:tcPr>
            <w:tcW w:w="7230" w:type="dxa"/>
          </w:tcPr>
          <w:p w14:paraId="7F5490A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Hydrogen </w:t>
            </w:r>
            <w:proofErr w:type="spellStart"/>
            <w:r w:rsidRPr="00AB7D1E">
              <w:rPr>
                <w:rFonts w:ascii="Calibri" w:hAnsi="Calibri"/>
                <w:sz w:val="20"/>
                <w:szCs w:val="20"/>
                <w:lang w:val="en-US"/>
              </w:rPr>
              <w:t>Sulphide</w:t>
            </w:r>
            <w:proofErr w:type="spellEnd"/>
          </w:p>
        </w:tc>
      </w:tr>
      <w:tr w:rsidR="004511D4" w:rsidRPr="00AB7D1E" w14:paraId="4C0A7A47" w14:textId="77777777" w:rsidTr="00EC6200">
        <w:tc>
          <w:tcPr>
            <w:tcW w:w="1696" w:type="dxa"/>
          </w:tcPr>
          <w:p w14:paraId="5C5C51D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HCB</w:t>
            </w:r>
          </w:p>
        </w:tc>
        <w:tc>
          <w:tcPr>
            <w:tcW w:w="7230" w:type="dxa"/>
          </w:tcPr>
          <w:p w14:paraId="5CBCA4C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Hexachlorobenzene</w:t>
            </w:r>
          </w:p>
        </w:tc>
      </w:tr>
      <w:tr w:rsidR="004511D4" w:rsidRPr="00AB7D1E" w14:paraId="47D4299C" w14:textId="77777777" w:rsidTr="00EC6200">
        <w:tc>
          <w:tcPr>
            <w:tcW w:w="1696" w:type="dxa"/>
          </w:tcPr>
          <w:p w14:paraId="4901C5A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Hg</w:t>
            </w:r>
          </w:p>
        </w:tc>
        <w:tc>
          <w:tcPr>
            <w:tcW w:w="7230" w:type="dxa"/>
          </w:tcPr>
          <w:p w14:paraId="6408FCB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Mercury</w:t>
            </w:r>
          </w:p>
        </w:tc>
      </w:tr>
      <w:tr w:rsidR="004511D4" w:rsidRPr="00AB7D1E" w14:paraId="6D7F636C" w14:textId="77777777" w:rsidTr="00EC6200">
        <w:tc>
          <w:tcPr>
            <w:tcW w:w="1696" w:type="dxa"/>
          </w:tcPr>
          <w:p w14:paraId="314D2ECC"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HINA</w:t>
            </w:r>
          </w:p>
        </w:tc>
        <w:tc>
          <w:tcPr>
            <w:tcW w:w="7230" w:type="dxa"/>
          </w:tcPr>
          <w:p w14:paraId="79091BE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Croatian National News Agency</w:t>
            </w:r>
          </w:p>
        </w:tc>
      </w:tr>
      <w:tr w:rsidR="004511D4" w:rsidRPr="00AB7D1E" w14:paraId="0CBE36CB" w14:textId="77777777" w:rsidTr="004511D4">
        <w:tc>
          <w:tcPr>
            <w:tcW w:w="1696" w:type="dxa"/>
            <w:shd w:val="clear" w:color="auto" w:fill="auto"/>
          </w:tcPr>
          <w:p w14:paraId="6F2065A3" w14:textId="77777777" w:rsidR="004511D4" w:rsidRPr="00AB7D1E" w:rsidRDefault="004511D4" w:rsidP="004511D4">
            <w:pPr>
              <w:spacing w:before="0" w:after="0"/>
              <w:rPr>
                <w:rFonts w:ascii="Calibri" w:hAnsi="Calibri"/>
                <w:sz w:val="20"/>
                <w:szCs w:val="20"/>
                <w:lang w:val="en-US"/>
              </w:rPr>
            </w:pPr>
            <w:r w:rsidRPr="00AB7D1E">
              <w:rPr>
                <w:rFonts w:ascii="Calibri" w:hAnsi="Calibri" w:cs="Calibri"/>
                <w:sz w:val="20"/>
                <w:szCs w:val="20"/>
                <w:lang w:val="en-US"/>
              </w:rPr>
              <w:t>ICWMP</w:t>
            </w:r>
          </w:p>
        </w:tc>
        <w:tc>
          <w:tcPr>
            <w:tcW w:w="7230" w:type="dxa"/>
            <w:shd w:val="clear" w:color="auto" w:fill="auto"/>
          </w:tcPr>
          <w:p w14:paraId="48E8241D" w14:textId="77777777" w:rsidR="004511D4" w:rsidRPr="00AB7D1E" w:rsidRDefault="004511D4" w:rsidP="004511D4">
            <w:pPr>
              <w:spacing w:before="0" w:after="0"/>
              <w:rPr>
                <w:rFonts w:ascii="Calibri" w:hAnsi="Calibri"/>
                <w:sz w:val="20"/>
                <w:szCs w:val="20"/>
                <w:lang w:val="en-US"/>
              </w:rPr>
            </w:pPr>
            <w:r w:rsidRPr="00AB7D1E">
              <w:rPr>
                <w:sz w:val="20"/>
                <w:szCs w:val="20"/>
                <w:lang w:val="en-US"/>
              </w:rPr>
              <w:t>Infection Control and Waste Management Plan</w:t>
            </w:r>
          </w:p>
        </w:tc>
      </w:tr>
      <w:tr w:rsidR="004511D4" w:rsidRPr="00AB7D1E" w14:paraId="0FFE7161" w14:textId="77777777" w:rsidTr="00EC6200">
        <w:tc>
          <w:tcPr>
            <w:tcW w:w="1696" w:type="dxa"/>
          </w:tcPr>
          <w:p w14:paraId="7848BD7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IFC</w:t>
            </w:r>
          </w:p>
        </w:tc>
        <w:tc>
          <w:tcPr>
            <w:tcW w:w="7230" w:type="dxa"/>
          </w:tcPr>
          <w:p w14:paraId="1998A4F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International Finance Corporation</w:t>
            </w:r>
          </w:p>
        </w:tc>
      </w:tr>
      <w:tr w:rsidR="004511D4" w:rsidRPr="00AB7D1E" w14:paraId="15E617B3" w14:textId="77777777" w:rsidTr="00EC6200">
        <w:tc>
          <w:tcPr>
            <w:tcW w:w="1696" w:type="dxa"/>
          </w:tcPr>
          <w:p w14:paraId="2F50463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ILO</w:t>
            </w:r>
          </w:p>
        </w:tc>
        <w:tc>
          <w:tcPr>
            <w:tcW w:w="7230" w:type="dxa"/>
          </w:tcPr>
          <w:p w14:paraId="35A1A93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International Labor Organization</w:t>
            </w:r>
          </w:p>
        </w:tc>
      </w:tr>
      <w:tr w:rsidR="004511D4" w:rsidRPr="00AB7D1E" w14:paraId="676E4ED1" w14:textId="77777777" w:rsidTr="00EC6200">
        <w:tc>
          <w:tcPr>
            <w:tcW w:w="1696" w:type="dxa"/>
          </w:tcPr>
          <w:p w14:paraId="3727EAA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IMR</w:t>
            </w:r>
          </w:p>
        </w:tc>
        <w:tc>
          <w:tcPr>
            <w:tcW w:w="7230" w:type="dxa"/>
          </w:tcPr>
          <w:p w14:paraId="116193C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Institute for Medical Research</w:t>
            </w:r>
          </w:p>
        </w:tc>
      </w:tr>
      <w:tr w:rsidR="004511D4" w:rsidRPr="00AB7D1E" w14:paraId="3E4C5804" w14:textId="77777777" w:rsidTr="00EC6200">
        <w:tc>
          <w:tcPr>
            <w:tcW w:w="1696" w:type="dxa"/>
          </w:tcPr>
          <w:p w14:paraId="0DD2A3DC"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IPF</w:t>
            </w:r>
          </w:p>
        </w:tc>
        <w:tc>
          <w:tcPr>
            <w:tcW w:w="7230" w:type="dxa"/>
          </w:tcPr>
          <w:p w14:paraId="64E4F30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Investment Project Financing</w:t>
            </w:r>
          </w:p>
        </w:tc>
      </w:tr>
      <w:tr w:rsidR="004511D4" w:rsidRPr="00AB7D1E" w14:paraId="6582F1E3" w14:textId="77777777" w:rsidTr="00EC6200">
        <w:tc>
          <w:tcPr>
            <w:tcW w:w="1696" w:type="dxa"/>
          </w:tcPr>
          <w:p w14:paraId="11D970B1"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MCS</w:t>
            </w:r>
          </w:p>
        </w:tc>
        <w:tc>
          <w:tcPr>
            <w:tcW w:w="7230" w:type="dxa"/>
          </w:tcPr>
          <w:p w14:paraId="5DC4E49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Mercalli–</w:t>
            </w:r>
            <w:proofErr w:type="spellStart"/>
            <w:r w:rsidRPr="00AB7D1E">
              <w:rPr>
                <w:rFonts w:ascii="Calibri" w:hAnsi="Calibri"/>
                <w:sz w:val="20"/>
                <w:szCs w:val="20"/>
                <w:lang w:val="en-US"/>
              </w:rPr>
              <w:t>Cancani</w:t>
            </w:r>
            <w:proofErr w:type="spellEnd"/>
            <w:r w:rsidRPr="00AB7D1E">
              <w:rPr>
                <w:rFonts w:ascii="Calibri" w:hAnsi="Calibri"/>
                <w:sz w:val="20"/>
                <w:szCs w:val="20"/>
                <w:lang w:val="en-US"/>
              </w:rPr>
              <w:t>–</w:t>
            </w:r>
            <w:proofErr w:type="spellStart"/>
            <w:r w:rsidRPr="00AB7D1E">
              <w:rPr>
                <w:rFonts w:ascii="Calibri" w:hAnsi="Calibri"/>
                <w:sz w:val="20"/>
                <w:szCs w:val="20"/>
                <w:lang w:val="en-US"/>
              </w:rPr>
              <w:t>Sieberg</w:t>
            </w:r>
            <w:proofErr w:type="spellEnd"/>
            <w:r w:rsidRPr="00AB7D1E">
              <w:rPr>
                <w:rFonts w:ascii="Calibri" w:hAnsi="Calibri"/>
                <w:sz w:val="20"/>
                <w:szCs w:val="20"/>
                <w:lang w:val="en-US"/>
              </w:rPr>
              <w:t xml:space="preserve"> </w:t>
            </w:r>
          </w:p>
        </w:tc>
      </w:tr>
      <w:tr w:rsidR="004511D4" w:rsidRPr="00AB7D1E" w14:paraId="632C2EC6" w14:textId="77777777" w:rsidTr="00EC6200">
        <w:tc>
          <w:tcPr>
            <w:tcW w:w="1696" w:type="dxa"/>
          </w:tcPr>
          <w:p w14:paraId="6B867AA9" w14:textId="77777777" w:rsidR="004511D4" w:rsidRPr="00AB7D1E" w:rsidRDefault="004511D4" w:rsidP="004511D4">
            <w:pPr>
              <w:spacing w:before="0" w:after="0"/>
              <w:rPr>
                <w:rFonts w:ascii="Calibri" w:hAnsi="Calibri"/>
                <w:sz w:val="20"/>
                <w:szCs w:val="20"/>
                <w:lang w:val="en-US"/>
              </w:rPr>
            </w:pPr>
            <w:proofErr w:type="spellStart"/>
            <w:r w:rsidRPr="00AB7D1E">
              <w:rPr>
                <w:rFonts w:ascii="Calibri" w:hAnsi="Calibri"/>
                <w:sz w:val="20"/>
                <w:szCs w:val="20"/>
                <w:lang w:val="en-US"/>
              </w:rPr>
              <w:t>MoESD</w:t>
            </w:r>
            <w:proofErr w:type="spellEnd"/>
          </w:p>
        </w:tc>
        <w:tc>
          <w:tcPr>
            <w:tcW w:w="7230" w:type="dxa"/>
          </w:tcPr>
          <w:p w14:paraId="211CA68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Economy and Sustainable Development</w:t>
            </w:r>
          </w:p>
        </w:tc>
      </w:tr>
      <w:tr w:rsidR="004511D4" w:rsidRPr="00AB7D1E" w14:paraId="59CE783D" w14:textId="77777777" w:rsidTr="00EC6200">
        <w:tc>
          <w:tcPr>
            <w:tcW w:w="1696" w:type="dxa"/>
          </w:tcPr>
          <w:p w14:paraId="310B5D90" w14:textId="77777777" w:rsidR="004511D4" w:rsidRPr="00AB7D1E" w:rsidRDefault="004511D4" w:rsidP="004511D4">
            <w:pPr>
              <w:suppressAutoHyphens w:val="0"/>
              <w:spacing w:before="0" w:after="0" w:line="240" w:lineRule="auto"/>
              <w:jc w:val="left"/>
              <w:rPr>
                <w:rFonts w:ascii="Calibri" w:hAnsi="Calibri"/>
                <w:sz w:val="20"/>
                <w:szCs w:val="20"/>
                <w:lang w:val="en-US"/>
              </w:rPr>
            </w:pPr>
            <w:proofErr w:type="spellStart"/>
            <w:r w:rsidRPr="00AB7D1E">
              <w:rPr>
                <w:rFonts w:ascii="Calibri" w:hAnsi="Calibri"/>
                <w:sz w:val="20"/>
                <w:szCs w:val="20"/>
                <w:lang w:val="en-US"/>
              </w:rPr>
              <w:t>MoF</w:t>
            </w:r>
            <w:proofErr w:type="spellEnd"/>
          </w:p>
        </w:tc>
        <w:tc>
          <w:tcPr>
            <w:tcW w:w="7230" w:type="dxa"/>
          </w:tcPr>
          <w:p w14:paraId="1C112BEA"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Finance</w:t>
            </w:r>
          </w:p>
        </w:tc>
      </w:tr>
      <w:tr w:rsidR="004511D4" w:rsidRPr="00AB7D1E" w14:paraId="35B4D530" w14:textId="77777777" w:rsidTr="00EC6200">
        <w:tc>
          <w:tcPr>
            <w:tcW w:w="1696" w:type="dxa"/>
          </w:tcPr>
          <w:p w14:paraId="60E799E5" w14:textId="77777777" w:rsidR="004511D4" w:rsidRPr="00AB7D1E" w:rsidRDefault="004511D4" w:rsidP="004511D4">
            <w:pPr>
              <w:spacing w:before="0" w:after="0"/>
              <w:rPr>
                <w:rFonts w:ascii="Calibri" w:hAnsi="Calibri"/>
                <w:sz w:val="20"/>
                <w:szCs w:val="20"/>
                <w:lang w:val="en-US"/>
              </w:rPr>
            </w:pPr>
            <w:proofErr w:type="spellStart"/>
            <w:r w:rsidRPr="00AB7D1E">
              <w:rPr>
                <w:rFonts w:ascii="Calibri" w:hAnsi="Calibri"/>
                <w:sz w:val="20"/>
                <w:szCs w:val="20"/>
                <w:lang w:val="en-US"/>
              </w:rPr>
              <w:t>MoH</w:t>
            </w:r>
            <w:proofErr w:type="spellEnd"/>
          </w:p>
        </w:tc>
        <w:tc>
          <w:tcPr>
            <w:tcW w:w="7230" w:type="dxa"/>
          </w:tcPr>
          <w:p w14:paraId="3007C8F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Health</w:t>
            </w:r>
          </w:p>
        </w:tc>
      </w:tr>
      <w:tr w:rsidR="004511D4" w:rsidRPr="00AB7D1E" w14:paraId="4EAF6A37" w14:textId="77777777" w:rsidTr="00EC6200">
        <w:tc>
          <w:tcPr>
            <w:tcW w:w="1696" w:type="dxa"/>
          </w:tcPr>
          <w:p w14:paraId="75637424" w14:textId="77777777" w:rsidR="004511D4" w:rsidRPr="00AB7D1E" w:rsidRDefault="004511D4" w:rsidP="004511D4">
            <w:pPr>
              <w:suppressAutoHyphens w:val="0"/>
              <w:spacing w:before="0" w:after="0" w:line="240" w:lineRule="auto"/>
              <w:jc w:val="left"/>
              <w:rPr>
                <w:rFonts w:ascii="Calibri" w:hAnsi="Calibri"/>
                <w:sz w:val="20"/>
                <w:szCs w:val="20"/>
                <w:lang w:val="en-US"/>
              </w:rPr>
            </w:pPr>
            <w:proofErr w:type="spellStart"/>
            <w:r w:rsidRPr="00AB7D1E">
              <w:rPr>
                <w:rFonts w:ascii="Calibri" w:hAnsi="Calibri"/>
                <w:sz w:val="20"/>
                <w:szCs w:val="20"/>
                <w:lang w:val="en-US"/>
              </w:rPr>
              <w:t>MoI</w:t>
            </w:r>
            <w:proofErr w:type="spellEnd"/>
          </w:p>
        </w:tc>
        <w:tc>
          <w:tcPr>
            <w:tcW w:w="7230" w:type="dxa"/>
          </w:tcPr>
          <w:p w14:paraId="036B83E4"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the Interior</w:t>
            </w:r>
          </w:p>
        </w:tc>
      </w:tr>
      <w:tr w:rsidR="004511D4" w:rsidRPr="00AB7D1E" w14:paraId="626B181D" w14:textId="77777777" w:rsidTr="00EC6200">
        <w:tc>
          <w:tcPr>
            <w:tcW w:w="1696" w:type="dxa"/>
          </w:tcPr>
          <w:p w14:paraId="3A8A9626" w14:textId="77777777" w:rsidR="004511D4" w:rsidRPr="00AB7D1E" w:rsidRDefault="004511D4" w:rsidP="004511D4">
            <w:pPr>
              <w:spacing w:before="0" w:after="0"/>
              <w:rPr>
                <w:rFonts w:ascii="Calibri" w:hAnsi="Calibri"/>
                <w:sz w:val="20"/>
                <w:szCs w:val="20"/>
                <w:lang w:val="en-US"/>
              </w:rPr>
            </w:pPr>
            <w:proofErr w:type="spellStart"/>
            <w:r w:rsidRPr="00AB7D1E">
              <w:rPr>
                <w:rFonts w:ascii="Calibri" w:hAnsi="Calibri"/>
                <w:sz w:val="20"/>
                <w:szCs w:val="20"/>
                <w:lang w:val="en-US"/>
              </w:rPr>
              <w:t>MoLPSFSP</w:t>
            </w:r>
            <w:proofErr w:type="spellEnd"/>
          </w:p>
        </w:tc>
        <w:tc>
          <w:tcPr>
            <w:tcW w:w="7230" w:type="dxa"/>
          </w:tcPr>
          <w:p w14:paraId="71AF054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Ministry of </w:t>
            </w:r>
            <w:proofErr w:type="spellStart"/>
            <w:r w:rsidRPr="00AB7D1E">
              <w:rPr>
                <w:rFonts w:ascii="Calibri" w:hAnsi="Calibri"/>
                <w:sz w:val="20"/>
                <w:szCs w:val="20"/>
                <w:lang w:val="en-US"/>
              </w:rPr>
              <w:t>Labour</w:t>
            </w:r>
            <w:proofErr w:type="spellEnd"/>
            <w:r w:rsidRPr="00AB7D1E">
              <w:rPr>
                <w:rFonts w:ascii="Calibri" w:hAnsi="Calibri"/>
                <w:sz w:val="20"/>
                <w:szCs w:val="20"/>
                <w:lang w:val="en-US"/>
              </w:rPr>
              <w:t>, Pension System, Family and Social Policy</w:t>
            </w:r>
          </w:p>
        </w:tc>
      </w:tr>
      <w:tr w:rsidR="004511D4" w:rsidRPr="00AB7D1E" w14:paraId="5BCBC600" w14:textId="77777777" w:rsidTr="00EC6200">
        <w:tc>
          <w:tcPr>
            <w:tcW w:w="1696" w:type="dxa"/>
          </w:tcPr>
          <w:p w14:paraId="4188F2C4" w14:textId="7D9199EE" w:rsidR="004511D4" w:rsidRPr="00AB7D1E" w:rsidRDefault="004511D4" w:rsidP="004511D4">
            <w:pPr>
              <w:spacing w:before="0" w:after="0"/>
              <w:rPr>
                <w:rFonts w:ascii="Calibri" w:hAnsi="Calibri"/>
                <w:sz w:val="20"/>
                <w:szCs w:val="20"/>
                <w:lang w:val="en-US"/>
              </w:rPr>
            </w:pPr>
            <w:proofErr w:type="spellStart"/>
            <w:r w:rsidRPr="00AB7D1E">
              <w:rPr>
                <w:rFonts w:ascii="Calibri" w:hAnsi="Calibri"/>
                <w:sz w:val="20"/>
                <w:szCs w:val="20"/>
                <w:lang w:val="en-US"/>
              </w:rPr>
              <w:t>MoPPCS</w:t>
            </w:r>
            <w:r w:rsidR="008C5CCB">
              <w:rPr>
                <w:rFonts w:ascii="Calibri" w:hAnsi="Calibri"/>
                <w:sz w:val="20"/>
                <w:szCs w:val="20"/>
                <w:lang w:val="en-US"/>
              </w:rPr>
              <w:t>A</w:t>
            </w:r>
            <w:proofErr w:type="spellEnd"/>
          </w:p>
        </w:tc>
        <w:tc>
          <w:tcPr>
            <w:tcW w:w="7230" w:type="dxa"/>
          </w:tcPr>
          <w:p w14:paraId="3DD62810" w14:textId="55CB2E94"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Ministry of Physical Planning, Construction and State </w:t>
            </w:r>
            <w:r w:rsidR="008C5CCB">
              <w:rPr>
                <w:rFonts w:ascii="Calibri" w:hAnsi="Calibri"/>
                <w:sz w:val="20"/>
                <w:szCs w:val="20"/>
                <w:lang w:val="en-US"/>
              </w:rPr>
              <w:t>Assets</w:t>
            </w:r>
          </w:p>
        </w:tc>
      </w:tr>
      <w:tr w:rsidR="004511D4" w:rsidRPr="00AB7D1E" w14:paraId="6F38B566" w14:textId="77777777" w:rsidTr="00EC6200">
        <w:tc>
          <w:tcPr>
            <w:tcW w:w="1696" w:type="dxa"/>
          </w:tcPr>
          <w:p w14:paraId="3377E630" w14:textId="77777777" w:rsidR="004511D4" w:rsidRPr="00AB7D1E" w:rsidRDefault="004511D4" w:rsidP="004511D4">
            <w:pPr>
              <w:spacing w:before="0" w:after="0"/>
              <w:rPr>
                <w:rFonts w:ascii="Calibri" w:hAnsi="Calibri"/>
                <w:sz w:val="20"/>
                <w:szCs w:val="20"/>
                <w:lang w:val="en-US"/>
              </w:rPr>
            </w:pPr>
            <w:proofErr w:type="spellStart"/>
            <w:r w:rsidRPr="00AB7D1E">
              <w:rPr>
                <w:rFonts w:ascii="Calibri" w:hAnsi="Calibri"/>
                <w:sz w:val="20"/>
                <w:szCs w:val="20"/>
                <w:lang w:val="en-US"/>
              </w:rPr>
              <w:t>MoSE</w:t>
            </w:r>
            <w:proofErr w:type="spellEnd"/>
          </w:p>
        </w:tc>
        <w:tc>
          <w:tcPr>
            <w:tcW w:w="7230" w:type="dxa"/>
          </w:tcPr>
          <w:p w14:paraId="19C6806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Ministry of Science and Education</w:t>
            </w:r>
          </w:p>
        </w:tc>
      </w:tr>
      <w:tr w:rsidR="004511D4" w:rsidRPr="00AB7D1E" w14:paraId="6EEE9419" w14:textId="77777777" w:rsidTr="00EC6200">
        <w:tc>
          <w:tcPr>
            <w:tcW w:w="1696" w:type="dxa"/>
          </w:tcPr>
          <w:p w14:paraId="6D93FCEB"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lastRenderedPageBreak/>
              <w:t>MSDS</w:t>
            </w:r>
          </w:p>
        </w:tc>
        <w:tc>
          <w:tcPr>
            <w:tcW w:w="7230" w:type="dxa"/>
          </w:tcPr>
          <w:p w14:paraId="615AAEB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 xml:space="preserve">Material Safety Data Sheets </w:t>
            </w:r>
          </w:p>
        </w:tc>
      </w:tr>
      <w:tr w:rsidR="004511D4" w:rsidRPr="00AB7D1E" w14:paraId="74A08E54" w14:textId="77777777" w:rsidTr="00EC6200">
        <w:tc>
          <w:tcPr>
            <w:tcW w:w="1696" w:type="dxa"/>
          </w:tcPr>
          <w:p w14:paraId="51B4848F"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Natura 2000</w:t>
            </w:r>
          </w:p>
        </w:tc>
        <w:tc>
          <w:tcPr>
            <w:tcW w:w="7230" w:type="dxa"/>
          </w:tcPr>
          <w:p w14:paraId="154E36F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Ecological Network of the Republic of Croatia</w:t>
            </w:r>
          </w:p>
        </w:tc>
      </w:tr>
      <w:tr w:rsidR="004511D4" w:rsidRPr="00AB7D1E" w14:paraId="254E6CDE" w14:textId="77777777" w:rsidTr="00EC6200">
        <w:tc>
          <w:tcPr>
            <w:tcW w:w="1696" w:type="dxa"/>
          </w:tcPr>
          <w:p w14:paraId="4E81277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NH3</w:t>
            </w:r>
          </w:p>
        </w:tc>
        <w:tc>
          <w:tcPr>
            <w:tcW w:w="7230" w:type="dxa"/>
          </w:tcPr>
          <w:p w14:paraId="4BD429A5" w14:textId="77777777" w:rsidR="004511D4" w:rsidRPr="00AB7D1E" w:rsidRDefault="004511D4" w:rsidP="004511D4">
            <w:pPr>
              <w:spacing w:before="0" w:after="0"/>
              <w:rPr>
                <w:rFonts w:ascii="Calibri" w:hAnsi="Calibri"/>
                <w:sz w:val="20"/>
                <w:szCs w:val="20"/>
                <w:lang w:val="en-US"/>
              </w:rPr>
            </w:pPr>
            <w:proofErr w:type="spellStart"/>
            <w:r w:rsidRPr="00AB7D1E">
              <w:rPr>
                <w:rFonts w:ascii="Calibri" w:hAnsi="Calibri"/>
                <w:sz w:val="20"/>
                <w:szCs w:val="20"/>
                <w:lang w:val="en-US"/>
              </w:rPr>
              <w:t>Amonia</w:t>
            </w:r>
            <w:proofErr w:type="spellEnd"/>
          </w:p>
        </w:tc>
      </w:tr>
      <w:tr w:rsidR="004511D4" w:rsidRPr="00AB7D1E" w14:paraId="3F840744" w14:textId="77777777" w:rsidTr="00EC6200">
        <w:tc>
          <w:tcPr>
            <w:tcW w:w="1696" w:type="dxa"/>
          </w:tcPr>
          <w:p w14:paraId="4CB356E4"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Ni</w:t>
            </w:r>
          </w:p>
        </w:tc>
        <w:tc>
          <w:tcPr>
            <w:tcW w:w="7230" w:type="dxa"/>
          </w:tcPr>
          <w:p w14:paraId="1719454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Nickel</w:t>
            </w:r>
          </w:p>
        </w:tc>
      </w:tr>
      <w:tr w:rsidR="004511D4" w:rsidRPr="00AB7D1E" w14:paraId="40A3FB38" w14:textId="77777777" w:rsidTr="00EC6200">
        <w:tc>
          <w:tcPr>
            <w:tcW w:w="1696" w:type="dxa"/>
          </w:tcPr>
          <w:p w14:paraId="47179E4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NMVOC</w:t>
            </w:r>
          </w:p>
        </w:tc>
        <w:tc>
          <w:tcPr>
            <w:tcW w:w="7230" w:type="dxa"/>
          </w:tcPr>
          <w:p w14:paraId="7021180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Non-methane volatile organic compounds</w:t>
            </w:r>
          </w:p>
        </w:tc>
      </w:tr>
      <w:tr w:rsidR="004511D4" w:rsidRPr="00AB7D1E" w14:paraId="62C6E2AC" w14:textId="77777777" w:rsidTr="00EC6200">
        <w:tc>
          <w:tcPr>
            <w:tcW w:w="1696" w:type="dxa"/>
          </w:tcPr>
          <w:p w14:paraId="6DE9673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NO</w:t>
            </w:r>
            <w:r w:rsidRPr="00AB7D1E">
              <w:rPr>
                <w:rFonts w:ascii="Calibri" w:hAnsi="Calibri"/>
                <w:sz w:val="20"/>
                <w:szCs w:val="20"/>
                <w:vertAlign w:val="subscript"/>
                <w:lang w:val="en-US"/>
              </w:rPr>
              <w:t>2</w:t>
            </w:r>
          </w:p>
        </w:tc>
        <w:tc>
          <w:tcPr>
            <w:tcW w:w="7230" w:type="dxa"/>
          </w:tcPr>
          <w:p w14:paraId="2E28801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Nitrogen Dioxide</w:t>
            </w:r>
          </w:p>
        </w:tc>
      </w:tr>
      <w:tr w:rsidR="004511D4" w:rsidRPr="00AB7D1E" w14:paraId="163A4569" w14:textId="77777777" w:rsidTr="00EC6200">
        <w:tc>
          <w:tcPr>
            <w:tcW w:w="1696" w:type="dxa"/>
          </w:tcPr>
          <w:p w14:paraId="02F2C50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NO</w:t>
            </w:r>
            <w:r w:rsidRPr="00AB7D1E">
              <w:rPr>
                <w:rFonts w:ascii="Calibri" w:hAnsi="Calibri"/>
                <w:sz w:val="20"/>
                <w:szCs w:val="20"/>
                <w:vertAlign w:val="subscript"/>
                <w:lang w:val="en-US"/>
              </w:rPr>
              <w:t>x</w:t>
            </w:r>
          </w:p>
        </w:tc>
        <w:tc>
          <w:tcPr>
            <w:tcW w:w="7230" w:type="dxa"/>
          </w:tcPr>
          <w:p w14:paraId="367DE15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Nitrogen Oxides</w:t>
            </w:r>
          </w:p>
        </w:tc>
      </w:tr>
      <w:tr w:rsidR="004511D4" w:rsidRPr="00AB7D1E" w14:paraId="3FE1C3E6" w14:textId="77777777" w:rsidTr="00EC6200">
        <w:tc>
          <w:tcPr>
            <w:tcW w:w="1696" w:type="dxa"/>
          </w:tcPr>
          <w:p w14:paraId="54859B38"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NUTS 2</w:t>
            </w:r>
          </w:p>
        </w:tc>
        <w:tc>
          <w:tcPr>
            <w:tcW w:w="7230" w:type="dxa"/>
          </w:tcPr>
          <w:p w14:paraId="24A0978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Nomenclature of Territorial Units for Statistics</w:t>
            </w:r>
          </w:p>
        </w:tc>
      </w:tr>
      <w:tr w:rsidR="004511D4" w:rsidRPr="00AB7D1E" w14:paraId="584993FD" w14:textId="77777777" w:rsidTr="00EC6200">
        <w:tc>
          <w:tcPr>
            <w:tcW w:w="1696" w:type="dxa"/>
          </w:tcPr>
          <w:p w14:paraId="53252EB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OHS</w:t>
            </w:r>
          </w:p>
        </w:tc>
        <w:tc>
          <w:tcPr>
            <w:tcW w:w="7230" w:type="dxa"/>
          </w:tcPr>
          <w:p w14:paraId="547CF18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Occupational Health and Safety</w:t>
            </w:r>
          </w:p>
        </w:tc>
      </w:tr>
      <w:tr w:rsidR="004511D4" w:rsidRPr="00AB7D1E" w14:paraId="7BA07AA5" w14:textId="77777777" w:rsidTr="00EC6200">
        <w:tc>
          <w:tcPr>
            <w:tcW w:w="1696" w:type="dxa"/>
          </w:tcPr>
          <w:p w14:paraId="19BF3E9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PAH</w:t>
            </w:r>
          </w:p>
        </w:tc>
        <w:tc>
          <w:tcPr>
            <w:tcW w:w="7230" w:type="dxa"/>
          </w:tcPr>
          <w:p w14:paraId="58D1972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Polycyclic Aromatic Hydrocarbons</w:t>
            </w:r>
          </w:p>
        </w:tc>
      </w:tr>
      <w:tr w:rsidR="004511D4" w:rsidRPr="00AB7D1E" w14:paraId="5719AAD5" w14:textId="77777777" w:rsidTr="00EC6200">
        <w:tc>
          <w:tcPr>
            <w:tcW w:w="1696" w:type="dxa"/>
          </w:tcPr>
          <w:p w14:paraId="568E171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Pb</w:t>
            </w:r>
          </w:p>
        </w:tc>
        <w:tc>
          <w:tcPr>
            <w:tcW w:w="7230" w:type="dxa"/>
          </w:tcPr>
          <w:p w14:paraId="2418664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Lead</w:t>
            </w:r>
          </w:p>
        </w:tc>
      </w:tr>
      <w:tr w:rsidR="004511D4" w:rsidRPr="00AB7D1E" w14:paraId="46E15EF8" w14:textId="77777777" w:rsidTr="00EC6200">
        <w:tc>
          <w:tcPr>
            <w:tcW w:w="1696" w:type="dxa"/>
          </w:tcPr>
          <w:p w14:paraId="0EBB87D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PCB</w:t>
            </w:r>
          </w:p>
        </w:tc>
        <w:tc>
          <w:tcPr>
            <w:tcW w:w="7230" w:type="dxa"/>
          </w:tcPr>
          <w:p w14:paraId="4B563FFB"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Polychlorinated Biphenyl</w:t>
            </w:r>
          </w:p>
        </w:tc>
      </w:tr>
      <w:tr w:rsidR="004511D4" w:rsidRPr="00AB7D1E" w14:paraId="1B875B1A" w14:textId="77777777" w:rsidTr="00EC6200">
        <w:tc>
          <w:tcPr>
            <w:tcW w:w="1696" w:type="dxa"/>
          </w:tcPr>
          <w:p w14:paraId="4F05215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PCDD / PCDF</w:t>
            </w:r>
          </w:p>
        </w:tc>
        <w:tc>
          <w:tcPr>
            <w:tcW w:w="7230" w:type="dxa"/>
          </w:tcPr>
          <w:p w14:paraId="12DBF65F"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Dioxins and Furans</w:t>
            </w:r>
          </w:p>
        </w:tc>
      </w:tr>
      <w:tr w:rsidR="004511D4" w:rsidRPr="00AB7D1E" w14:paraId="79713D06" w14:textId="77777777" w:rsidTr="00EC6200">
        <w:tc>
          <w:tcPr>
            <w:tcW w:w="1696" w:type="dxa"/>
          </w:tcPr>
          <w:p w14:paraId="32BEBDF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PDO</w:t>
            </w:r>
          </w:p>
        </w:tc>
        <w:tc>
          <w:tcPr>
            <w:tcW w:w="7230" w:type="dxa"/>
          </w:tcPr>
          <w:p w14:paraId="5A89F46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Project Development Objective</w:t>
            </w:r>
          </w:p>
        </w:tc>
      </w:tr>
      <w:tr w:rsidR="004511D4" w:rsidRPr="00AB7D1E" w14:paraId="0F0D50BA" w14:textId="77777777" w:rsidTr="00EC6200">
        <w:tc>
          <w:tcPr>
            <w:tcW w:w="1696" w:type="dxa"/>
          </w:tcPr>
          <w:p w14:paraId="083EFED4"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PIN</w:t>
            </w:r>
          </w:p>
        </w:tc>
        <w:tc>
          <w:tcPr>
            <w:tcW w:w="7230" w:type="dxa"/>
          </w:tcPr>
          <w:p w14:paraId="73C2B100"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Personal Identification Number</w:t>
            </w:r>
          </w:p>
        </w:tc>
      </w:tr>
      <w:tr w:rsidR="004511D4" w:rsidRPr="00AB7D1E" w14:paraId="0F2BEAEE" w14:textId="77777777" w:rsidTr="00EC6200">
        <w:tc>
          <w:tcPr>
            <w:tcW w:w="1696" w:type="dxa"/>
          </w:tcPr>
          <w:p w14:paraId="0CDEAFA3"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PIU</w:t>
            </w:r>
          </w:p>
        </w:tc>
        <w:tc>
          <w:tcPr>
            <w:tcW w:w="7230" w:type="dxa"/>
          </w:tcPr>
          <w:p w14:paraId="5604BF4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Project Implementation Unit</w:t>
            </w:r>
          </w:p>
        </w:tc>
      </w:tr>
      <w:tr w:rsidR="004511D4" w:rsidRPr="00AB7D1E" w14:paraId="28799F66" w14:textId="77777777" w:rsidTr="00EC6200">
        <w:tc>
          <w:tcPr>
            <w:tcW w:w="1696" w:type="dxa"/>
          </w:tcPr>
          <w:p w14:paraId="22E06CE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PM</w:t>
            </w:r>
          </w:p>
        </w:tc>
        <w:tc>
          <w:tcPr>
            <w:tcW w:w="7230" w:type="dxa"/>
          </w:tcPr>
          <w:p w14:paraId="16BE957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Particulate Matter</w:t>
            </w:r>
          </w:p>
        </w:tc>
      </w:tr>
      <w:tr w:rsidR="004511D4" w:rsidRPr="00AB7D1E" w14:paraId="7FC43D01" w14:textId="77777777" w:rsidTr="00EC6200">
        <w:tc>
          <w:tcPr>
            <w:tcW w:w="1696" w:type="dxa"/>
          </w:tcPr>
          <w:p w14:paraId="5CE4CE5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PPE</w:t>
            </w:r>
          </w:p>
        </w:tc>
        <w:tc>
          <w:tcPr>
            <w:tcW w:w="7230" w:type="dxa"/>
          </w:tcPr>
          <w:p w14:paraId="50CDBC79"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Personal Protective Equipment</w:t>
            </w:r>
          </w:p>
        </w:tc>
      </w:tr>
      <w:tr w:rsidR="004511D4" w:rsidRPr="00AB7D1E" w14:paraId="0F56A521" w14:textId="77777777" w:rsidTr="00EC6200">
        <w:tc>
          <w:tcPr>
            <w:tcW w:w="1696" w:type="dxa"/>
          </w:tcPr>
          <w:p w14:paraId="26654168"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PSC</w:t>
            </w:r>
          </w:p>
        </w:tc>
        <w:tc>
          <w:tcPr>
            <w:tcW w:w="7230" w:type="dxa"/>
          </w:tcPr>
          <w:p w14:paraId="158AF7F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Project Steering Committee</w:t>
            </w:r>
          </w:p>
        </w:tc>
      </w:tr>
      <w:tr w:rsidR="004511D4" w:rsidRPr="00AB7D1E" w14:paraId="4EE563AA" w14:textId="77777777" w:rsidTr="00EC6200">
        <w:tc>
          <w:tcPr>
            <w:tcW w:w="1696" w:type="dxa"/>
          </w:tcPr>
          <w:p w14:paraId="0A09AEE5"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RBI</w:t>
            </w:r>
          </w:p>
        </w:tc>
        <w:tc>
          <w:tcPr>
            <w:tcW w:w="7230" w:type="dxa"/>
          </w:tcPr>
          <w:p w14:paraId="30873ABE" w14:textId="77777777" w:rsidR="004511D4" w:rsidRPr="00AB7D1E" w:rsidRDefault="004511D4" w:rsidP="004511D4">
            <w:pPr>
              <w:spacing w:before="0" w:after="0"/>
              <w:rPr>
                <w:rFonts w:ascii="Calibri" w:hAnsi="Calibri"/>
                <w:sz w:val="20"/>
                <w:szCs w:val="20"/>
                <w:lang w:val="en-US"/>
              </w:rPr>
            </w:pPr>
            <w:proofErr w:type="spellStart"/>
            <w:r w:rsidRPr="00AB7D1E">
              <w:rPr>
                <w:rFonts w:ascii="Calibri" w:hAnsi="Calibri"/>
                <w:sz w:val="20"/>
                <w:szCs w:val="20"/>
                <w:lang w:val="en-US"/>
              </w:rPr>
              <w:t>Ruđer</w:t>
            </w:r>
            <w:proofErr w:type="spellEnd"/>
            <w:r w:rsidRPr="00AB7D1E">
              <w:rPr>
                <w:rFonts w:ascii="Calibri" w:hAnsi="Calibri"/>
                <w:sz w:val="20"/>
                <w:szCs w:val="20"/>
                <w:lang w:val="en-US"/>
              </w:rPr>
              <w:t xml:space="preserve"> </w:t>
            </w:r>
            <w:proofErr w:type="spellStart"/>
            <w:r w:rsidRPr="00AB7D1E">
              <w:rPr>
                <w:rFonts w:ascii="Calibri" w:hAnsi="Calibri"/>
                <w:sz w:val="20"/>
                <w:szCs w:val="20"/>
                <w:lang w:val="en-US"/>
              </w:rPr>
              <w:t>Bošković</w:t>
            </w:r>
            <w:proofErr w:type="spellEnd"/>
            <w:r w:rsidRPr="00AB7D1E">
              <w:rPr>
                <w:rFonts w:ascii="Calibri" w:hAnsi="Calibri"/>
                <w:sz w:val="20"/>
                <w:szCs w:val="20"/>
                <w:lang w:val="en-US"/>
              </w:rPr>
              <w:t xml:space="preserve"> Institute </w:t>
            </w:r>
          </w:p>
        </w:tc>
      </w:tr>
      <w:tr w:rsidR="004511D4" w:rsidRPr="00AB7D1E" w14:paraId="60D6D8AC" w14:textId="77777777" w:rsidTr="00EC6200">
        <w:tc>
          <w:tcPr>
            <w:tcW w:w="1696" w:type="dxa"/>
          </w:tcPr>
          <w:p w14:paraId="512D4607"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Se</w:t>
            </w:r>
          </w:p>
        </w:tc>
        <w:tc>
          <w:tcPr>
            <w:tcW w:w="7230" w:type="dxa"/>
          </w:tcPr>
          <w:p w14:paraId="50E44924"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Selenium</w:t>
            </w:r>
          </w:p>
        </w:tc>
      </w:tr>
      <w:tr w:rsidR="004511D4" w:rsidRPr="00AB7D1E" w14:paraId="13B26F5C" w14:textId="77777777" w:rsidTr="00EC6200">
        <w:tc>
          <w:tcPr>
            <w:tcW w:w="1696" w:type="dxa"/>
          </w:tcPr>
          <w:p w14:paraId="2D431C39"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SEP</w:t>
            </w:r>
          </w:p>
        </w:tc>
        <w:tc>
          <w:tcPr>
            <w:tcW w:w="7230" w:type="dxa"/>
          </w:tcPr>
          <w:p w14:paraId="029E731A"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Stakeholder Engagement Plan</w:t>
            </w:r>
          </w:p>
        </w:tc>
      </w:tr>
      <w:tr w:rsidR="004511D4" w:rsidRPr="00AB7D1E" w14:paraId="695F0C64" w14:textId="77777777" w:rsidTr="00EC6200">
        <w:tc>
          <w:tcPr>
            <w:tcW w:w="1696" w:type="dxa"/>
          </w:tcPr>
          <w:p w14:paraId="20EADCD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SO2</w:t>
            </w:r>
          </w:p>
        </w:tc>
        <w:tc>
          <w:tcPr>
            <w:tcW w:w="7230" w:type="dxa"/>
          </w:tcPr>
          <w:p w14:paraId="6D26177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Sulphur Dioxide</w:t>
            </w:r>
          </w:p>
        </w:tc>
      </w:tr>
      <w:tr w:rsidR="004511D4" w:rsidRPr="00AB7D1E" w14:paraId="0C87082C" w14:textId="77777777" w:rsidTr="004511D4">
        <w:tc>
          <w:tcPr>
            <w:tcW w:w="1696" w:type="dxa"/>
            <w:shd w:val="clear" w:color="auto" w:fill="auto"/>
          </w:tcPr>
          <w:p w14:paraId="7E6B4259" w14:textId="77777777" w:rsidR="004511D4" w:rsidRPr="00AB7D1E" w:rsidRDefault="004511D4" w:rsidP="004511D4">
            <w:pPr>
              <w:spacing w:before="0" w:after="0"/>
              <w:rPr>
                <w:rFonts w:ascii="Calibri" w:hAnsi="Calibri"/>
                <w:sz w:val="20"/>
                <w:szCs w:val="20"/>
                <w:lang w:val="en-US"/>
              </w:rPr>
            </w:pPr>
            <w:proofErr w:type="spellStart"/>
            <w:r w:rsidRPr="00AB7D1E">
              <w:rPr>
                <w:sz w:val="20"/>
                <w:szCs w:val="20"/>
                <w:lang w:val="en-US"/>
              </w:rPr>
              <w:t>TBq</w:t>
            </w:r>
            <w:proofErr w:type="spellEnd"/>
          </w:p>
        </w:tc>
        <w:tc>
          <w:tcPr>
            <w:tcW w:w="7230" w:type="dxa"/>
            <w:shd w:val="clear" w:color="auto" w:fill="auto"/>
          </w:tcPr>
          <w:p w14:paraId="73DD515B" w14:textId="77777777" w:rsidR="004511D4" w:rsidRPr="00AB7D1E" w:rsidRDefault="004511D4" w:rsidP="004511D4">
            <w:pPr>
              <w:spacing w:before="0" w:after="0"/>
              <w:rPr>
                <w:rFonts w:ascii="Calibri" w:hAnsi="Calibri"/>
                <w:sz w:val="20"/>
                <w:szCs w:val="20"/>
                <w:lang w:val="en-US"/>
              </w:rPr>
            </w:pPr>
            <w:r w:rsidRPr="00AB7D1E">
              <w:rPr>
                <w:sz w:val="20"/>
                <w:szCs w:val="20"/>
                <w:lang w:val="en-US"/>
              </w:rPr>
              <w:t xml:space="preserve">Terabecquerel </w:t>
            </w:r>
          </w:p>
        </w:tc>
      </w:tr>
      <w:tr w:rsidR="004511D4" w:rsidRPr="00AB7D1E" w14:paraId="2ED278E7" w14:textId="77777777" w:rsidTr="00EC6200">
        <w:tc>
          <w:tcPr>
            <w:tcW w:w="1696" w:type="dxa"/>
          </w:tcPr>
          <w:p w14:paraId="33513A0E"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TSP</w:t>
            </w:r>
          </w:p>
        </w:tc>
        <w:tc>
          <w:tcPr>
            <w:tcW w:w="7230" w:type="dxa"/>
          </w:tcPr>
          <w:p w14:paraId="4E2CFC2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Total Suspended Particles</w:t>
            </w:r>
          </w:p>
        </w:tc>
      </w:tr>
      <w:tr w:rsidR="004511D4" w:rsidRPr="00AB7D1E" w14:paraId="54AE4103" w14:textId="77777777" w:rsidTr="00EC6200">
        <w:tc>
          <w:tcPr>
            <w:tcW w:w="1696" w:type="dxa"/>
          </w:tcPr>
          <w:p w14:paraId="5B74FEBF"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UNICEF</w:t>
            </w:r>
          </w:p>
        </w:tc>
        <w:tc>
          <w:tcPr>
            <w:tcW w:w="7230" w:type="dxa"/>
          </w:tcPr>
          <w:p w14:paraId="325DD48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United Nations Children's Fund is a United Nations</w:t>
            </w:r>
          </w:p>
        </w:tc>
      </w:tr>
      <w:tr w:rsidR="004511D4" w:rsidRPr="00AB7D1E" w14:paraId="457CAFD8" w14:textId="77777777" w:rsidTr="00EC6200">
        <w:tc>
          <w:tcPr>
            <w:tcW w:w="1696" w:type="dxa"/>
          </w:tcPr>
          <w:p w14:paraId="3C00FC5D" w14:textId="77777777" w:rsidR="004511D4" w:rsidRPr="00AB7D1E" w:rsidRDefault="004511D4" w:rsidP="004511D4">
            <w:pPr>
              <w:suppressAutoHyphens w:val="0"/>
              <w:spacing w:before="0" w:after="0" w:line="240" w:lineRule="auto"/>
              <w:jc w:val="left"/>
              <w:rPr>
                <w:rFonts w:ascii="Calibri" w:hAnsi="Calibri"/>
                <w:sz w:val="20"/>
                <w:szCs w:val="20"/>
                <w:lang w:val="en-US"/>
              </w:rPr>
            </w:pPr>
            <w:r w:rsidRPr="00AB7D1E">
              <w:rPr>
                <w:rFonts w:ascii="Calibri" w:hAnsi="Calibri"/>
                <w:sz w:val="20"/>
                <w:szCs w:val="20"/>
                <w:lang w:val="en-US"/>
              </w:rPr>
              <w:t>VHI</w:t>
            </w:r>
          </w:p>
        </w:tc>
        <w:tc>
          <w:tcPr>
            <w:tcW w:w="7230" w:type="dxa"/>
          </w:tcPr>
          <w:p w14:paraId="0CDE4152"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Voluntary Health Insurance</w:t>
            </w:r>
          </w:p>
        </w:tc>
      </w:tr>
      <w:tr w:rsidR="004511D4" w:rsidRPr="00AB7D1E" w14:paraId="16079954" w14:textId="77777777" w:rsidTr="00EC6200">
        <w:tc>
          <w:tcPr>
            <w:tcW w:w="1696" w:type="dxa"/>
          </w:tcPr>
          <w:p w14:paraId="5B72CF2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VOCs</w:t>
            </w:r>
          </w:p>
        </w:tc>
        <w:tc>
          <w:tcPr>
            <w:tcW w:w="7230" w:type="dxa"/>
          </w:tcPr>
          <w:p w14:paraId="5E8100C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Volatile Organic Compounds</w:t>
            </w:r>
          </w:p>
        </w:tc>
      </w:tr>
      <w:tr w:rsidR="004511D4" w:rsidRPr="00AB7D1E" w14:paraId="7F01855E" w14:textId="77777777" w:rsidTr="00EC6200">
        <w:tc>
          <w:tcPr>
            <w:tcW w:w="1696" w:type="dxa"/>
          </w:tcPr>
          <w:p w14:paraId="3C91E67C"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WB</w:t>
            </w:r>
          </w:p>
        </w:tc>
        <w:tc>
          <w:tcPr>
            <w:tcW w:w="7230" w:type="dxa"/>
          </w:tcPr>
          <w:p w14:paraId="4443FB03"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World Bank</w:t>
            </w:r>
          </w:p>
        </w:tc>
      </w:tr>
      <w:tr w:rsidR="004511D4" w:rsidRPr="00AB7D1E" w14:paraId="66C010DF" w14:textId="77777777" w:rsidTr="00EC6200">
        <w:tc>
          <w:tcPr>
            <w:tcW w:w="1696" w:type="dxa"/>
          </w:tcPr>
          <w:p w14:paraId="78665AD6"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WHO</w:t>
            </w:r>
          </w:p>
        </w:tc>
        <w:tc>
          <w:tcPr>
            <w:tcW w:w="7230" w:type="dxa"/>
          </w:tcPr>
          <w:p w14:paraId="09B7AEF8"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World Health Organization</w:t>
            </w:r>
          </w:p>
        </w:tc>
      </w:tr>
      <w:tr w:rsidR="004511D4" w:rsidRPr="00AB7D1E" w14:paraId="69D2663A" w14:textId="77777777" w:rsidTr="00EC6200">
        <w:tc>
          <w:tcPr>
            <w:tcW w:w="1696" w:type="dxa"/>
          </w:tcPr>
          <w:p w14:paraId="71541E5D"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Zn</w:t>
            </w:r>
          </w:p>
        </w:tc>
        <w:tc>
          <w:tcPr>
            <w:tcW w:w="7230" w:type="dxa"/>
          </w:tcPr>
          <w:p w14:paraId="431DD071" w14:textId="77777777" w:rsidR="004511D4" w:rsidRPr="00AB7D1E" w:rsidRDefault="004511D4" w:rsidP="004511D4">
            <w:pPr>
              <w:spacing w:before="0" w:after="0"/>
              <w:rPr>
                <w:rFonts w:ascii="Calibri" w:hAnsi="Calibri"/>
                <w:sz w:val="20"/>
                <w:szCs w:val="20"/>
                <w:lang w:val="en-US"/>
              </w:rPr>
            </w:pPr>
            <w:r w:rsidRPr="00AB7D1E">
              <w:rPr>
                <w:rFonts w:ascii="Calibri" w:hAnsi="Calibri"/>
                <w:sz w:val="20"/>
                <w:szCs w:val="20"/>
                <w:lang w:val="en-US"/>
              </w:rPr>
              <w:t>Zinc</w:t>
            </w:r>
          </w:p>
        </w:tc>
      </w:tr>
    </w:tbl>
    <w:p w14:paraId="07F4132F" w14:textId="77777777" w:rsidR="00225514" w:rsidRPr="00AB7D1E" w:rsidRDefault="00225514" w:rsidP="00225514">
      <w:pPr>
        <w:rPr>
          <w:lang w:val="en-US"/>
        </w:rPr>
      </w:pPr>
    </w:p>
    <w:p w14:paraId="3BED9326" w14:textId="3990A2DA" w:rsidR="00225514" w:rsidRPr="00AB7D1E" w:rsidRDefault="00225514" w:rsidP="005E633B">
      <w:pPr>
        <w:rPr>
          <w:lang w:val="en-US"/>
        </w:rPr>
      </w:pPr>
      <w:r w:rsidRPr="00AB7D1E">
        <w:rPr>
          <w:lang w:val="en-US"/>
        </w:rPr>
        <w:br w:type="page"/>
      </w:r>
    </w:p>
    <w:p w14:paraId="3BFE058D" w14:textId="0DB2B0A4" w:rsidR="005F7D97" w:rsidRPr="00AB7D1E" w:rsidRDefault="005F7D97" w:rsidP="005F7D97">
      <w:pPr>
        <w:pStyle w:val="Heading1"/>
        <w:numPr>
          <w:ilvl w:val="0"/>
          <w:numId w:val="0"/>
        </w:numPr>
        <w:ind w:left="432" w:hanging="432"/>
        <w:rPr>
          <w:lang w:val="en-US"/>
        </w:rPr>
      </w:pPr>
      <w:bookmarkStart w:id="5" w:name="_Toc56954024"/>
      <w:r w:rsidRPr="00AB7D1E">
        <w:rPr>
          <w:lang w:val="en-US"/>
        </w:rPr>
        <w:lastRenderedPageBreak/>
        <w:t>EXECUTIVE SUMMARY</w:t>
      </w:r>
      <w:bookmarkEnd w:id="5"/>
    </w:p>
    <w:p w14:paraId="3662EB3F" w14:textId="5B8C9C26" w:rsidR="00111EB0" w:rsidRPr="00AB7D1E" w:rsidRDefault="00111EB0" w:rsidP="00111EB0">
      <w:pPr>
        <w:rPr>
          <w:lang w:val="en-US"/>
        </w:rPr>
      </w:pPr>
      <w:r w:rsidRPr="00AB7D1E">
        <w:rPr>
          <w:lang w:val="en-US"/>
        </w:rPr>
        <w:t>The World Bank (WB) is providing</w:t>
      </w:r>
      <w:r w:rsidR="00225AF0" w:rsidRPr="00AB7D1E">
        <w:rPr>
          <w:lang w:val="en-US"/>
        </w:rPr>
        <w:t xml:space="preserve"> </w:t>
      </w:r>
      <w:r w:rsidRPr="00AB7D1E">
        <w:rPr>
          <w:lang w:val="en-US"/>
        </w:rPr>
        <w:t xml:space="preserve">support to the Government of Croatia </w:t>
      </w:r>
      <w:r w:rsidRPr="00AB7D1E">
        <w:rPr>
          <w:bCs/>
          <w:lang w:val="en-US"/>
        </w:rPr>
        <w:t xml:space="preserve">(the Government) </w:t>
      </w:r>
      <w:r w:rsidRPr="00AB7D1E">
        <w:rPr>
          <w:lang w:val="en-US"/>
        </w:rPr>
        <w:t>in implementing the “</w:t>
      </w:r>
      <w:r w:rsidRPr="00AB7D1E">
        <w:rPr>
          <w:bCs/>
          <w:lang w:val="en-US"/>
        </w:rPr>
        <w:t>Croatia Earthquake Recovery and Public Health Preparedness Project”</w:t>
      </w:r>
      <w:r w:rsidRPr="00AB7D1E">
        <w:rPr>
          <w:lang w:val="en-US"/>
        </w:rPr>
        <w:t>.</w:t>
      </w:r>
    </w:p>
    <w:p w14:paraId="2335242F" w14:textId="64ECD1DE" w:rsidR="00111EB0" w:rsidRPr="00AB7D1E" w:rsidRDefault="00111EB0" w:rsidP="00111EB0">
      <w:pPr>
        <w:rPr>
          <w:lang w:val="en-US"/>
        </w:rPr>
      </w:pPr>
      <w:r w:rsidRPr="00AB7D1E">
        <w:rPr>
          <w:lang w:val="en-US"/>
        </w:rPr>
        <w:t xml:space="preserve">On March 22, 2020, the City of Zagreb was struck by the </w:t>
      </w:r>
      <w:r w:rsidR="002A5F49">
        <w:rPr>
          <w:lang w:val="en-US"/>
        </w:rPr>
        <w:t>earthquake</w:t>
      </w:r>
      <w:r w:rsidR="0026742A" w:rsidRPr="00AB7D1E">
        <w:rPr>
          <w:lang w:val="en-US"/>
        </w:rPr>
        <w:t xml:space="preserve"> (magnitude M</w:t>
      </w:r>
      <w:r w:rsidR="002A5F49">
        <w:rPr>
          <w:lang w:val="en-US"/>
        </w:rPr>
        <w:t>L</w:t>
      </w:r>
      <w:r w:rsidR="0026742A" w:rsidRPr="00AB7D1E">
        <w:rPr>
          <w:lang w:val="en-US"/>
        </w:rPr>
        <w:t>5.</w:t>
      </w:r>
      <w:r w:rsidR="00F421FE" w:rsidRPr="00AB7D1E">
        <w:rPr>
          <w:lang w:val="en-US"/>
        </w:rPr>
        <w:t>5</w:t>
      </w:r>
      <w:r w:rsidR="0026742A" w:rsidRPr="00AB7D1E">
        <w:rPr>
          <w:lang w:val="en-US"/>
        </w:rPr>
        <w:t>)</w:t>
      </w:r>
      <w:r w:rsidRPr="00AB7D1E">
        <w:rPr>
          <w:lang w:val="en-US"/>
        </w:rPr>
        <w:t>, which severely damaged public buildings, hindering the effective delivery of health and education services and directly affecting the economy of the cit</w:t>
      </w:r>
      <w:r w:rsidR="00172B27" w:rsidRPr="00AB7D1E">
        <w:rPr>
          <w:lang w:val="en-US"/>
        </w:rPr>
        <w:t>ies, municipalities</w:t>
      </w:r>
      <w:r w:rsidR="00926A1B" w:rsidRPr="00AB7D1E">
        <w:rPr>
          <w:lang w:val="en-US"/>
        </w:rPr>
        <w:t xml:space="preserve">, </w:t>
      </w:r>
      <w:r w:rsidR="00D91467" w:rsidRPr="00AB7D1E">
        <w:rPr>
          <w:lang w:val="en-US"/>
        </w:rPr>
        <w:t>counties</w:t>
      </w:r>
      <w:r w:rsidRPr="00AB7D1E">
        <w:rPr>
          <w:lang w:val="en-US"/>
        </w:rPr>
        <w:t xml:space="preserve"> and </w:t>
      </w:r>
      <w:r w:rsidR="00D91467" w:rsidRPr="00AB7D1E">
        <w:rPr>
          <w:lang w:val="en-US"/>
        </w:rPr>
        <w:t xml:space="preserve">the </w:t>
      </w:r>
      <w:r w:rsidRPr="00AB7D1E">
        <w:rPr>
          <w:lang w:val="en-US"/>
        </w:rPr>
        <w:t>country. The earthquake took place 11 days after the World Health Organization (WHO) declared COVID-19 to be a pandemic, a crisis that has stressed both the health system and public finances, which additional hinder</w:t>
      </w:r>
      <w:r w:rsidR="00D91467" w:rsidRPr="00AB7D1E">
        <w:rPr>
          <w:lang w:val="en-US"/>
        </w:rPr>
        <w:t>s</w:t>
      </w:r>
      <w:r w:rsidR="00E549EC" w:rsidRPr="00AB7D1E">
        <w:rPr>
          <w:lang w:val="en-US"/>
        </w:rPr>
        <w:t xml:space="preserve"> much needed</w:t>
      </w:r>
      <w:r w:rsidRPr="00AB7D1E">
        <w:rPr>
          <w:lang w:val="en-US"/>
        </w:rPr>
        <w:t xml:space="preserve"> earthquake recovery.</w:t>
      </w:r>
    </w:p>
    <w:p w14:paraId="7D2FC301" w14:textId="53B7D197" w:rsidR="00111EB0" w:rsidRPr="00AB7D1E" w:rsidRDefault="00111EB0" w:rsidP="00111EB0">
      <w:pPr>
        <w:rPr>
          <w:bCs/>
          <w:lang w:val="en-US"/>
        </w:rPr>
      </w:pPr>
      <w:r w:rsidRPr="00AB7D1E">
        <w:rPr>
          <w:lang w:val="en-US"/>
        </w:rPr>
        <w:t>In the addition to the above mentioned, t</w:t>
      </w:r>
      <w:r w:rsidRPr="00AB7D1E">
        <w:rPr>
          <w:bCs/>
          <w:lang w:val="en-US"/>
        </w:rPr>
        <w:t>he two shocks (earthquake and COVID-19 crisis) have also revealed that further work is needed around strengthening the institutions required for resilience and response to future shocks.</w:t>
      </w:r>
    </w:p>
    <w:p w14:paraId="242C1A3F" w14:textId="67D34191" w:rsidR="00CA1257" w:rsidRPr="00AB7D1E" w:rsidRDefault="00CA1257" w:rsidP="00CA1257">
      <w:pPr>
        <w:rPr>
          <w:lang w:val="en-US"/>
        </w:rPr>
      </w:pPr>
      <w:r w:rsidRPr="00AB7D1E">
        <w:rPr>
          <w:lang w:val="en-US"/>
        </w:rPr>
        <w:t xml:space="preserve">Given the above, within project </w:t>
      </w:r>
      <w:r w:rsidR="002D0A0E" w:rsidRPr="00AB7D1E">
        <w:rPr>
          <w:lang w:val="en-US"/>
        </w:rPr>
        <w:t xml:space="preserve">“Croatia Earthquake Recovery and Public Health Preparedness Project” </w:t>
      </w:r>
      <w:r w:rsidRPr="00AB7D1E">
        <w:rPr>
          <w:lang w:val="en-US"/>
        </w:rPr>
        <w:t xml:space="preserve">World Bank assist The Republic </w:t>
      </w:r>
      <w:r w:rsidR="005C2B6C" w:rsidRPr="00AB7D1E">
        <w:rPr>
          <w:lang w:val="en-US"/>
        </w:rPr>
        <w:t>o</w:t>
      </w:r>
      <w:r w:rsidRPr="00AB7D1E">
        <w:rPr>
          <w:lang w:val="en-US"/>
        </w:rPr>
        <w:t xml:space="preserve">f Croatia with earthquake reconstruction efforts in </w:t>
      </w:r>
      <w:r w:rsidR="002D0A0E" w:rsidRPr="00AB7D1E">
        <w:rPr>
          <w:lang w:val="en-US"/>
        </w:rPr>
        <w:t xml:space="preserve">City of </w:t>
      </w:r>
      <w:r w:rsidRPr="00AB7D1E">
        <w:rPr>
          <w:lang w:val="en-US"/>
        </w:rPr>
        <w:t xml:space="preserve">Zagreb and the </w:t>
      </w:r>
      <w:r w:rsidR="000E0604" w:rsidRPr="00AB7D1E">
        <w:rPr>
          <w:lang w:val="en-US"/>
        </w:rPr>
        <w:t xml:space="preserve">Zagreb and </w:t>
      </w:r>
      <w:proofErr w:type="spellStart"/>
      <w:r w:rsidR="000E0604" w:rsidRPr="00AB7D1E">
        <w:rPr>
          <w:lang w:val="en-US"/>
        </w:rPr>
        <w:t>Krapina-</w:t>
      </w:r>
      <w:r w:rsidR="002578B6">
        <w:rPr>
          <w:lang w:val="en-US"/>
        </w:rPr>
        <w:t>Z</w:t>
      </w:r>
      <w:r w:rsidR="000E0604" w:rsidRPr="00AB7D1E">
        <w:rPr>
          <w:lang w:val="en-US"/>
        </w:rPr>
        <w:t>agorje</w:t>
      </w:r>
      <w:proofErr w:type="spellEnd"/>
      <w:r w:rsidR="000E0604" w:rsidRPr="00AB7D1E">
        <w:rPr>
          <w:lang w:val="en-US"/>
        </w:rPr>
        <w:t xml:space="preserve"> </w:t>
      </w:r>
      <w:r w:rsidR="002D0A0E" w:rsidRPr="00AB7D1E">
        <w:rPr>
          <w:lang w:val="en-US"/>
        </w:rPr>
        <w:t>c</w:t>
      </w:r>
      <w:r w:rsidR="000E0604" w:rsidRPr="00AB7D1E">
        <w:rPr>
          <w:lang w:val="en-US"/>
        </w:rPr>
        <w:t>ounties</w:t>
      </w:r>
      <w:r w:rsidRPr="00AB7D1E">
        <w:rPr>
          <w:lang w:val="en-US"/>
        </w:rPr>
        <w:t xml:space="preserve">, improve institutional capacity for reconstruction, and strengthen national systems for public health preparedness. </w:t>
      </w:r>
    </w:p>
    <w:p w14:paraId="4DF06EAA" w14:textId="2FF62533" w:rsidR="00CA1257" w:rsidRPr="00AB7D1E" w:rsidRDefault="00CA1257" w:rsidP="00111EB0">
      <w:pPr>
        <w:rPr>
          <w:bCs/>
          <w:lang w:val="en-US"/>
        </w:rPr>
      </w:pPr>
      <w:r w:rsidRPr="00AB7D1E">
        <w:rPr>
          <w:bCs/>
          <w:lang w:val="en-US"/>
        </w:rPr>
        <w:t xml:space="preserve">The “Earthquake Recovery and Public Health Preparedness Project” consists of following </w:t>
      </w:r>
      <w:r w:rsidR="002D0A0E" w:rsidRPr="00AB7D1E">
        <w:rPr>
          <w:bCs/>
          <w:lang w:val="en-US"/>
        </w:rPr>
        <w:t>p</w:t>
      </w:r>
      <w:r w:rsidRPr="00AB7D1E">
        <w:rPr>
          <w:bCs/>
          <w:lang w:val="en-US"/>
        </w:rPr>
        <w:t xml:space="preserve">roject </w:t>
      </w:r>
      <w:r w:rsidR="002D0A0E" w:rsidRPr="00AB7D1E">
        <w:rPr>
          <w:bCs/>
          <w:lang w:val="en-US"/>
        </w:rPr>
        <w:t>c</w:t>
      </w:r>
      <w:r w:rsidRPr="00AB7D1E">
        <w:rPr>
          <w:bCs/>
          <w:lang w:val="en-US"/>
        </w:rPr>
        <w:t>omponents:</w:t>
      </w:r>
    </w:p>
    <w:p w14:paraId="43BDBDB0" w14:textId="77777777" w:rsidR="00CA1257" w:rsidRPr="00AB7D1E" w:rsidRDefault="00CA1257" w:rsidP="00CA1257">
      <w:pPr>
        <w:rPr>
          <w:b/>
          <w:lang w:val="en-US"/>
        </w:rPr>
      </w:pPr>
      <w:r w:rsidRPr="00AB7D1E">
        <w:rPr>
          <w:b/>
          <w:lang w:val="en-US"/>
        </w:rPr>
        <w:t xml:space="preserve">Component 1: Earthquake Recovery and Reconstruction </w:t>
      </w:r>
    </w:p>
    <w:p w14:paraId="057919B5" w14:textId="77777777" w:rsidR="00CA1257" w:rsidRPr="00AB7D1E" w:rsidRDefault="00CA1257" w:rsidP="00BE60A0">
      <w:pPr>
        <w:pStyle w:val="ListParagraph"/>
        <w:numPr>
          <w:ilvl w:val="0"/>
          <w:numId w:val="41"/>
        </w:numPr>
        <w:rPr>
          <w:bCs/>
          <w:lang w:val="en-US"/>
        </w:rPr>
      </w:pPr>
      <w:r w:rsidRPr="00AB7D1E">
        <w:rPr>
          <w:bCs/>
          <w:lang w:val="en-US"/>
        </w:rPr>
        <w:t>Subcomponent 1.1: Immediate Public Safety Interventions</w:t>
      </w:r>
    </w:p>
    <w:p w14:paraId="5620642C" w14:textId="77777777" w:rsidR="00CA1257" w:rsidRPr="00AB7D1E" w:rsidRDefault="00CA1257" w:rsidP="00BE60A0">
      <w:pPr>
        <w:pStyle w:val="ListParagraph"/>
        <w:numPr>
          <w:ilvl w:val="0"/>
          <w:numId w:val="41"/>
        </w:numPr>
        <w:rPr>
          <w:bCs/>
          <w:lang w:val="en-US"/>
        </w:rPr>
      </w:pPr>
      <w:r w:rsidRPr="00AB7D1E">
        <w:rPr>
          <w:bCs/>
          <w:lang w:val="en-US"/>
        </w:rPr>
        <w:t>Subcomponent 1.2: Rehabilitation and Reconstruction of Health and Education Facilities</w:t>
      </w:r>
    </w:p>
    <w:p w14:paraId="3E16E212" w14:textId="6CA37730" w:rsidR="00CA1257" w:rsidRPr="00AB7D1E" w:rsidRDefault="00CA1257" w:rsidP="00BE60A0">
      <w:pPr>
        <w:pStyle w:val="ListParagraph"/>
        <w:numPr>
          <w:ilvl w:val="0"/>
          <w:numId w:val="41"/>
        </w:numPr>
        <w:rPr>
          <w:bCs/>
          <w:lang w:val="en-US"/>
        </w:rPr>
      </w:pPr>
      <w:r w:rsidRPr="00AB7D1E">
        <w:rPr>
          <w:bCs/>
          <w:lang w:val="en-US"/>
        </w:rPr>
        <w:t>Subcomponent 1.3: Housing Reconstruction Support Program Design</w:t>
      </w:r>
    </w:p>
    <w:p w14:paraId="0EEB9F0A" w14:textId="77777777" w:rsidR="00CA1257" w:rsidRPr="00AB7D1E" w:rsidRDefault="00CA1257" w:rsidP="00CA1257">
      <w:pPr>
        <w:rPr>
          <w:b/>
          <w:lang w:val="en-US"/>
        </w:rPr>
      </w:pPr>
      <w:r w:rsidRPr="00AB7D1E">
        <w:rPr>
          <w:b/>
          <w:lang w:val="en-US"/>
        </w:rPr>
        <w:t xml:space="preserve">Component 2: </w:t>
      </w:r>
      <w:bookmarkStart w:id="6" w:name="_Hlk48078278"/>
      <w:r w:rsidRPr="00AB7D1E">
        <w:rPr>
          <w:b/>
          <w:lang w:val="en-US"/>
        </w:rPr>
        <w:t>Public Health Surveillance and Preparedness</w:t>
      </w:r>
      <w:bookmarkEnd w:id="6"/>
    </w:p>
    <w:p w14:paraId="303E8091" w14:textId="77777777" w:rsidR="00CA1257" w:rsidRPr="00AB7D1E" w:rsidRDefault="00CA1257" w:rsidP="00BE60A0">
      <w:pPr>
        <w:pStyle w:val="ListParagraph"/>
        <w:numPr>
          <w:ilvl w:val="0"/>
          <w:numId w:val="42"/>
        </w:numPr>
        <w:rPr>
          <w:bCs/>
          <w:lang w:val="en-US"/>
        </w:rPr>
      </w:pPr>
      <w:r w:rsidRPr="00AB7D1E">
        <w:rPr>
          <w:bCs/>
          <w:lang w:val="en-US"/>
        </w:rPr>
        <w:t>Subcomponent 2.1: Case management and Surveillance</w:t>
      </w:r>
    </w:p>
    <w:p w14:paraId="571A42BF" w14:textId="03E2D628" w:rsidR="00CA1257" w:rsidRPr="00AB7D1E" w:rsidRDefault="00CA1257" w:rsidP="00BE60A0">
      <w:pPr>
        <w:pStyle w:val="ListParagraph"/>
        <w:numPr>
          <w:ilvl w:val="0"/>
          <w:numId w:val="42"/>
        </w:numPr>
        <w:rPr>
          <w:bCs/>
          <w:lang w:val="en-US"/>
        </w:rPr>
      </w:pPr>
      <w:r w:rsidRPr="00AB7D1E">
        <w:rPr>
          <w:bCs/>
          <w:lang w:val="en-US"/>
        </w:rPr>
        <w:t>Subcomponent 2.2: Public Health Preparedness</w:t>
      </w:r>
    </w:p>
    <w:p w14:paraId="47AD22B5" w14:textId="70383133" w:rsidR="00CA1257" w:rsidRPr="00AB7D1E" w:rsidRDefault="00CA1257" w:rsidP="00CA1257">
      <w:pPr>
        <w:rPr>
          <w:b/>
          <w:lang w:val="en-US"/>
        </w:rPr>
      </w:pPr>
      <w:r w:rsidRPr="00AB7D1E">
        <w:rPr>
          <w:b/>
          <w:lang w:val="en-US"/>
        </w:rPr>
        <w:t>Component 3: Project Management</w:t>
      </w:r>
    </w:p>
    <w:p w14:paraId="788D0198" w14:textId="5D629F63" w:rsidR="008C5CCB" w:rsidRDefault="001A1BF6" w:rsidP="00DB35B0">
      <w:pPr>
        <w:rPr>
          <w:bCs/>
          <w:lang w:val="en-US"/>
        </w:rPr>
      </w:pPr>
      <w:r w:rsidRPr="00AB7D1E">
        <w:rPr>
          <w:bCs/>
          <w:lang w:val="en-US"/>
        </w:rPr>
        <w:t>As two distinctively separate project activities will be carried out under the first two com</w:t>
      </w:r>
      <w:r w:rsidR="00E03507" w:rsidRPr="00AB7D1E">
        <w:rPr>
          <w:bCs/>
          <w:lang w:val="en-US"/>
        </w:rPr>
        <w:t>p</w:t>
      </w:r>
      <w:r w:rsidRPr="00AB7D1E">
        <w:rPr>
          <w:bCs/>
          <w:lang w:val="en-US"/>
        </w:rPr>
        <w:t>one</w:t>
      </w:r>
      <w:r w:rsidR="00E03507" w:rsidRPr="00AB7D1E">
        <w:rPr>
          <w:bCs/>
          <w:lang w:val="en-US"/>
        </w:rPr>
        <w:t>n</w:t>
      </w:r>
      <w:r w:rsidRPr="00AB7D1E">
        <w:rPr>
          <w:bCs/>
          <w:lang w:val="en-US"/>
        </w:rPr>
        <w:t>ts (while the third component is supportive</w:t>
      </w:r>
      <w:r w:rsidR="00343291" w:rsidRPr="00AB7D1E">
        <w:rPr>
          <w:bCs/>
          <w:lang w:val="en-US"/>
        </w:rPr>
        <w:t xml:space="preserve"> of the entire Project</w:t>
      </w:r>
      <w:r w:rsidRPr="00AB7D1E">
        <w:rPr>
          <w:bCs/>
          <w:lang w:val="en-US"/>
        </w:rPr>
        <w:t>)</w:t>
      </w:r>
      <w:r w:rsidR="00343291" w:rsidRPr="00AB7D1E">
        <w:rPr>
          <w:bCs/>
          <w:lang w:val="en-US"/>
        </w:rPr>
        <w:t xml:space="preserve">, there will be two implementing bodies (Ministry of </w:t>
      </w:r>
      <w:r w:rsidR="003F4467" w:rsidRPr="00AB7D1E">
        <w:rPr>
          <w:bCs/>
          <w:lang w:val="en-US"/>
        </w:rPr>
        <w:t xml:space="preserve">Physical Planning, </w:t>
      </w:r>
      <w:r w:rsidR="00343291" w:rsidRPr="00AB7D1E">
        <w:rPr>
          <w:bCs/>
          <w:lang w:val="en-US"/>
        </w:rPr>
        <w:t xml:space="preserve">Construction and </w:t>
      </w:r>
      <w:r w:rsidR="003F4467" w:rsidRPr="00AB7D1E">
        <w:rPr>
          <w:bCs/>
          <w:lang w:val="en-US"/>
        </w:rPr>
        <w:t xml:space="preserve">State </w:t>
      </w:r>
      <w:r w:rsidR="00E03507" w:rsidRPr="00AB7D1E">
        <w:rPr>
          <w:bCs/>
          <w:lang w:val="en-US"/>
        </w:rPr>
        <w:t>Assets</w:t>
      </w:r>
      <w:r w:rsidR="00343291" w:rsidRPr="00AB7D1E">
        <w:rPr>
          <w:bCs/>
          <w:lang w:val="en-US"/>
        </w:rPr>
        <w:t>)</w:t>
      </w:r>
      <w:r w:rsidR="00E03507" w:rsidRPr="00AB7D1E">
        <w:rPr>
          <w:bCs/>
          <w:lang w:val="en-US"/>
        </w:rPr>
        <w:t xml:space="preserve"> and Ministry of Health, with separate Project </w:t>
      </w:r>
      <w:r w:rsidR="00BC44E2" w:rsidRPr="00AB7D1E">
        <w:rPr>
          <w:bCs/>
          <w:lang w:val="en-US"/>
        </w:rPr>
        <w:t>Implementation</w:t>
      </w:r>
      <w:r w:rsidR="00E03507" w:rsidRPr="00AB7D1E">
        <w:rPr>
          <w:bCs/>
          <w:lang w:val="en-US"/>
        </w:rPr>
        <w:t xml:space="preserve"> Uni</w:t>
      </w:r>
      <w:r w:rsidR="00BC44E2" w:rsidRPr="00AB7D1E">
        <w:rPr>
          <w:bCs/>
          <w:lang w:val="en-US"/>
        </w:rPr>
        <w:t>ts (PIUs). Consequently,</w:t>
      </w:r>
      <w:r w:rsidRPr="00AB7D1E">
        <w:rPr>
          <w:bCs/>
          <w:lang w:val="en-US"/>
        </w:rPr>
        <w:t xml:space="preserve"> </w:t>
      </w:r>
      <w:r w:rsidR="00BC44E2" w:rsidRPr="00AB7D1E">
        <w:rPr>
          <w:bCs/>
          <w:lang w:val="en-US"/>
        </w:rPr>
        <w:t>t</w:t>
      </w:r>
      <w:r w:rsidR="00C15C1E" w:rsidRPr="00AB7D1E">
        <w:rPr>
          <w:bCs/>
          <w:lang w:val="en-US"/>
        </w:rPr>
        <w:t xml:space="preserve">wo separate ESMFs </w:t>
      </w:r>
      <w:r w:rsidR="008E6D2F">
        <w:rPr>
          <w:bCs/>
          <w:lang w:val="en-US"/>
        </w:rPr>
        <w:t>are</w:t>
      </w:r>
      <w:r w:rsidR="00C15C1E" w:rsidRPr="00AB7D1E">
        <w:rPr>
          <w:bCs/>
          <w:lang w:val="en-US"/>
        </w:rPr>
        <w:t xml:space="preserve"> developed for </w:t>
      </w:r>
      <w:r w:rsidR="00661198" w:rsidRPr="00AB7D1E">
        <w:rPr>
          <w:bCs/>
          <w:lang w:val="en-US"/>
        </w:rPr>
        <w:t>the component 1 and 2</w:t>
      </w:r>
      <w:r w:rsidR="00A34343" w:rsidRPr="00AB7D1E">
        <w:rPr>
          <w:bCs/>
          <w:lang w:val="en-US"/>
        </w:rPr>
        <w:t>.</w:t>
      </w:r>
    </w:p>
    <w:p w14:paraId="0F0426D7" w14:textId="3E9BC2CD" w:rsidR="00111EB0" w:rsidRPr="00AB7D1E" w:rsidRDefault="00CA1257" w:rsidP="00DB35B0">
      <w:pPr>
        <w:rPr>
          <w:b/>
          <w:bCs/>
          <w:lang w:val="en-US"/>
        </w:rPr>
      </w:pPr>
      <w:r w:rsidRPr="00AB7D1E">
        <w:rPr>
          <w:b/>
          <w:bCs/>
          <w:lang w:val="en-US"/>
        </w:rPr>
        <w:t xml:space="preserve">This Environmental and Social Management Framework </w:t>
      </w:r>
      <w:r w:rsidR="005C2B6C" w:rsidRPr="00AB7D1E">
        <w:rPr>
          <w:b/>
          <w:bCs/>
          <w:lang w:val="en-US"/>
        </w:rPr>
        <w:t xml:space="preserve">(ESMF) </w:t>
      </w:r>
      <w:r w:rsidRPr="00AB7D1E">
        <w:rPr>
          <w:b/>
          <w:bCs/>
          <w:lang w:val="en-US"/>
        </w:rPr>
        <w:t xml:space="preserve">covers Component </w:t>
      </w:r>
      <w:r w:rsidR="00C9001A" w:rsidRPr="00AB7D1E">
        <w:rPr>
          <w:b/>
          <w:bCs/>
          <w:lang w:val="en-US"/>
        </w:rPr>
        <w:t>2</w:t>
      </w:r>
      <w:r w:rsidR="00215C19" w:rsidRPr="00AB7D1E">
        <w:rPr>
          <w:b/>
          <w:bCs/>
          <w:lang w:val="en-US"/>
        </w:rPr>
        <w:t xml:space="preserve"> - </w:t>
      </w:r>
      <w:r w:rsidR="00C9001A" w:rsidRPr="00AB7D1E">
        <w:rPr>
          <w:b/>
          <w:bCs/>
          <w:lang w:val="en-US"/>
        </w:rPr>
        <w:t>Public Health Surveillance and Preparedness</w:t>
      </w:r>
      <w:r w:rsidR="00215C19" w:rsidRPr="00AB7D1E">
        <w:rPr>
          <w:b/>
          <w:bCs/>
          <w:lang w:val="en-US"/>
        </w:rPr>
        <w:t>.</w:t>
      </w:r>
    </w:p>
    <w:p w14:paraId="3AF86518" w14:textId="70DF0C09" w:rsidR="002177CD" w:rsidRPr="00AB7D1E" w:rsidRDefault="00215C19" w:rsidP="002177CD">
      <w:pPr>
        <w:rPr>
          <w:lang w:val="en-US"/>
        </w:rPr>
      </w:pPr>
      <w:r w:rsidRPr="00AB7D1E">
        <w:rPr>
          <w:lang w:val="en-US"/>
        </w:rPr>
        <w:t xml:space="preserve">The Ministry of Physical Planning, Construction and State </w:t>
      </w:r>
      <w:r w:rsidR="00D90077" w:rsidRPr="00AB7D1E">
        <w:rPr>
          <w:lang w:val="en-US"/>
        </w:rPr>
        <w:t xml:space="preserve">Assets </w:t>
      </w:r>
      <w:r w:rsidR="000E0604" w:rsidRPr="00AB7D1E">
        <w:rPr>
          <w:lang w:val="en-US"/>
        </w:rPr>
        <w:t>(</w:t>
      </w:r>
      <w:proofErr w:type="spellStart"/>
      <w:r w:rsidR="000E0604" w:rsidRPr="00AB7D1E">
        <w:rPr>
          <w:lang w:val="en-US"/>
        </w:rPr>
        <w:t>MoPPCS</w:t>
      </w:r>
      <w:r w:rsidR="00D90077" w:rsidRPr="00AB7D1E">
        <w:rPr>
          <w:lang w:val="en-US"/>
        </w:rPr>
        <w:t>A</w:t>
      </w:r>
      <w:proofErr w:type="spellEnd"/>
      <w:r w:rsidR="000E0604" w:rsidRPr="00AB7D1E">
        <w:rPr>
          <w:lang w:val="en-US"/>
        </w:rPr>
        <w:t>)</w:t>
      </w:r>
      <w:r w:rsidR="00EF1934" w:rsidRPr="00AB7D1E">
        <w:rPr>
          <w:lang w:val="en-US"/>
        </w:rPr>
        <w:t xml:space="preserve"> and Ministry of Health (</w:t>
      </w:r>
      <w:proofErr w:type="spellStart"/>
      <w:r w:rsidR="00EF1934" w:rsidRPr="00AB7D1E">
        <w:rPr>
          <w:lang w:val="en-US"/>
        </w:rPr>
        <w:t>MoH</w:t>
      </w:r>
      <w:proofErr w:type="spellEnd"/>
      <w:r w:rsidR="00EF1934" w:rsidRPr="00AB7D1E">
        <w:rPr>
          <w:lang w:val="en-US"/>
        </w:rPr>
        <w:t>)</w:t>
      </w:r>
      <w:r w:rsidR="005E633B" w:rsidRPr="00AB7D1E">
        <w:rPr>
          <w:lang w:val="en-US"/>
        </w:rPr>
        <w:t xml:space="preserve"> </w:t>
      </w:r>
      <w:r w:rsidRPr="00AB7D1E">
        <w:rPr>
          <w:lang w:val="en-US"/>
        </w:rPr>
        <w:t>allocation of funds from the Loan (US$</w:t>
      </w:r>
      <w:r w:rsidR="0010608B" w:rsidRPr="00AB7D1E">
        <w:rPr>
          <w:lang w:val="en-US"/>
        </w:rPr>
        <w:t xml:space="preserve"> 15.00</w:t>
      </w:r>
      <w:r w:rsidRPr="00AB7D1E">
        <w:rPr>
          <w:lang w:val="en-US"/>
        </w:rPr>
        <w:t xml:space="preserve"> million) by the World Bank will use for the purpose of </w:t>
      </w:r>
      <w:r w:rsidR="00EF1934" w:rsidRPr="00AB7D1E">
        <w:rPr>
          <w:lang w:val="en-US"/>
        </w:rPr>
        <w:t xml:space="preserve">strengthening core public health preparedness and health system capabilities for the .prevention and effective management of future infectious disease outbreaks. Component 2 will </w:t>
      </w:r>
      <w:r w:rsidR="00AE236C" w:rsidRPr="00AB7D1E">
        <w:rPr>
          <w:lang w:val="en-US"/>
        </w:rPr>
        <w:t>support the</w:t>
      </w:r>
      <w:r w:rsidR="00613FE8" w:rsidRPr="00AB7D1E">
        <w:rPr>
          <w:lang w:val="en-US"/>
        </w:rPr>
        <w:t xml:space="preserve"> provision of</w:t>
      </w:r>
      <w:r w:rsidR="002177CD" w:rsidRPr="00AB7D1E">
        <w:rPr>
          <w:lang w:val="en-US"/>
        </w:rPr>
        <w:t>:</w:t>
      </w:r>
    </w:p>
    <w:p w14:paraId="22BD8D6C" w14:textId="10FDDF7C" w:rsidR="002177CD" w:rsidRPr="00AB7D1E" w:rsidRDefault="005D5588" w:rsidP="00BE60A0">
      <w:pPr>
        <w:pStyle w:val="ListParagraph"/>
        <w:numPr>
          <w:ilvl w:val="0"/>
          <w:numId w:val="47"/>
        </w:numPr>
        <w:rPr>
          <w:lang w:val="en-US"/>
        </w:rPr>
      </w:pPr>
      <w:bookmarkStart w:id="7" w:name="_Hlk48138222"/>
      <w:r w:rsidRPr="00AB7D1E">
        <w:rPr>
          <w:lang w:val="en-US"/>
        </w:rPr>
        <w:t>Medical</w:t>
      </w:r>
      <w:r w:rsidR="00EF1934" w:rsidRPr="00AB7D1E">
        <w:rPr>
          <w:lang w:val="en-US"/>
        </w:rPr>
        <w:t xml:space="preserve"> equipment and supplies</w:t>
      </w:r>
      <w:r w:rsidR="002D0A0E" w:rsidRPr="00AB7D1E">
        <w:rPr>
          <w:lang w:val="en-US"/>
        </w:rPr>
        <w:t>;</w:t>
      </w:r>
    </w:p>
    <w:p w14:paraId="14F7B515" w14:textId="7673563C" w:rsidR="002177CD" w:rsidRPr="00AB7D1E" w:rsidRDefault="00EF1934" w:rsidP="00BE60A0">
      <w:pPr>
        <w:pStyle w:val="ListParagraph"/>
        <w:numPr>
          <w:ilvl w:val="0"/>
          <w:numId w:val="47"/>
        </w:numPr>
        <w:rPr>
          <w:lang w:val="en-US"/>
        </w:rPr>
      </w:pPr>
      <w:r w:rsidRPr="00AB7D1E">
        <w:rPr>
          <w:lang w:val="en-US"/>
        </w:rPr>
        <w:t>National guidelines for surveillance updated for 15 health conditions</w:t>
      </w:r>
      <w:r w:rsidR="002D0A0E" w:rsidRPr="00AB7D1E">
        <w:rPr>
          <w:lang w:val="en-US"/>
        </w:rPr>
        <w:t>;</w:t>
      </w:r>
    </w:p>
    <w:p w14:paraId="50DF0561" w14:textId="41C032DC" w:rsidR="002177CD" w:rsidRPr="00AB7D1E" w:rsidRDefault="00EF1934" w:rsidP="00BE60A0">
      <w:pPr>
        <w:pStyle w:val="ListParagraph"/>
        <w:numPr>
          <w:ilvl w:val="0"/>
          <w:numId w:val="47"/>
        </w:numPr>
        <w:rPr>
          <w:lang w:val="en-US"/>
        </w:rPr>
      </w:pPr>
      <w:r w:rsidRPr="00C847A5">
        <w:rPr>
          <w:lang w:val="en-US"/>
        </w:rPr>
        <w:lastRenderedPageBreak/>
        <w:t>Sentinel sites</w:t>
      </w:r>
      <w:r w:rsidRPr="00AB7D1E">
        <w:rPr>
          <w:lang w:val="en-US"/>
        </w:rPr>
        <w:t xml:space="preserve"> for respiratory viruses for quarterly reports</w:t>
      </w:r>
      <w:r w:rsidR="002D0A0E" w:rsidRPr="00AB7D1E">
        <w:rPr>
          <w:lang w:val="en-US"/>
        </w:rPr>
        <w:t>;</w:t>
      </w:r>
    </w:p>
    <w:p w14:paraId="6F49BC00" w14:textId="056BED87" w:rsidR="002177CD" w:rsidRPr="00AB7D1E" w:rsidRDefault="00EF1934" w:rsidP="00BE60A0">
      <w:pPr>
        <w:pStyle w:val="ListParagraph"/>
        <w:numPr>
          <w:ilvl w:val="0"/>
          <w:numId w:val="47"/>
        </w:numPr>
        <w:rPr>
          <w:lang w:val="en-US"/>
        </w:rPr>
      </w:pPr>
      <w:r w:rsidRPr="00AB7D1E">
        <w:rPr>
          <w:lang w:val="en-US"/>
        </w:rPr>
        <w:t>Assessment of surveillance system (domestic and international)</w:t>
      </w:r>
      <w:r w:rsidR="002D0A0E" w:rsidRPr="00AB7D1E">
        <w:rPr>
          <w:lang w:val="en-US"/>
        </w:rPr>
        <w:t>;</w:t>
      </w:r>
    </w:p>
    <w:p w14:paraId="06B1461F" w14:textId="18841216" w:rsidR="002177CD" w:rsidRPr="00AB7D1E" w:rsidRDefault="00EF1934" w:rsidP="00BE60A0">
      <w:pPr>
        <w:pStyle w:val="ListParagraph"/>
        <w:numPr>
          <w:ilvl w:val="0"/>
          <w:numId w:val="47"/>
        </w:numPr>
        <w:rPr>
          <w:lang w:val="en-US"/>
        </w:rPr>
      </w:pPr>
      <w:r w:rsidRPr="00AB7D1E">
        <w:rPr>
          <w:lang w:val="en-US"/>
        </w:rPr>
        <w:t>Surveillance sites established for gender-related violence</w:t>
      </w:r>
      <w:r w:rsidR="002D0A0E" w:rsidRPr="00AB7D1E">
        <w:rPr>
          <w:lang w:val="en-US"/>
        </w:rPr>
        <w:t>;</w:t>
      </w:r>
    </w:p>
    <w:p w14:paraId="1CA18448" w14:textId="1DB698C1" w:rsidR="002177CD" w:rsidRPr="00AB7D1E" w:rsidRDefault="00EF1934" w:rsidP="00BE60A0">
      <w:pPr>
        <w:pStyle w:val="ListParagraph"/>
        <w:numPr>
          <w:ilvl w:val="0"/>
          <w:numId w:val="47"/>
        </w:numPr>
        <w:rPr>
          <w:lang w:val="en-US"/>
        </w:rPr>
      </w:pPr>
      <w:r w:rsidRPr="00AB7D1E">
        <w:rPr>
          <w:lang w:val="en-US"/>
        </w:rPr>
        <w:t>COVID cases reported and investigated per approved protocol (disaggregated by gender) (Percentage)</w:t>
      </w:r>
      <w:r w:rsidR="002D0A0E" w:rsidRPr="00AB7D1E">
        <w:rPr>
          <w:lang w:val="en-US"/>
        </w:rPr>
        <w:t>;</w:t>
      </w:r>
    </w:p>
    <w:p w14:paraId="59DE20E9" w14:textId="77369D35" w:rsidR="002177CD" w:rsidRPr="00AB7D1E" w:rsidRDefault="008E2B6A" w:rsidP="00BE60A0">
      <w:pPr>
        <w:pStyle w:val="ListParagraph"/>
        <w:numPr>
          <w:ilvl w:val="0"/>
          <w:numId w:val="47"/>
        </w:numPr>
        <w:rPr>
          <w:lang w:val="en-US"/>
        </w:rPr>
      </w:pPr>
      <w:r w:rsidRPr="00AB7D1E">
        <w:rPr>
          <w:lang w:val="en-US"/>
        </w:rPr>
        <w:t>E</w:t>
      </w:r>
      <w:r w:rsidR="00771479" w:rsidRPr="00AB7D1E">
        <w:rPr>
          <w:lang w:val="en-US"/>
        </w:rPr>
        <w:t>mergency medical service</w:t>
      </w:r>
      <w:r w:rsidR="00EF1934" w:rsidRPr="00AB7D1E">
        <w:rPr>
          <w:lang w:val="en-US"/>
        </w:rPr>
        <w:t xml:space="preserve"> vehicles, isolation units and telemedicine</w:t>
      </w:r>
      <w:r w:rsidR="002D0A0E" w:rsidRPr="00AB7D1E">
        <w:rPr>
          <w:lang w:val="en-US"/>
        </w:rPr>
        <w:t>;</w:t>
      </w:r>
    </w:p>
    <w:p w14:paraId="5C1862AE" w14:textId="364875CA" w:rsidR="002177CD" w:rsidRPr="00AB7D1E" w:rsidRDefault="00EF1934" w:rsidP="00BE60A0">
      <w:pPr>
        <w:pStyle w:val="ListParagraph"/>
        <w:numPr>
          <w:ilvl w:val="0"/>
          <w:numId w:val="47"/>
        </w:numPr>
        <w:rPr>
          <w:lang w:val="en-US"/>
        </w:rPr>
      </w:pPr>
      <w:r w:rsidRPr="00AB7D1E">
        <w:rPr>
          <w:lang w:val="en-US"/>
        </w:rPr>
        <w:t>Emergency medicine training</w:t>
      </w:r>
      <w:r w:rsidR="002D0A0E" w:rsidRPr="00AB7D1E">
        <w:rPr>
          <w:lang w:val="en-US"/>
        </w:rPr>
        <w:t>;</w:t>
      </w:r>
    </w:p>
    <w:p w14:paraId="2E9D228D" w14:textId="1B6FB615" w:rsidR="00EF1934" w:rsidRPr="00AB7D1E" w:rsidRDefault="008E2B6A" w:rsidP="00BE60A0">
      <w:pPr>
        <w:pStyle w:val="ListParagraph"/>
        <w:numPr>
          <w:ilvl w:val="0"/>
          <w:numId w:val="47"/>
        </w:numPr>
        <w:rPr>
          <w:lang w:val="en-US"/>
        </w:rPr>
      </w:pPr>
      <w:r w:rsidRPr="00AB7D1E">
        <w:rPr>
          <w:lang w:val="en-US"/>
        </w:rPr>
        <w:t>P</w:t>
      </w:r>
      <w:r w:rsidR="00771479" w:rsidRPr="00AB7D1E">
        <w:rPr>
          <w:lang w:val="en-US"/>
        </w:rPr>
        <w:t>ersonal protective equipment</w:t>
      </w:r>
      <w:r w:rsidR="002D0A0E" w:rsidRPr="00AB7D1E">
        <w:rPr>
          <w:lang w:val="en-US"/>
        </w:rPr>
        <w:t>;</w:t>
      </w:r>
    </w:p>
    <w:p w14:paraId="7F7DB46A" w14:textId="5786E39C" w:rsidR="002177CD" w:rsidRPr="00AB7D1E" w:rsidRDefault="005B4F76" w:rsidP="00BE60A0">
      <w:pPr>
        <w:pStyle w:val="ListParagraph"/>
        <w:numPr>
          <w:ilvl w:val="0"/>
          <w:numId w:val="47"/>
        </w:numPr>
        <w:rPr>
          <w:lang w:val="en-US"/>
        </w:rPr>
      </w:pPr>
      <w:r w:rsidRPr="00AB7D1E">
        <w:rPr>
          <w:lang w:val="en-US"/>
        </w:rPr>
        <w:t>Repair</w:t>
      </w:r>
      <w:r w:rsidR="002D0A0E" w:rsidRPr="00AB7D1E">
        <w:rPr>
          <w:lang w:val="en-US"/>
        </w:rPr>
        <w:t xml:space="preserve"> and </w:t>
      </w:r>
      <w:r w:rsidRPr="00AB7D1E">
        <w:rPr>
          <w:lang w:val="en-US"/>
        </w:rPr>
        <w:t>rehabilitation</w:t>
      </w:r>
      <w:r w:rsidR="002D0A0E" w:rsidRPr="00AB7D1E">
        <w:rPr>
          <w:lang w:val="en-US"/>
        </w:rPr>
        <w:t xml:space="preserve"> </w:t>
      </w:r>
      <w:r w:rsidRPr="00AB7D1E">
        <w:rPr>
          <w:lang w:val="en-US"/>
        </w:rPr>
        <w:t>of public health laboratories</w:t>
      </w:r>
      <w:r w:rsidR="002D0A0E" w:rsidRPr="00AB7D1E">
        <w:rPr>
          <w:lang w:val="en-US"/>
        </w:rPr>
        <w:t>.</w:t>
      </w:r>
    </w:p>
    <w:bookmarkEnd w:id="7"/>
    <w:p w14:paraId="139AD271" w14:textId="14245882" w:rsidR="005C2B6C" w:rsidRPr="00AB7D1E" w:rsidRDefault="0049017F" w:rsidP="005C2B6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Environmental and Social Management Framework</w:t>
      </w:r>
      <w:r w:rsidR="00DA5B37" w:rsidRPr="00AB7D1E">
        <w:rPr>
          <w:rFonts w:ascii="Calibri" w:hAnsi="Calibri" w:cs="Calibri"/>
          <w:lang w:val="en-US"/>
        </w:rPr>
        <w:t xml:space="preserve"> (ESMF)</w:t>
      </w:r>
      <w:r w:rsidRPr="00AB7D1E">
        <w:rPr>
          <w:rFonts w:ascii="Calibri" w:hAnsi="Calibri" w:cs="Calibri"/>
          <w:lang w:val="en-US"/>
        </w:rPr>
        <w:t xml:space="preserve"> </w:t>
      </w:r>
      <w:r w:rsidR="005C2B6C" w:rsidRPr="00AB7D1E">
        <w:rPr>
          <w:rFonts w:ascii="Calibri" w:hAnsi="Calibri" w:cs="Calibri"/>
          <w:lang w:val="en-US"/>
        </w:rPr>
        <w:t xml:space="preserve">document is the environmental and social due diligence instrument made to ensure that the proposed </w:t>
      </w:r>
      <w:r w:rsidRPr="00AB7D1E">
        <w:rPr>
          <w:rFonts w:ascii="Calibri" w:hAnsi="Calibri" w:cs="Calibri"/>
          <w:lang w:val="en-US"/>
        </w:rPr>
        <w:t>p</w:t>
      </w:r>
      <w:r w:rsidR="005C2B6C" w:rsidRPr="00AB7D1E">
        <w:rPr>
          <w:rFonts w:ascii="Calibri" w:hAnsi="Calibri" w:cs="Calibri"/>
          <w:lang w:val="en-US"/>
        </w:rPr>
        <w:t>roject is implemented in accordance with the World Bank operational guidelines</w:t>
      </w:r>
      <w:r w:rsidR="007E04D6" w:rsidRPr="00AB7D1E">
        <w:rPr>
          <w:rFonts w:ascii="Calibri" w:hAnsi="Calibri" w:cs="Calibri"/>
          <w:lang w:val="en-US"/>
        </w:rPr>
        <w:t xml:space="preserve">, including WB </w:t>
      </w:r>
      <w:r w:rsidR="003B1F39" w:rsidRPr="00AB7D1E">
        <w:rPr>
          <w:rFonts w:ascii="Calibri" w:hAnsi="Calibri" w:cs="Calibri"/>
          <w:lang w:val="en-US"/>
        </w:rPr>
        <w:t>Environmental</w:t>
      </w:r>
      <w:r w:rsidR="007E04D6" w:rsidRPr="00AB7D1E">
        <w:rPr>
          <w:rFonts w:ascii="Calibri" w:hAnsi="Calibri" w:cs="Calibri"/>
          <w:lang w:val="en-US"/>
        </w:rPr>
        <w:t>, Health and S</w:t>
      </w:r>
      <w:r w:rsidR="00375C19" w:rsidRPr="00AB7D1E">
        <w:rPr>
          <w:rFonts w:ascii="Calibri" w:hAnsi="Calibri" w:cs="Calibri"/>
          <w:lang w:val="en-US"/>
        </w:rPr>
        <w:t>afety</w:t>
      </w:r>
      <w:r w:rsidR="007E04D6" w:rsidRPr="00AB7D1E">
        <w:rPr>
          <w:rFonts w:ascii="Calibri" w:hAnsi="Calibri" w:cs="Calibri"/>
          <w:lang w:val="en-US"/>
        </w:rPr>
        <w:t xml:space="preserve"> Guidelines</w:t>
      </w:r>
      <w:r w:rsidR="003B1F39" w:rsidRPr="00AB7D1E">
        <w:rPr>
          <w:rFonts w:ascii="Calibri" w:hAnsi="Calibri" w:cs="Calibri"/>
          <w:lang w:val="en-US"/>
        </w:rPr>
        <w:t xml:space="preserve"> (EHSG)</w:t>
      </w:r>
      <w:r w:rsidR="005C2B6C" w:rsidRPr="00AB7D1E">
        <w:rPr>
          <w:rFonts w:ascii="Calibri" w:hAnsi="Calibri" w:cs="Calibri"/>
          <w:lang w:val="en-US"/>
        </w:rPr>
        <w:t xml:space="preserve">, </w:t>
      </w:r>
      <w:r w:rsidRPr="00AB7D1E">
        <w:rPr>
          <w:rFonts w:ascii="Calibri" w:hAnsi="Calibri" w:cs="Calibri"/>
          <w:lang w:val="en-US"/>
        </w:rPr>
        <w:t>World Bank Environmental and Social Standards (</w:t>
      </w:r>
      <w:r w:rsidR="005C2B6C" w:rsidRPr="00AB7D1E">
        <w:rPr>
          <w:rFonts w:ascii="Calibri" w:hAnsi="Calibri" w:cs="Calibri"/>
          <w:lang w:val="en-US"/>
        </w:rPr>
        <w:t>ESS</w:t>
      </w:r>
      <w:r w:rsidRPr="00AB7D1E">
        <w:rPr>
          <w:rFonts w:ascii="Calibri" w:hAnsi="Calibri" w:cs="Calibri"/>
          <w:lang w:val="en-US"/>
        </w:rPr>
        <w:t>)</w:t>
      </w:r>
      <w:r w:rsidR="005C2B6C" w:rsidRPr="00AB7D1E">
        <w:rPr>
          <w:rFonts w:ascii="Calibri" w:hAnsi="Calibri" w:cs="Calibri"/>
          <w:lang w:val="en-US"/>
        </w:rPr>
        <w:t xml:space="preserve"> and </w:t>
      </w:r>
      <w:r w:rsidR="00CC4CB6" w:rsidRPr="00AB7D1E">
        <w:rPr>
          <w:rFonts w:ascii="Calibri" w:hAnsi="Calibri" w:cs="Calibri"/>
          <w:lang w:val="en-US"/>
        </w:rPr>
        <w:t xml:space="preserve">national </w:t>
      </w:r>
      <w:r w:rsidR="005C2B6C" w:rsidRPr="00AB7D1E">
        <w:rPr>
          <w:rFonts w:ascii="Calibri" w:hAnsi="Calibri" w:cs="Calibri"/>
          <w:lang w:val="en-US"/>
        </w:rPr>
        <w:t>legislation related to environmental</w:t>
      </w:r>
      <w:r w:rsidR="00CC4CB6" w:rsidRPr="00AB7D1E">
        <w:rPr>
          <w:rFonts w:ascii="Calibri" w:hAnsi="Calibri" w:cs="Calibri"/>
          <w:lang w:val="en-US"/>
        </w:rPr>
        <w:t xml:space="preserve"> and social</w:t>
      </w:r>
      <w:r w:rsidR="005C2B6C" w:rsidRPr="00AB7D1E">
        <w:rPr>
          <w:rFonts w:ascii="Calibri" w:hAnsi="Calibri" w:cs="Calibri"/>
          <w:lang w:val="en-US"/>
        </w:rPr>
        <w:t xml:space="preserve"> protection, as well as</w:t>
      </w:r>
      <w:r w:rsidR="00CC4CB6" w:rsidRPr="00AB7D1E">
        <w:rPr>
          <w:rFonts w:ascii="Calibri" w:hAnsi="Calibri" w:cs="Calibri"/>
          <w:lang w:val="en-US"/>
        </w:rPr>
        <w:t>,</w:t>
      </w:r>
      <w:r w:rsidR="005C2B6C" w:rsidRPr="00AB7D1E">
        <w:rPr>
          <w:rFonts w:ascii="Calibri" w:hAnsi="Calibri" w:cs="Calibri"/>
          <w:lang w:val="en-US"/>
        </w:rPr>
        <w:t xml:space="preserve"> a </w:t>
      </w:r>
      <w:r w:rsidR="00791BC3" w:rsidRPr="00AB7D1E">
        <w:rPr>
          <w:rFonts w:ascii="Calibri" w:hAnsi="Calibri" w:cs="Calibri"/>
          <w:lang w:val="en-US"/>
        </w:rPr>
        <w:t xml:space="preserve">mandatory </w:t>
      </w:r>
      <w:r w:rsidR="005C2B6C" w:rsidRPr="00AB7D1E">
        <w:rPr>
          <w:rFonts w:ascii="Calibri" w:hAnsi="Calibri" w:cs="Calibri"/>
          <w:lang w:val="en-US"/>
        </w:rPr>
        <w:t xml:space="preserve">practical tool to be used during design, implementation, and monitoring of the </w:t>
      </w:r>
      <w:r w:rsidR="00CC4CB6" w:rsidRPr="00AB7D1E">
        <w:rPr>
          <w:rFonts w:ascii="Calibri" w:hAnsi="Calibri" w:cs="Calibri"/>
          <w:lang w:val="en-US"/>
        </w:rPr>
        <w:t>p</w:t>
      </w:r>
      <w:r w:rsidR="005C2B6C" w:rsidRPr="00AB7D1E">
        <w:rPr>
          <w:rFonts w:ascii="Calibri" w:hAnsi="Calibri" w:cs="Calibri"/>
          <w:lang w:val="en-US"/>
        </w:rPr>
        <w:t xml:space="preserve">roject activities. The ESMF also defines the implementation and institutional responsibilities of various stakeholders involved in the project implementation. The </w:t>
      </w:r>
      <w:r w:rsidR="00A507B1" w:rsidRPr="00AB7D1E">
        <w:rPr>
          <w:rFonts w:ascii="Calibri" w:hAnsi="Calibri" w:cs="Calibri"/>
          <w:lang w:val="en-US"/>
        </w:rPr>
        <w:t xml:space="preserve">ESMF provides an overview of </w:t>
      </w:r>
      <w:r w:rsidR="005C2B6C" w:rsidRPr="00AB7D1E">
        <w:rPr>
          <w:rFonts w:ascii="Calibri" w:hAnsi="Calibri" w:cs="Calibri"/>
          <w:lang w:val="en-US"/>
        </w:rPr>
        <w:t xml:space="preserve">environmental </w:t>
      </w:r>
      <w:r w:rsidR="00CC4CB6" w:rsidRPr="00AB7D1E">
        <w:rPr>
          <w:rFonts w:ascii="Calibri" w:hAnsi="Calibri" w:cs="Calibri"/>
          <w:lang w:val="en-US"/>
        </w:rPr>
        <w:t xml:space="preserve">and social </w:t>
      </w:r>
      <w:r w:rsidR="005C2B6C" w:rsidRPr="00AB7D1E">
        <w:rPr>
          <w:rFonts w:ascii="Calibri" w:hAnsi="Calibri" w:cs="Calibri"/>
          <w:lang w:val="en-US"/>
        </w:rPr>
        <w:t>policies</w:t>
      </w:r>
      <w:r w:rsidR="00CB0C98" w:rsidRPr="00AB7D1E">
        <w:rPr>
          <w:rFonts w:ascii="Calibri" w:hAnsi="Calibri" w:cs="Calibri"/>
          <w:lang w:val="en-US"/>
        </w:rPr>
        <w:t>, institutional</w:t>
      </w:r>
      <w:r w:rsidR="005C2B6C" w:rsidRPr="00AB7D1E">
        <w:rPr>
          <w:rFonts w:ascii="Calibri" w:hAnsi="Calibri" w:cs="Calibri"/>
          <w:lang w:val="en-US"/>
        </w:rPr>
        <w:t xml:space="preserve"> and legal </w:t>
      </w:r>
      <w:r w:rsidR="00A507B1" w:rsidRPr="00AB7D1E">
        <w:rPr>
          <w:rFonts w:ascii="Calibri" w:hAnsi="Calibri" w:cs="Calibri"/>
          <w:lang w:val="en-US"/>
        </w:rPr>
        <w:t xml:space="preserve"> framework </w:t>
      </w:r>
      <w:r w:rsidR="005C2B6C" w:rsidRPr="00AB7D1E">
        <w:rPr>
          <w:rFonts w:ascii="Calibri" w:hAnsi="Calibri" w:cs="Calibri"/>
          <w:lang w:val="en-US"/>
        </w:rPr>
        <w:t xml:space="preserve">of the </w:t>
      </w:r>
      <w:r w:rsidRPr="00AB7D1E">
        <w:rPr>
          <w:rFonts w:ascii="Calibri" w:hAnsi="Calibri" w:cs="Calibri"/>
          <w:lang w:val="en-US"/>
        </w:rPr>
        <w:t>Croatia</w:t>
      </w:r>
      <w:r w:rsidR="005C2B6C" w:rsidRPr="00AB7D1E">
        <w:rPr>
          <w:rFonts w:ascii="Calibri" w:hAnsi="Calibri" w:cs="Calibri"/>
          <w:lang w:val="en-US"/>
        </w:rPr>
        <w:t xml:space="preserve"> and </w:t>
      </w:r>
      <w:r w:rsidR="007675F8" w:rsidRPr="00AB7D1E">
        <w:rPr>
          <w:rFonts w:ascii="Calibri" w:hAnsi="Calibri" w:cs="Calibri"/>
          <w:lang w:val="en-US"/>
        </w:rPr>
        <w:t>Environmental and Social Standards (</w:t>
      </w:r>
      <w:r w:rsidR="005C2B6C" w:rsidRPr="00AB7D1E">
        <w:rPr>
          <w:rFonts w:ascii="Calibri" w:hAnsi="Calibri" w:cs="Calibri"/>
          <w:lang w:val="en-US"/>
        </w:rPr>
        <w:t>ESS</w:t>
      </w:r>
      <w:r w:rsidR="007675F8" w:rsidRPr="00AB7D1E">
        <w:rPr>
          <w:rFonts w:ascii="Calibri" w:hAnsi="Calibri" w:cs="Calibri"/>
          <w:lang w:val="en-US"/>
        </w:rPr>
        <w:t>)</w:t>
      </w:r>
      <w:r w:rsidR="005C2B6C" w:rsidRPr="00AB7D1E">
        <w:rPr>
          <w:rFonts w:ascii="Calibri" w:hAnsi="Calibri" w:cs="Calibri"/>
          <w:lang w:val="en-US"/>
        </w:rPr>
        <w:t xml:space="preserve"> of the WB; presents the institutional and capacity assessment related to the environmental</w:t>
      </w:r>
      <w:r w:rsidR="00CC4CB6" w:rsidRPr="00AB7D1E">
        <w:rPr>
          <w:rFonts w:ascii="Calibri" w:hAnsi="Calibri" w:cs="Calibri"/>
          <w:lang w:val="en-US"/>
        </w:rPr>
        <w:t xml:space="preserve"> and social</w:t>
      </w:r>
      <w:r w:rsidR="005C2B6C" w:rsidRPr="00AB7D1E">
        <w:rPr>
          <w:rFonts w:ascii="Calibri" w:hAnsi="Calibri" w:cs="Calibri"/>
          <w:lang w:val="en-US"/>
        </w:rPr>
        <w:t xml:space="preserve"> management</w:t>
      </w:r>
      <w:r w:rsidR="00A063EB" w:rsidRPr="00AB7D1E">
        <w:rPr>
          <w:rFonts w:ascii="Calibri" w:hAnsi="Calibri" w:cs="Calibri"/>
          <w:lang w:val="en-US"/>
        </w:rPr>
        <w:t xml:space="preserve"> of the Project</w:t>
      </w:r>
      <w:r w:rsidR="005C2B6C" w:rsidRPr="00AB7D1E">
        <w:rPr>
          <w:rFonts w:ascii="Calibri" w:hAnsi="Calibri" w:cs="Calibri"/>
          <w:lang w:val="en-US"/>
        </w:rPr>
        <w:t xml:space="preserve">; and describes the principles, objectives and approach to be followed while </w:t>
      </w:r>
      <w:r w:rsidR="00451B2F" w:rsidRPr="00AB7D1E">
        <w:rPr>
          <w:rFonts w:ascii="Calibri" w:hAnsi="Calibri" w:cs="Calibri"/>
          <w:lang w:val="en-US"/>
        </w:rPr>
        <w:t xml:space="preserve">assessing the E&amp;S risks of Project activities and </w:t>
      </w:r>
      <w:r w:rsidR="005C2B6C" w:rsidRPr="00AB7D1E">
        <w:rPr>
          <w:rFonts w:ascii="Calibri" w:hAnsi="Calibri" w:cs="Calibri"/>
          <w:lang w:val="en-US"/>
        </w:rPr>
        <w:t>designing  environmental</w:t>
      </w:r>
      <w:r w:rsidR="00CC4CB6" w:rsidRPr="00AB7D1E">
        <w:rPr>
          <w:rFonts w:ascii="Calibri" w:hAnsi="Calibri" w:cs="Calibri"/>
          <w:lang w:val="en-US"/>
        </w:rPr>
        <w:t xml:space="preserve"> and social</w:t>
      </w:r>
      <w:r w:rsidR="005C2B6C" w:rsidRPr="00AB7D1E">
        <w:rPr>
          <w:rFonts w:ascii="Calibri" w:hAnsi="Calibri" w:cs="Calibri"/>
          <w:lang w:val="en-US"/>
        </w:rPr>
        <w:t xml:space="preserve"> mitigation measures.</w:t>
      </w:r>
    </w:p>
    <w:p w14:paraId="40D724E8" w14:textId="6BB59D4A" w:rsidR="00271573" w:rsidRDefault="006834CA" w:rsidP="005C2B6C">
      <w:pPr>
        <w:suppressAutoHyphens w:val="0"/>
        <w:autoSpaceDN/>
        <w:spacing w:before="0" w:line="276" w:lineRule="auto"/>
        <w:textAlignment w:val="auto"/>
        <w:rPr>
          <w:rFonts w:ascii="Calibri" w:hAnsi="Calibri" w:cs="Calibri"/>
          <w:lang w:val="en-US"/>
        </w:rPr>
      </w:pPr>
      <w:r w:rsidRPr="006834CA">
        <w:rPr>
          <w:rFonts w:ascii="Calibri" w:hAnsi="Calibri" w:cs="Calibri"/>
          <w:lang w:val="en-US"/>
        </w:rPr>
        <w:t>Seven out of the ten Environmental and Social Standards (ESSs) of the WBs ESF have been screened as relevant for the overall Project: ESS1 Assessment and Management of Environmental and Social Risks and Impacts, ESS2 Labor and Working Conditions, ESS3 Resource Efficiency and Pollution Prevention and Management, ESS4 Community Health and Safety, ESS6 Biodiversity Conservation and Sustainable Management of Living Natural Resources, ESS8 Cultural Heritage, and ESS10 Stakeholder Engagement and Information Disclosure.</w:t>
      </w:r>
      <w:r w:rsidR="00271573" w:rsidRPr="00AB7D1E">
        <w:rPr>
          <w:rFonts w:ascii="Calibri" w:hAnsi="Calibri" w:cs="Calibri"/>
          <w:lang w:val="en-US"/>
        </w:rPr>
        <w:t xml:space="preserve"> </w:t>
      </w:r>
    </w:p>
    <w:p w14:paraId="188873A0" w14:textId="0E4AF894" w:rsidR="006B69F2" w:rsidRPr="00AB7D1E" w:rsidRDefault="00B2504F" w:rsidP="005C2B6C">
      <w:pPr>
        <w:suppressAutoHyphens w:val="0"/>
        <w:autoSpaceDN/>
        <w:spacing w:before="0" w:line="276" w:lineRule="auto"/>
        <w:textAlignment w:val="auto"/>
        <w:rPr>
          <w:rFonts w:ascii="Calibri" w:hAnsi="Calibri" w:cs="Calibri"/>
          <w:lang w:val="en-US"/>
        </w:rPr>
      </w:pPr>
      <w:r>
        <w:rPr>
          <w:rFonts w:ascii="Calibri" w:hAnsi="Calibri" w:cs="Calibri"/>
          <w:lang w:val="en-US"/>
        </w:rPr>
        <w:t xml:space="preserve">The </w:t>
      </w:r>
      <w:r w:rsidRPr="00B2504F">
        <w:rPr>
          <w:rFonts w:ascii="Calibri" w:hAnsi="Calibri" w:cs="Calibri"/>
          <w:lang w:val="en-US"/>
        </w:rPr>
        <w:t xml:space="preserve">environmental and social risks </w:t>
      </w:r>
      <w:r>
        <w:rPr>
          <w:rFonts w:ascii="Calibri" w:hAnsi="Calibri" w:cs="Calibri"/>
          <w:lang w:val="en-US"/>
        </w:rPr>
        <w:t>for the overall Project are rated as</w:t>
      </w:r>
      <w:r w:rsidRPr="00B2504F">
        <w:rPr>
          <w:rFonts w:ascii="Calibri" w:hAnsi="Calibri" w:cs="Calibri"/>
          <w:lang w:val="en-US"/>
        </w:rPr>
        <w:t xml:space="preserve"> Substantial. The planned interventions related to immediate recovery and rehabilitation of structures, potential demolition of unsafe buildings, and the construction of new buildings carry risks typical for construction works: operational health and safety risks, community health and safety risks, dust and noise emissions, traffic disruption, generation of large quantities of construction waste, exposure of workers and building occupants to hazard materials before and during demolition and rehabilitation activities; unsafe working conditions; and poor occupational health and safety practices. The efforts to curb and minimize effects of the COVID-19 outbreak pose the following risks: generation, management, storage, and disposal/treatment of medical waste, including infectious waste; risks related to management, storage, and disposal of chemicals; and occupational health and safety risks related to working in highly contagious environments and to availability and use of protective equipment and hygiene materials. To address these risks, </w:t>
      </w:r>
      <w:r>
        <w:rPr>
          <w:rFonts w:ascii="Calibri" w:hAnsi="Calibri" w:cs="Calibri"/>
          <w:lang w:val="en-US"/>
        </w:rPr>
        <w:t>separate ESMF for Component 1 and 2 containing</w:t>
      </w:r>
      <w:r w:rsidRPr="00B2504F">
        <w:rPr>
          <w:rFonts w:ascii="Calibri" w:hAnsi="Calibri" w:cs="Calibri"/>
          <w:lang w:val="en-US"/>
        </w:rPr>
        <w:t xml:space="preserve"> set of mitigation measures</w:t>
      </w:r>
      <w:r>
        <w:rPr>
          <w:rFonts w:ascii="Calibri" w:hAnsi="Calibri" w:cs="Calibri"/>
          <w:lang w:val="en-US"/>
        </w:rPr>
        <w:t>,</w:t>
      </w:r>
      <w:r w:rsidRPr="00B2504F">
        <w:rPr>
          <w:rFonts w:ascii="Calibri" w:hAnsi="Calibri" w:cs="Calibri"/>
          <w:lang w:val="en-US"/>
        </w:rPr>
        <w:t xml:space="preserve"> </w:t>
      </w:r>
      <w:r>
        <w:rPr>
          <w:rFonts w:ascii="Calibri" w:hAnsi="Calibri" w:cs="Calibri"/>
          <w:lang w:val="en-US"/>
        </w:rPr>
        <w:t>are developed.</w:t>
      </w:r>
    </w:p>
    <w:p w14:paraId="3B71E517" w14:textId="77777777" w:rsidR="00A96AB7" w:rsidRDefault="00A96AB7" w:rsidP="008603AB">
      <w:pPr>
        <w:suppressAutoHyphens w:val="0"/>
        <w:autoSpaceDN/>
        <w:spacing w:before="0" w:line="276" w:lineRule="auto"/>
        <w:textAlignment w:val="auto"/>
        <w:rPr>
          <w:rFonts w:ascii="Calibri" w:hAnsi="Calibri" w:cs="Calibri"/>
          <w:lang w:val="en-US"/>
        </w:rPr>
      </w:pPr>
    </w:p>
    <w:p w14:paraId="7866DD1A" w14:textId="23C01C03" w:rsidR="00A96AB7" w:rsidRDefault="00A96AB7" w:rsidP="008603AB">
      <w:pPr>
        <w:suppressAutoHyphens w:val="0"/>
        <w:autoSpaceDN/>
        <w:spacing w:before="0" w:line="276" w:lineRule="auto"/>
        <w:textAlignment w:val="auto"/>
        <w:rPr>
          <w:rFonts w:ascii="Calibri" w:hAnsi="Calibri" w:cs="Calibri"/>
          <w:lang w:val="en-US"/>
        </w:rPr>
      </w:pPr>
      <w:bookmarkStart w:id="8" w:name="_Hlk51759184"/>
      <w:r>
        <w:rPr>
          <w:rFonts w:ascii="Calibri" w:hAnsi="Calibri" w:cs="Calibri"/>
          <w:lang w:val="en-US"/>
        </w:rPr>
        <w:lastRenderedPageBreak/>
        <w:t>For project activities under the Component 2</w:t>
      </w:r>
      <w:r w:rsidR="00BC0BAD">
        <w:rPr>
          <w:rFonts w:ascii="Calibri" w:hAnsi="Calibri" w:cs="Calibri"/>
          <w:lang w:val="en-US"/>
        </w:rPr>
        <w:t>,</w:t>
      </w:r>
      <w:r>
        <w:rPr>
          <w:rFonts w:ascii="Calibri" w:hAnsi="Calibri" w:cs="Calibri"/>
          <w:lang w:val="en-US"/>
        </w:rPr>
        <w:t xml:space="preserve"> </w:t>
      </w:r>
      <w:r w:rsidR="00E55D4B">
        <w:rPr>
          <w:rFonts w:ascii="Calibri" w:hAnsi="Calibri" w:cs="Calibri"/>
          <w:lang w:val="en-US"/>
        </w:rPr>
        <w:t>s</w:t>
      </w:r>
      <w:r w:rsidR="006834CA">
        <w:rPr>
          <w:rFonts w:ascii="Calibri" w:hAnsi="Calibri" w:cs="Calibri"/>
          <w:lang w:val="en-US"/>
        </w:rPr>
        <w:t>even</w:t>
      </w:r>
      <w:r w:rsidRPr="00A96AB7">
        <w:rPr>
          <w:rFonts w:ascii="Calibri" w:hAnsi="Calibri" w:cs="Calibri"/>
          <w:lang w:val="en-US"/>
        </w:rPr>
        <w:t xml:space="preserve"> out of the ten Environmental and Social Standards (ESSs) of the WBs ESF have been screened as relevant</w:t>
      </w:r>
      <w:r w:rsidR="00FE740A">
        <w:rPr>
          <w:rFonts w:ascii="Calibri" w:hAnsi="Calibri" w:cs="Calibri"/>
          <w:lang w:val="en-US"/>
        </w:rPr>
        <w:t xml:space="preserve">: </w:t>
      </w:r>
      <w:r w:rsidR="00FE740A" w:rsidRPr="00FE740A">
        <w:rPr>
          <w:rFonts w:ascii="Calibri" w:hAnsi="Calibri" w:cs="Calibri"/>
          <w:lang w:val="en-US"/>
        </w:rPr>
        <w:t>ESS1, ESS2</w:t>
      </w:r>
      <w:r w:rsidR="00FE740A">
        <w:rPr>
          <w:rFonts w:ascii="Calibri" w:hAnsi="Calibri" w:cs="Calibri"/>
          <w:lang w:val="en-US"/>
        </w:rPr>
        <w:t xml:space="preserve">, </w:t>
      </w:r>
      <w:r w:rsidR="00FE740A" w:rsidRPr="00FE740A">
        <w:rPr>
          <w:rFonts w:ascii="Calibri" w:hAnsi="Calibri" w:cs="Calibri"/>
          <w:lang w:val="en-US"/>
        </w:rPr>
        <w:t>ESS3, ESS4, ESS6</w:t>
      </w:r>
      <w:r w:rsidR="006834CA">
        <w:rPr>
          <w:rFonts w:ascii="Calibri" w:hAnsi="Calibri" w:cs="Calibri"/>
          <w:lang w:val="en-US"/>
        </w:rPr>
        <w:t>, ESS8</w:t>
      </w:r>
      <w:r w:rsidR="00FE740A">
        <w:rPr>
          <w:rFonts w:ascii="Calibri" w:hAnsi="Calibri" w:cs="Calibri"/>
          <w:lang w:val="en-US"/>
        </w:rPr>
        <w:t xml:space="preserve"> </w:t>
      </w:r>
      <w:r w:rsidR="00FE740A" w:rsidRPr="00FE740A">
        <w:rPr>
          <w:rFonts w:ascii="Calibri" w:hAnsi="Calibri" w:cs="Calibri"/>
          <w:lang w:val="en-US"/>
        </w:rPr>
        <w:t>and ESS10</w:t>
      </w:r>
      <w:r w:rsidR="00FE740A">
        <w:rPr>
          <w:rFonts w:ascii="Calibri" w:hAnsi="Calibri" w:cs="Calibri"/>
          <w:lang w:val="en-US"/>
        </w:rPr>
        <w:t>.</w:t>
      </w:r>
    </w:p>
    <w:bookmarkEnd w:id="8"/>
    <w:p w14:paraId="4C8466E3" w14:textId="357BCF4B" w:rsidR="00A96AB7" w:rsidRDefault="000D3814" w:rsidP="008603AB">
      <w:pPr>
        <w:suppressAutoHyphens w:val="0"/>
        <w:autoSpaceDN/>
        <w:spacing w:before="0" w:line="276" w:lineRule="auto"/>
        <w:textAlignment w:val="auto"/>
        <w:rPr>
          <w:rFonts w:ascii="Calibri" w:hAnsi="Calibri" w:cs="Calibri"/>
          <w:lang w:val="en-US"/>
        </w:rPr>
      </w:pPr>
      <w:r w:rsidRPr="000D3814">
        <w:rPr>
          <w:rFonts w:ascii="Calibri" w:hAnsi="Calibri" w:cs="Calibri"/>
          <w:lang w:val="en-US"/>
        </w:rPr>
        <w:t>The environmental and social risks for the</w:t>
      </w:r>
      <w:r>
        <w:rPr>
          <w:rFonts w:ascii="Calibri" w:hAnsi="Calibri" w:cs="Calibri"/>
          <w:lang w:val="en-US"/>
        </w:rPr>
        <w:t xml:space="preserve"> Component 2 </w:t>
      </w:r>
      <w:r w:rsidR="000C2AC2">
        <w:rPr>
          <w:rFonts w:ascii="Calibri" w:hAnsi="Calibri" w:cs="Calibri"/>
          <w:lang w:val="en-US"/>
        </w:rPr>
        <w:t>are</w:t>
      </w:r>
      <w:r>
        <w:rPr>
          <w:rFonts w:ascii="Calibri" w:hAnsi="Calibri" w:cs="Calibri"/>
          <w:lang w:val="en-US"/>
        </w:rPr>
        <w:t xml:space="preserve"> rated as </w:t>
      </w:r>
      <w:r w:rsidRPr="00BC0BAD">
        <w:rPr>
          <w:rFonts w:ascii="Calibri" w:hAnsi="Calibri" w:cs="Calibri"/>
          <w:lang w:val="en-US"/>
        </w:rPr>
        <w:t>low to moderate</w:t>
      </w:r>
      <w:r w:rsidR="00BC0BAD" w:rsidRPr="00BC0BAD">
        <w:rPr>
          <w:rFonts w:ascii="Calibri" w:hAnsi="Calibri" w:cs="Calibri"/>
          <w:lang w:val="en-US"/>
        </w:rPr>
        <w:t>.</w:t>
      </w:r>
    </w:p>
    <w:p w14:paraId="0C70D05D" w14:textId="25D0E6A1" w:rsidR="001631A8" w:rsidRDefault="005E38D0" w:rsidP="008603AB">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As a member of the European Union, Republic of Croatia has harmonized its environmental regulations and standards with EU directives.</w:t>
      </w:r>
      <w:r w:rsidR="008603AB" w:rsidRPr="00AB7D1E">
        <w:rPr>
          <w:rFonts w:ascii="Calibri" w:hAnsi="Calibri" w:cs="Calibri"/>
          <w:lang w:val="en-US"/>
        </w:rPr>
        <w:t xml:space="preserve"> Environmental regulations are </w:t>
      </w:r>
      <w:r w:rsidR="00377E81" w:rsidRPr="00AB7D1E">
        <w:rPr>
          <w:rFonts w:ascii="Calibri" w:hAnsi="Calibri" w:cs="Calibri"/>
          <w:lang w:val="en-US"/>
        </w:rPr>
        <w:t>generally</w:t>
      </w:r>
      <w:r w:rsidR="008603AB" w:rsidRPr="00AB7D1E">
        <w:rPr>
          <w:rFonts w:ascii="Calibri" w:hAnsi="Calibri" w:cs="Calibri"/>
          <w:lang w:val="en-US"/>
        </w:rPr>
        <w:t xml:space="preserve"> in line with WB safeguards and policies</w:t>
      </w:r>
      <w:r w:rsidR="00A61229">
        <w:rPr>
          <w:rFonts w:ascii="Calibri" w:hAnsi="Calibri" w:cs="Calibri"/>
          <w:lang w:val="en-US"/>
        </w:rPr>
        <w:t xml:space="preserve"> except</w:t>
      </w:r>
      <w:r w:rsidR="00AF1742" w:rsidRPr="00AB7D1E">
        <w:rPr>
          <w:rFonts w:ascii="Calibri" w:hAnsi="Calibri" w:cs="Calibri"/>
          <w:lang w:val="en-US"/>
        </w:rPr>
        <w:t xml:space="preserve"> </w:t>
      </w:r>
      <w:r w:rsidR="008603AB" w:rsidRPr="00AB7D1E">
        <w:rPr>
          <w:rFonts w:ascii="Calibri" w:hAnsi="Calibri" w:cs="Calibri"/>
          <w:lang w:val="en-US"/>
        </w:rPr>
        <w:t xml:space="preserve">regarding ESS3, ESS6 and ESS10. </w:t>
      </w:r>
    </w:p>
    <w:p w14:paraId="77140FF3" w14:textId="7D34C090" w:rsidR="001631A8" w:rsidRDefault="003527EA" w:rsidP="008603AB">
      <w:pPr>
        <w:suppressAutoHyphens w:val="0"/>
        <w:autoSpaceDN/>
        <w:spacing w:before="0" w:line="276" w:lineRule="auto"/>
        <w:textAlignment w:val="auto"/>
        <w:rPr>
          <w:rFonts w:ascii="Calibri" w:hAnsi="Calibri" w:cs="Calibri"/>
          <w:lang w:val="en-US"/>
        </w:rPr>
      </w:pPr>
      <w:r>
        <w:rPr>
          <w:rFonts w:ascii="Calibri" w:hAnsi="Calibri" w:cs="Calibri"/>
          <w:lang w:val="en-US"/>
        </w:rPr>
        <w:t xml:space="preserve">According to national waste legislation the owner of hazardous waste is not obliged to obtain information on final destination of hazardous waste, his </w:t>
      </w:r>
      <w:r w:rsidRPr="003527EA">
        <w:rPr>
          <w:rFonts w:ascii="Calibri" w:hAnsi="Calibri" w:cs="Calibri"/>
          <w:lang w:val="en-US"/>
        </w:rPr>
        <w:t>responsibility ceases when waste is handed over to the authorized company</w:t>
      </w:r>
      <w:r>
        <w:rPr>
          <w:rFonts w:ascii="Calibri" w:hAnsi="Calibri" w:cs="Calibri"/>
          <w:lang w:val="en-US"/>
        </w:rPr>
        <w:t xml:space="preserve"> (e.g. to company collecting hazardous waste) </w:t>
      </w:r>
      <w:r w:rsidR="001631A8">
        <w:rPr>
          <w:rFonts w:ascii="Calibri" w:hAnsi="Calibri" w:cs="Calibri"/>
          <w:lang w:val="en-US"/>
        </w:rPr>
        <w:t xml:space="preserve">while according to ESS3 </w:t>
      </w:r>
      <w:r w:rsidR="001631A8" w:rsidRPr="001631A8">
        <w:rPr>
          <w:rFonts w:ascii="Calibri" w:hAnsi="Calibri" w:cs="Calibri"/>
          <w:lang w:val="en-US"/>
        </w:rPr>
        <w:t xml:space="preserve">waste owner must obtain documentation on handing over waste to the final destination. </w:t>
      </w:r>
      <w:r w:rsidR="00462200" w:rsidRPr="00462200">
        <w:rPr>
          <w:rFonts w:ascii="Calibri" w:hAnsi="Calibri" w:cs="Calibri"/>
          <w:lang w:val="en-US"/>
        </w:rPr>
        <w:t xml:space="preserve">In the case where significant risks and </w:t>
      </w:r>
      <w:bookmarkStart w:id="9" w:name="_Hlk50845314"/>
      <w:r w:rsidR="00462200" w:rsidRPr="00462200">
        <w:rPr>
          <w:rFonts w:ascii="Calibri" w:hAnsi="Calibri" w:cs="Calibri"/>
          <w:lang w:val="en-US"/>
        </w:rPr>
        <w:t>adverse impacts on biodiversity have been identified</w:t>
      </w:r>
      <w:bookmarkEnd w:id="9"/>
      <w:r w:rsidR="00462200" w:rsidRPr="00462200">
        <w:rPr>
          <w:rFonts w:ascii="Calibri" w:hAnsi="Calibri" w:cs="Calibri"/>
          <w:lang w:val="en-US"/>
        </w:rPr>
        <w:t>, according to the ESS6</w:t>
      </w:r>
      <w:r w:rsidR="00462200">
        <w:rPr>
          <w:rFonts w:ascii="Calibri" w:hAnsi="Calibri" w:cs="Calibri"/>
          <w:lang w:val="en-US"/>
        </w:rPr>
        <w:t xml:space="preserve"> it is necessary to </w:t>
      </w:r>
      <w:r w:rsidR="00462200" w:rsidRPr="00462200">
        <w:rPr>
          <w:rFonts w:ascii="Calibri" w:hAnsi="Calibri" w:cs="Calibri"/>
          <w:lang w:val="en-US"/>
        </w:rPr>
        <w:t>develop and implement a Biodiversity Management Plan.</w:t>
      </w:r>
      <w:r w:rsidR="00462200">
        <w:rPr>
          <w:rFonts w:ascii="Calibri" w:hAnsi="Calibri" w:cs="Calibri"/>
          <w:lang w:val="en-US"/>
        </w:rPr>
        <w:t xml:space="preserve"> National legislation does not define such obligation.</w:t>
      </w:r>
      <w:r w:rsidR="0010581A">
        <w:rPr>
          <w:rFonts w:ascii="Calibri" w:hAnsi="Calibri" w:cs="Calibri"/>
          <w:lang w:val="en-US"/>
        </w:rPr>
        <w:t xml:space="preserve"> Also, unlike ESS10, national environmental legislation does not define </w:t>
      </w:r>
      <w:r w:rsidR="0010581A" w:rsidRPr="0010581A">
        <w:rPr>
          <w:rFonts w:ascii="Calibri" w:hAnsi="Calibri" w:cs="Calibri"/>
          <w:lang w:val="en-US"/>
        </w:rPr>
        <w:t xml:space="preserve">preparation of </w:t>
      </w:r>
      <w:proofErr w:type="spellStart"/>
      <w:r w:rsidR="0010581A" w:rsidRPr="0010581A">
        <w:rPr>
          <w:rFonts w:ascii="Calibri" w:hAnsi="Calibri" w:cs="Calibri"/>
          <w:lang w:val="en-US"/>
        </w:rPr>
        <w:t>programme</w:t>
      </w:r>
      <w:proofErr w:type="spellEnd"/>
      <w:r w:rsidR="0010581A" w:rsidRPr="0010581A">
        <w:rPr>
          <w:rFonts w:ascii="Calibri" w:hAnsi="Calibri" w:cs="Calibri"/>
          <w:lang w:val="en-US"/>
        </w:rPr>
        <w:t xml:space="preserve"> like </w:t>
      </w:r>
      <w:r w:rsidR="00557A58">
        <w:rPr>
          <w:rFonts w:ascii="Calibri" w:hAnsi="Calibri" w:cs="Calibri"/>
          <w:lang w:val="en-US"/>
        </w:rPr>
        <w:t>Stakeholder Engagement Plan (</w:t>
      </w:r>
      <w:r w:rsidR="0010581A" w:rsidRPr="0010581A">
        <w:rPr>
          <w:rFonts w:ascii="Calibri" w:hAnsi="Calibri" w:cs="Calibri"/>
          <w:lang w:val="en-US"/>
        </w:rPr>
        <w:t>SEP</w:t>
      </w:r>
      <w:r w:rsidR="00557A58">
        <w:rPr>
          <w:rFonts w:ascii="Calibri" w:hAnsi="Calibri" w:cs="Calibri"/>
          <w:lang w:val="en-US"/>
        </w:rPr>
        <w:t>)</w:t>
      </w:r>
      <w:r w:rsidR="0010581A" w:rsidRPr="0010581A">
        <w:rPr>
          <w:rFonts w:ascii="Calibri" w:hAnsi="Calibri" w:cs="Calibri"/>
          <w:lang w:val="en-US"/>
        </w:rPr>
        <w:t xml:space="preserve"> for specific project</w:t>
      </w:r>
      <w:r w:rsidR="0010581A">
        <w:rPr>
          <w:rFonts w:ascii="Calibri" w:hAnsi="Calibri" w:cs="Calibri"/>
          <w:lang w:val="en-US"/>
        </w:rPr>
        <w:t>s</w:t>
      </w:r>
      <w:r w:rsidR="0010581A" w:rsidRPr="0010581A">
        <w:rPr>
          <w:rFonts w:ascii="Calibri" w:hAnsi="Calibri" w:cs="Calibri"/>
          <w:lang w:val="en-US"/>
        </w:rPr>
        <w:t>.</w:t>
      </w:r>
    </w:p>
    <w:p w14:paraId="541B090D" w14:textId="393269B4" w:rsidR="008603AB" w:rsidRPr="00AB7D1E" w:rsidRDefault="008603AB" w:rsidP="008603AB">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For </w:t>
      </w:r>
      <w:r w:rsidR="008349A5">
        <w:rPr>
          <w:rFonts w:ascii="Calibri" w:hAnsi="Calibri" w:cs="Calibri"/>
          <w:lang w:val="en-US"/>
        </w:rPr>
        <w:t xml:space="preserve">Component 2 </w:t>
      </w:r>
      <w:r w:rsidR="001E0174">
        <w:rPr>
          <w:rFonts w:ascii="Calibri" w:hAnsi="Calibri" w:cs="Calibri"/>
          <w:lang w:val="en-US"/>
        </w:rPr>
        <w:t>difference</w:t>
      </w:r>
      <w:r w:rsidR="00557A58">
        <w:rPr>
          <w:rFonts w:ascii="Calibri" w:hAnsi="Calibri" w:cs="Calibri"/>
          <w:lang w:val="en-US"/>
        </w:rPr>
        <w:t xml:space="preserve"> between national legislation and </w:t>
      </w:r>
      <w:r w:rsidRPr="00AB7D1E">
        <w:rPr>
          <w:rFonts w:ascii="Calibri" w:hAnsi="Calibri" w:cs="Calibri"/>
          <w:lang w:val="en-US"/>
        </w:rPr>
        <w:t xml:space="preserve">ESS3 is relevant but this </w:t>
      </w:r>
      <w:r w:rsidR="001E0174">
        <w:rPr>
          <w:rFonts w:ascii="Calibri" w:hAnsi="Calibri" w:cs="Calibri"/>
          <w:lang w:val="en-US"/>
        </w:rPr>
        <w:t>difference</w:t>
      </w:r>
      <w:r w:rsidR="00557A58">
        <w:rPr>
          <w:rFonts w:ascii="Calibri" w:hAnsi="Calibri" w:cs="Calibri"/>
          <w:lang w:val="en-US"/>
        </w:rPr>
        <w:t xml:space="preserve"> </w:t>
      </w:r>
      <w:r w:rsidRPr="00AB7D1E">
        <w:rPr>
          <w:rFonts w:ascii="Calibri" w:hAnsi="Calibri" w:cs="Calibri"/>
          <w:lang w:val="en-US"/>
        </w:rPr>
        <w:t xml:space="preserve">is of small scale and within ESMF measure eliminating this </w:t>
      </w:r>
      <w:r w:rsidR="001E0174">
        <w:rPr>
          <w:rFonts w:ascii="Calibri" w:hAnsi="Calibri" w:cs="Calibri"/>
          <w:lang w:val="en-US"/>
        </w:rPr>
        <w:t>difference</w:t>
      </w:r>
      <w:r w:rsidR="00557A58" w:rsidRPr="00AB7D1E">
        <w:rPr>
          <w:rFonts w:ascii="Calibri" w:hAnsi="Calibri" w:cs="Calibri"/>
          <w:lang w:val="en-US"/>
        </w:rPr>
        <w:t xml:space="preserve"> </w:t>
      </w:r>
      <w:r w:rsidRPr="00AB7D1E">
        <w:rPr>
          <w:rFonts w:ascii="Calibri" w:hAnsi="Calibri" w:cs="Calibri"/>
          <w:lang w:val="en-US"/>
        </w:rPr>
        <w:t>is defined.</w:t>
      </w:r>
      <w:r w:rsidR="00557A58">
        <w:rPr>
          <w:rFonts w:ascii="Calibri" w:hAnsi="Calibri" w:cs="Calibri"/>
          <w:lang w:val="en-US"/>
        </w:rPr>
        <w:t xml:space="preserve"> As </w:t>
      </w:r>
      <w:r w:rsidR="00557A58" w:rsidRPr="00557A58">
        <w:rPr>
          <w:rFonts w:ascii="Calibri" w:hAnsi="Calibri" w:cs="Calibri"/>
          <w:lang w:val="en-US"/>
        </w:rPr>
        <w:t xml:space="preserve">adverse impacts on biodiversity </w:t>
      </w:r>
      <w:r w:rsidR="00557A58">
        <w:rPr>
          <w:rFonts w:ascii="Calibri" w:hAnsi="Calibri" w:cs="Calibri"/>
          <w:lang w:val="en-US"/>
        </w:rPr>
        <w:t xml:space="preserve">have not been identified </w:t>
      </w:r>
      <w:r w:rsidR="001E0174">
        <w:rPr>
          <w:rFonts w:ascii="Calibri" w:hAnsi="Calibri" w:cs="Calibri"/>
          <w:lang w:val="en-US"/>
        </w:rPr>
        <w:t>difference</w:t>
      </w:r>
      <w:r w:rsidR="00557A58">
        <w:rPr>
          <w:rFonts w:ascii="Calibri" w:hAnsi="Calibri" w:cs="Calibri"/>
          <w:lang w:val="en-US"/>
        </w:rPr>
        <w:t xml:space="preserve"> identified regarding ESS6 is not relevant for overall Project. </w:t>
      </w:r>
    </w:p>
    <w:p w14:paraId="5B724766" w14:textId="62B63505" w:rsidR="008603AB" w:rsidRPr="00AB7D1E" w:rsidRDefault="00D417E9" w:rsidP="005C2B6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In relation to social impacts, the Croatian legislation is in line with WB safeguards and requirements in terms of human health and safety, public consultation or provisions for addressing the relation and impact of the project to </w:t>
      </w:r>
      <w:proofErr w:type="spellStart"/>
      <w:r w:rsidR="009E6523" w:rsidRPr="00AB7D1E">
        <w:rPr>
          <w:rFonts w:ascii="Calibri" w:hAnsi="Calibri" w:cs="Calibri"/>
          <w:lang w:val="en-US"/>
        </w:rPr>
        <w:t>neighbouring</w:t>
      </w:r>
      <w:proofErr w:type="spellEnd"/>
      <w:r w:rsidRPr="00AB7D1E">
        <w:rPr>
          <w:rFonts w:ascii="Calibri" w:hAnsi="Calibri" w:cs="Calibri"/>
          <w:lang w:val="en-US"/>
        </w:rPr>
        <w:t xml:space="preserve"> properties and communities.</w:t>
      </w:r>
    </w:p>
    <w:p w14:paraId="031CF735" w14:textId="789DEB3B" w:rsidR="009E6523" w:rsidRPr="00AB7D1E" w:rsidRDefault="005D5D60" w:rsidP="005D5D60">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Environmental risks under Subcomponent 2.1 are </w:t>
      </w:r>
      <w:r w:rsidR="002E6238" w:rsidRPr="00AB7D1E">
        <w:rPr>
          <w:rFonts w:ascii="Calibri" w:hAnsi="Calibri" w:cs="Calibri"/>
          <w:lang w:val="en-US"/>
        </w:rPr>
        <w:t xml:space="preserve">mainly </w:t>
      </w:r>
      <w:r w:rsidRPr="00AB7D1E">
        <w:rPr>
          <w:rFonts w:ascii="Calibri" w:hAnsi="Calibri" w:cs="Calibri"/>
          <w:lang w:val="en-US"/>
        </w:rPr>
        <w:t xml:space="preserve">related to </w:t>
      </w:r>
      <w:r w:rsidR="002E6238" w:rsidRPr="00AB7D1E">
        <w:rPr>
          <w:rFonts w:ascii="Calibri" w:hAnsi="Calibri" w:cs="Calibri"/>
          <w:lang w:val="en-US"/>
        </w:rPr>
        <w:t>activities of repair and rehabilitation of public health laboratories.</w:t>
      </w:r>
      <w:r w:rsidRPr="00AB7D1E">
        <w:rPr>
          <w:rFonts w:ascii="Calibri" w:hAnsi="Calibri" w:cs="Calibri"/>
          <w:lang w:val="en-US"/>
        </w:rPr>
        <w:t xml:space="preserve"> </w:t>
      </w:r>
      <w:r w:rsidR="002E6238" w:rsidRPr="00AB7D1E">
        <w:rPr>
          <w:rFonts w:ascii="Calibri" w:hAnsi="Calibri" w:cs="Calibri"/>
          <w:lang w:val="en-US"/>
        </w:rPr>
        <w:t>These</w:t>
      </w:r>
      <w:r w:rsidRPr="00AB7D1E">
        <w:rPr>
          <w:rFonts w:ascii="Calibri" w:hAnsi="Calibri" w:cs="Calibri"/>
          <w:lang w:val="en-US"/>
        </w:rPr>
        <w:t xml:space="preserve"> risks </w:t>
      </w:r>
      <w:r w:rsidR="002E6238" w:rsidRPr="00AB7D1E">
        <w:rPr>
          <w:rFonts w:ascii="Calibri" w:hAnsi="Calibri" w:cs="Calibri"/>
          <w:lang w:val="en-US"/>
        </w:rPr>
        <w:t xml:space="preserve">are </w:t>
      </w:r>
      <w:r w:rsidRPr="00AB7D1E">
        <w:rPr>
          <w:rFonts w:ascii="Calibri" w:hAnsi="Calibri" w:cs="Calibri"/>
          <w:lang w:val="en-US"/>
        </w:rPr>
        <w:t xml:space="preserve">typical for construction works: dust and noise emissions, </w:t>
      </w:r>
      <w:bookmarkStart w:id="10" w:name="_Hlk48824639"/>
      <w:r w:rsidR="002E6238" w:rsidRPr="00AB7D1E">
        <w:rPr>
          <w:rFonts w:ascii="Calibri" w:hAnsi="Calibri" w:cs="Calibri"/>
          <w:lang w:val="en-US"/>
        </w:rPr>
        <w:t>accidental spillage of machine oil, lubricants</w:t>
      </w:r>
      <w:bookmarkEnd w:id="10"/>
      <w:r w:rsidR="002E6238" w:rsidRPr="00AB7D1E">
        <w:rPr>
          <w:rFonts w:ascii="Calibri" w:hAnsi="Calibri" w:cs="Calibri"/>
          <w:lang w:val="en-US"/>
        </w:rPr>
        <w:t xml:space="preserve">, </w:t>
      </w:r>
      <w:r w:rsidRPr="00AB7D1E">
        <w:rPr>
          <w:rFonts w:ascii="Calibri" w:hAnsi="Calibri" w:cs="Calibri"/>
          <w:lang w:val="en-US"/>
        </w:rPr>
        <w:t xml:space="preserve">traffic disruption, generation of large quantities of construction waste, </w:t>
      </w:r>
      <w:r w:rsidR="006834CA" w:rsidRPr="006834CA">
        <w:rPr>
          <w:rFonts w:ascii="Calibri" w:hAnsi="Calibri" w:cs="Calibri"/>
          <w:lang w:val="en-US"/>
        </w:rPr>
        <w:t>impacts on cultural heritage in some cases, although quite unlikely, cultural heritage chance finds</w:t>
      </w:r>
      <w:r w:rsidR="006834CA">
        <w:rPr>
          <w:rFonts w:ascii="Calibri" w:hAnsi="Calibri" w:cs="Calibri"/>
          <w:lang w:val="en-US"/>
        </w:rPr>
        <w:t>,</w:t>
      </w:r>
      <w:r w:rsidR="006834CA" w:rsidRPr="006834CA">
        <w:rPr>
          <w:rFonts w:ascii="Calibri" w:hAnsi="Calibri" w:cs="Calibri"/>
          <w:lang w:val="en-US"/>
        </w:rPr>
        <w:t xml:space="preserve"> </w:t>
      </w:r>
      <w:r w:rsidRPr="00AB7D1E">
        <w:rPr>
          <w:rFonts w:ascii="Calibri" w:hAnsi="Calibri" w:cs="Calibri"/>
          <w:lang w:val="en-US"/>
        </w:rPr>
        <w:t>unsafe working conditions, poor occupational health and safety practices.</w:t>
      </w:r>
      <w:r w:rsidR="002E6238" w:rsidRPr="00AB7D1E">
        <w:rPr>
          <w:rFonts w:ascii="Calibri" w:hAnsi="Calibri" w:cs="Calibri"/>
          <w:lang w:val="en-US"/>
        </w:rPr>
        <w:t xml:space="preserve"> </w:t>
      </w:r>
      <w:r w:rsidRPr="00AB7D1E">
        <w:rPr>
          <w:rFonts w:ascii="Calibri" w:hAnsi="Calibri" w:cs="Calibri"/>
          <w:lang w:val="en-US"/>
        </w:rPr>
        <w:t>The potential risks and impacts are (i) predictable and expected to be temporary (ii) low</w:t>
      </w:r>
      <w:r w:rsidR="002E6238" w:rsidRPr="00AB7D1E">
        <w:rPr>
          <w:rFonts w:ascii="Calibri" w:hAnsi="Calibri" w:cs="Calibri"/>
          <w:lang w:val="en-US"/>
        </w:rPr>
        <w:t xml:space="preserve"> to medium</w:t>
      </w:r>
      <w:r w:rsidRPr="00AB7D1E">
        <w:rPr>
          <w:rFonts w:ascii="Calibri" w:hAnsi="Calibri" w:cs="Calibri"/>
          <w:lang w:val="en-US"/>
        </w:rPr>
        <w:t xml:space="preserve"> in magnitude; (iii) site-specific, without likelihood of impacts beyond the actual footprint of the project; and (iv) low probability of serious adverse effects to human health and/or the environment. The project’s risks and impacts can be easily mitigated in a predictable manner.</w:t>
      </w:r>
    </w:p>
    <w:p w14:paraId="1F0DDB21" w14:textId="0FE6A407" w:rsidR="009E6523" w:rsidRPr="00AB7D1E" w:rsidRDefault="008B14A7" w:rsidP="005C2B6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The procurement of medical supplies and medical equipment have limited, if any, negative impacts.</w:t>
      </w:r>
    </w:p>
    <w:p w14:paraId="5C34714F" w14:textId="50173963" w:rsidR="00675B62" w:rsidRPr="00AB7D1E" w:rsidRDefault="00675B62" w:rsidP="00EB6629">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The utilization of medical equipment and supplies related to the emergency response to COVID-19 component, carries specific risks to the environment, communities, and project workers. Such risks may include insufficiency of the design and quality of safety arrangements to be put in place within hospitals, laboratories, an</w:t>
      </w:r>
      <w:r w:rsidR="00677C2E" w:rsidRPr="00AB7D1E">
        <w:rPr>
          <w:rFonts w:ascii="Calibri" w:hAnsi="Calibri" w:cs="Calibri"/>
          <w:lang w:val="en-US"/>
        </w:rPr>
        <w:t>d</w:t>
      </w:r>
      <w:r w:rsidRPr="00AB7D1E">
        <w:rPr>
          <w:rFonts w:ascii="Calibri" w:hAnsi="Calibri" w:cs="Calibri"/>
          <w:lang w:val="en-US"/>
        </w:rPr>
        <w:t xml:space="preserve"> other related premises for avoiding internal spread of infection and its transmission to hospital personnel; or the inadequacy of medical waste management systems and facilities related to the handling, transportation and disposal of hazardous and infectious healthcare waste.</w:t>
      </w:r>
    </w:p>
    <w:p w14:paraId="09742191" w14:textId="41C1B949" w:rsidR="00675B62" w:rsidRPr="00AB7D1E" w:rsidRDefault="00675B62" w:rsidP="00EB6629">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organization of the design and quality of safety arrangements and medical waste management is of the highest concern related to other risks associated with the </w:t>
      </w:r>
      <w:r w:rsidR="00F937EE">
        <w:rPr>
          <w:rFonts w:ascii="Calibri" w:hAnsi="Calibri" w:cs="Calibri"/>
          <w:lang w:val="en-US"/>
        </w:rPr>
        <w:t>Component 2</w:t>
      </w:r>
      <w:r w:rsidRPr="00AB7D1E">
        <w:rPr>
          <w:rFonts w:ascii="Calibri" w:hAnsi="Calibri" w:cs="Calibri"/>
          <w:lang w:val="en-US"/>
        </w:rPr>
        <w:t xml:space="preserve">. The project will mitigate these risks by adhering to WHO guidelines as well as Environmental Health and Safety (EHS) </w:t>
      </w:r>
      <w:r w:rsidRPr="00AB7D1E">
        <w:rPr>
          <w:rFonts w:ascii="Calibri" w:hAnsi="Calibri" w:cs="Calibri"/>
          <w:lang w:val="en-US"/>
        </w:rPr>
        <w:lastRenderedPageBreak/>
        <w:t>Guidelines of the World Bank Group and other good international industry practice (GIIP) and national legislation and guidelines.</w:t>
      </w:r>
    </w:p>
    <w:p w14:paraId="46D1A271" w14:textId="77777777"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No major adverse social impacts are expected under project (Component 2). Implementation of the Component 2 activities will have positive social impacts and urgently needed.</w:t>
      </w:r>
    </w:p>
    <w:p w14:paraId="7351A848" w14:textId="77777777"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Under the project, people with disabilities will benefit from the universal access design features of the rehabilitated public health laboratories.</w:t>
      </w:r>
    </w:p>
    <w:p w14:paraId="037B2F85" w14:textId="1EB1CD31"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Furthermore, energy efficiency measures are also likely to produce positive outcomes, by contributing to national objectives of reducing energy consumption and GHG emissions.</w:t>
      </w:r>
    </w:p>
    <w:p w14:paraId="0D7BD43B" w14:textId="1FC0821A" w:rsidR="00131057" w:rsidRPr="00AB7D1E" w:rsidRDefault="00131057" w:rsidP="00EB6629">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No involuntary resettlement impacts are anticipated, and no resettlement and land acquisition will take place. Any activities that might cause land acquisition or involuntary resettlement will not be eligible for financing.</w:t>
      </w:r>
    </w:p>
    <w:p w14:paraId="54FE81BC" w14:textId="77777777"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The project will be implemented in strict adherence to the principles of equality and non-discrimination.</w:t>
      </w:r>
    </w:p>
    <w:p w14:paraId="374BD5C5" w14:textId="6EBCD518" w:rsidR="00131057" w:rsidRPr="00AB7D1E" w:rsidRDefault="00131057" w:rsidP="00131057">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Access to services and supplies, funded under the project, will be provided to all people, regardless of their social status, based on the urgency of the need.</w:t>
      </w:r>
    </w:p>
    <w:p w14:paraId="6868068C" w14:textId="19B7D5BF" w:rsidR="0082111D" w:rsidRPr="00AB7D1E" w:rsidRDefault="0082111D" w:rsidP="0082111D">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As repair and rehabilitation works are expected to have low to medium environmental and social impacts, thus development of ESMP Checklists </w:t>
      </w:r>
      <w:r w:rsidR="00761BEC" w:rsidRPr="00AB7D1E">
        <w:rPr>
          <w:rFonts w:ascii="Calibri" w:hAnsi="Calibri" w:cs="Calibri"/>
          <w:lang w:val="en-US"/>
        </w:rPr>
        <w:t>(prepared for typical works</w:t>
      </w:r>
      <w:r w:rsidR="00CD4264" w:rsidRPr="00AB7D1E">
        <w:rPr>
          <w:rFonts w:ascii="Calibri" w:hAnsi="Calibri" w:cs="Calibri"/>
          <w:lang w:val="en-US"/>
        </w:rPr>
        <w:t xml:space="preserve"> with predictable impacts</w:t>
      </w:r>
      <w:r w:rsidR="00761BEC" w:rsidRPr="00AB7D1E">
        <w:rPr>
          <w:rFonts w:ascii="Calibri" w:hAnsi="Calibri" w:cs="Calibri"/>
          <w:lang w:val="en-US"/>
        </w:rPr>
        <w:t xml:space="preserve">) </w:t>
      </w:r>
      <w:r w:rsidRPr="00AB7D1E">
        <w:rPr>
          <w:rFonts w:ascii="Calibri" w:hAnsi="Calibri" w:cs="Calibri"/>
          <w:lang w:val="en-US"/>
        </w:rPr>
        <w:t xml:space="preserve">will be prepared for each sub-project (no need for the full-scale EIA). </w:t>
      </w:r>
      <w:r w:rsidR="006834CA" w:rsidRPr="006834CA">
        <w:rPr>
          <w:rFonts w:ascii="Calibri" w:hAnsi="Calibri" w:cs="Calibri"/>
          <w:lang w:val="en-US"/>
        </w:rPr>
        <w:t>Cultural heritage related risks will be addressed through the development of Cultural Heritage Management Plan (CHMP) annexed to ESMP Checklist</w:t>
      </w:r>
      <w:r w:rsidR="006834CA">
        <w:rPr>
          <w:rFonts w:ascii="Calibri" w:hAnsi="Calibri" w:cs="Calibri"/>
          <w:lang w:val="en-US"/>
        </w:rPr>
        <w:t>.</w:t>
      </w:r>
      <w:r w:rsidR="006834CA" w:rsidRPr="006834CA">
        <w:rPr>
          <w:rFonts w:ascii="Calibri" w:hAnsi="Calibri" w:cs="Calibri"/>
          <w:lang w:val="en-US"/>
        </w:rPr>
        <w:t xml:space="preserve"> </w:t>
      </w:r>
      <w:r w:rsidRPr="00AB7D1E">
        <w:rPr>
          <w:rFonts w:ascii="Calibri" w:hAnsi="Calibri" w:cs="Calibri"/>
          <w:lang w:val="en-US"/>
        </w:rPr>
        <w:t>Infection Control and Waste Management Plan (ICWMP) will be developed to address the risk of COVID-19 and potential inadequate medical waste management.</w:t>
      </w:r>
      <w:r w:rsidR="003D4736" w:rsidRPr="00AB7D1E">
        <w:rPr>
          <w:rFonts w:ascii="Calibri" w:hAnsi="Calibri" w:cs="Calibri"/>
          <w:lang w:val="en-US"/>
        </w:rPr>
        <w:t xml:space="preserve"> </w:t>
      </w:r>
    </w:p>
    <w:p w14:paraId="6ADA7691" w14:textId="3FEDED14" w:rsidR="009236BC" w:rsidRPr="00AB7D1E" w:rsidRDefault="009236BC" w:rsidP="0082111D">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Initial Stakeholder Engagement Plan (SEP) is prepared as early as possible, before project appraisal, and was disclosed on the </w:t>
      </w:r>
      <w:proofErr w:type="spellStart"/>
      <w:r w:rsidRPr="00AB7D1E">
        <w:rPr>
          <w:rFonts w:ascii="Calibri" w:hAnsi="Calibri" w:cs="Calibri"/>
          <w:lang w:val="en-US"/>
        </w:rPr>
        <w:t>MoPPCS</w:t>
      </w:r>
      <w:r w:rsidR="00C408F5">
        <w:rPr>
          <w:rFonts w:ascii="Calibri" w:hAnsi="Calibri" w:cs="Calibri"/>
          <w:lang w:val="en-US"/>
        </w:rPr>
        <w:t>A</w:t>
      </w:r>
      <w:proofErr w:type="spellEnd"/>
      <w:r w:rsidRPr="00AB7D1E">
        <w:rPr>
          <w:rFonts w:ascii="Calibri" w:hAnsi="Calibri" w:cs="Calibri"/>
          <w:lang w:val="en-US"/>
        </w:rPr>
        <w:t xml:space="preserve"> and WB website on May 6, 2020. It will be updated periodically as necessary. Also, draft version of the Environmental and Social Commitment Plan (ESCP) is prepared and will be further developed in parallel with the ESMF development.</w:t>
      </w:r>
    </w:p>
    <w:p w14:paraId="48669D52" w14:textId="25ACDDA7" w:rsidR="009236BC" w:rsidRPr="00AB7D1E" w:rsidRDefault="009236BC" w:rsidP="009236B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Component (2) - Public Health Surveillance and Preparedness will be implemented by the Project Implementation Unit (PIU-1) that will be established within the </w:t>
      </w:r>
      <w:proofErr w:type="spellStart"/>
      <w:r w:rsidRPr="00AB7D1E">
        <w:rPr>
          <w:rFonts w:ascii="Calibri" w:hAnsi="Calibri" w:cs="Calibri"/>
          <w:lang w:val="en-US"/>
        </w:rPr>
        <w:t>MoPPCS</w:t>
      </w:r>
      <w:r w:rsidR="00C408F5">
        <w:rPr>
          <w:rFonts w:ascii="Calibri" w:hAnsi="Calibri" w:cs="Calibri"/>
          <w:lang w:val="en-US"/>
        </w:rPr>
        <w:t>A</w:t>
      </w:r>
      <w:proofErr w:type="spellEnd"/>
      <w:r w:rsidRPr="00AB7D1E">
        <w:rPr>
          <w:rFonts w:ascii="Calibri" w:hAnsi="Calibri" w:cs="Calibri"/>
          <w:lang w:val="en-US"/>
        </w:rPr>
        <w:t xml:space="preserve"> and PIU-2 that will be established within </w:t>
      </w:r>
      <w:proofErr w:type="spellStart"/>
      <w:r w:rsidRPr="00AB7D1E">
        <w:rPr>
          <w:rFonts w:ascii="Calibri" w:hAnsi="Calibri" w:cs="Calibri"/>
          <w:lang w:val="en-US"/>
        </w:rPr>
        <w:t>MoH</w:t>
      </w:r>
      <w:proofErr w:type="spellEnd"/>
      <w:r w:rsidRPr="00AB7D1E">
        <w:rPr>
          <w:rFonts w:ascii="Calibri" w:hAnsi="Calibri" w:cs="Calibri"/>
          <w:lang w:val="en-US"/>
        </w:rPr>
        <w:t>.</w:t>
      </w:r>
    </w:p>
    <w:p w14:paraId="23AE1BFF" w14:textId="3F492801" w:rsidR="009236BC" w:rsidRPr="00AB7D1E" w:rsidRDefault="009236BC" w:rsidP="009236B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main Project Implementation Unit </w:t>
      </w:r>
      <w:r w:rsidR="00C408F5">
        <w:rPr>
          <w:rFonts w:ascii="Calibri" w:hAnsi="Calibri" w:cs="Calibri"/>
          <w:lang w:val="en-US"/>
        </w:rPr>
        <w:t xml:space="preserve">for overall Project </w:t>
      </w:r>
      <w:r w:rsidRPr="00AB7D1E">
        <w:rPr>
          <w:rFonts w:ascii="Calibri" w:hAnsi="Calibri" w:cs="Calibri"/>
          <w:lang w:val="en-US"/>
        </w:rPr>
        <w:t xml:space="preserve">will be established within the </w:t>
      </w:r>
      <w:proofErr w:type="spellStart"/>
      <w:r w:rsidRPr="00AB7D1E">
        <w:rPr>
          <w:rFonts w:ascii="Calibri" w:hAnsi="Calibri" w:cs="Calibri"/>
          <w:lang w:val="en-US"/>
        </w:rPr>
        <w:t>MoPPCS</w:t>
      </w:r>
      <w:r w:rsidR="000A023A">
        <w:rPr>
          <w:rFonts w:ascii="Calibri" w:hAnsi="Calibri" w:cs="Calibri"/>
          <w:lang w:val="en-US"/>
        </w:rPr>
        <w:t>A</w:t>
      </w:r>
      <w:proofErr w:type="spellEnd"/>
      <w:r w:rsidRPr="00AB7D1E">
        <w:rPr>
          <w:rFonts w:ascii="Calibri" w:hAnsi="Calibri" w:cs="Calibri"/>
          <w:lang w:val="en-US"/>
        </w:rPr>
        <w:t xml:space="preserve"> (PIU-1). </w:t>
      </w:r>
      <w:r w:rsidR="00442630">
        <w:rPr>
          <w:rFonts w:ascii="Calibri" w:hAnsi="Calibri" w:cs="Calibri"/>
          <w:lang w:val="en-US"/>
        </w:rPr>
        <w:t xml:space="preserve">The </w:t>
      </w:r>
      <w:proofErr w:type="spellStart"/>
      <w:r w:rsidR="00442630">
        <w:rPr>
          <w:rFonts w:ascii="Calibri" w:hAnsi="Calibri" w:cs="Calibri"/>
          <w:lang w:val="en-US"/>
        </w:rPr>
        <w:t>MoPPCSA</w:t>
      </w:r>
      <w:proofErr w:type="spellEnd"/>
      <w:r w:rsidR="00442630">
        <w:rPr>
          <w:rFonts w:ascii="Calibri" w:hAnsi="Calibri" w:cs="Calibri"/>
          <w:lang w:val="en-US"/>
        </w:rPr>
        <w:t xml:space="preserve"> PIU will be responsible for implementation of Component 1 and civil works under the sub-component 2.1. Also, as a main PIU, t</w:t>
      </w:r>
      <w:r w:rsidRPr="00AB7D1E">
        <w:rPr>
          <w:rFonts w:ascii="Calibri" w:hAnsi="Calibri" w:cs="Calibri"/>
          <w:lang w:val="en-US"/>
        </w:rPr>
        <w:t xml:space="preserve">he </w:t>
      </w:r>
      <w:proofErr w:type="spellStart"/>
      <w:r w:rsidRPr="00AB7D1E">
        <w:rPr>
          <w:rFonts w:ascii="Calibri" w:hAnsi="Calibri" w:cs="Calibri"/>
          <w:lang w:val="en-US"/>
        </w:rPr>
        <w:t>MoPPCS</w:t>
      </w:r>
      <w:r w:rsidR="00442630">
        <w:rPr>
          <w:rFonts w:ascii="Calibri" w:hAnsi="Calibri" w:cs="Calibri"/>
          <w:lang w:val="en-US"/>
        </w:rPr>
        <w:t>A</w:t>
      </w:r>
      <w:proofErr w:type="spellEnd"/>
      <w:r w:rsidRPr="00AB7D1E">
        <w:rPr>
          <w:rFonts w:ascii="Calibri" w:hAnsi="Calibri" w:cs="Calibri"/>
          <w:lang w:val="en-US"/>
        </w:rPr>
        <w:t xml:space="preserve"> PIU will be accountable for reporting to both the World Bank and the Project Steering Committee (PSC) on all project activities and progress</w:t>
      </w:r>
      <w:r w:rsidR="00442630">
        <w:rPr>
          <w:rFonts w:ascii="Calibri" w:hAnsi="Calibri" w:cs="Calibri"/>
          <w:lang w:val="en-US"/>
        </w:rPr>
        <w:t xml:space="preserve"> (for Component 1 and 2)</w:t>
      </w:r>
      <w:r w:rsidRPr="00AB7D1E">
        <w:rPr>
          <w:rFonts w:ascii="Calibri" w:hAnsi="Calibri" w:cs="Calibri"/>
          <w:lang w:val="en-US"/>
        </w:rPr>
        <w:t xml:space="preserve">. A second PIU, the </w:t>
      </w:r>
      <w:proofErr w:type="spellStart"/>
      <w:r w:rsidRPr="00AB7D1E">
        <w:rPr>
          <w:rFonts w:ascii="Calibri" w:hAnsi="Calibri" w:cs="Calibri"/>
          <w:lang w:val="en-US"/>
        </w:rPr>
        <w:t>MoH</w:t>
      </w:r>
      <w:proofErr w:type="spellEnd"/>
      <w:r w:rsidRPr="00AB7D1E">
        <w:rPr>
          <w:rFonts w:ascii="Calibri" w:hAnsi="Calibri" w:cs="Calibri"/>
          <w:lang w:val="en-US"/>
        </w:rPr>
        <w:t xml:space="preserve"> PIU, will be established within </w:t>
      </w:r>
      <w:proofErr w:type="spellStart"/>
      <w:r w:rsidRPr="00AB7D1E">
        <w:rPr>
          <w:rFonts w:ascii="Calibri" w:hAnsi="Calibri" w:cs="Calibri"/>
          <w:lang w:val="en-US"/>
        </w:rPr>
        <w:t>MoH</w:t>
      </w:r>
      <w:proofErr w:type="spellEnd"/>
      <w:r w:rsidRPr="00AB7D1E">
        <w:rPr>
          <w:rFonts w:ascii="Calibri" w:hAnsi="Calibri" w:cs="Calibri"/>
          <w:lang w:val="en-US"/>
        </w:rPr>
        <w:t xml:space="preserve"> and will be responsible for </w:t>
      </w:r>
      <w:r w:rsidR="00FA0411" w:rsidRPr="00AB7D1E">
        <w:rPr>
          <w:rFonts w:ascii="Calibri" w:hAnsi="Calibri" w:cs="Calibri"/>
          <w:lang w:val="en-US"/>
        </w:rPr>
        <w:t xml:space="preserve">all other activities under </w:t>
      </w:r>
      <w:r w:rsidRPr="00AB7D1E">
        <w:rPr>
          <w:rFonts w:ascii="Calibri" w:hAnsi="Calibri" w:cs="Calibri"/>
          <w:lang w:val="en-US"/>
        </w:rPr>
        <w:t>Component 2</w:t>
      </w:r>
      <w:r w:rsidR="00FA0411" w:rsidRPr="00AB7D1E">
        <w:rPr>
          <w:rFonts w:ascii="Calibri" w:hAnsi="Calibri" w:cs="Calibri"/>
          <w:lang w:val="en-US"/>
        </w:rPr>
        <w:t xml:space="preserve">, </w:t>
      </w:r>
      <w:r w:rsidRPr="00AB7D1E">
        <w:rPr>
          <w:rFonts w:ascii="Calibri" w:hAnsi="Calibri" w:cs="Calibri"/>
          <w:lang w:val="en-US"/>
        </w:rPr>
        <w:t>except civil works</w:t>
      </w:r>
      <w:r w:rsidR="00FA0411" w:rsidRPr="00AB7D1E">
        <w:rPr>
          <w:rFonts w:ascii="Calibri" w:hAnsi="Calibri" w:cs="Calibri"/>
          <w:lang w:val="en-US"/>
        </w:rPr>
        <w:t xml:space="preserve"> (procurement of medical equipment, ensuring guidelines and trainings to public health officials and health care workers, support institutional and organizational, restructuring of facilities for the purposes of managing public health outbreaks, </w:t>
      </w:r>
      <w:proofErr w:type="spellStart"/>
      <w:r w:rsidR="00FA0411" w:rsidRPr="00AB7D1E">
        <w:rPr>
          <w:rFonts w:ascii="Calibri" w:hAnsi="Calibri" w:cs="Calibri"/>
          <w:lang w:val="en-US"/>
        </w:rPr>
        <w:t>etc</w:t>
      </w:r>
      <w:proofErr w:type="spellEnd"/>
      <w:r w:rsidR="00FA0411" w:rsidRPr="00AB7D1E">
        <w:rPr>
          <w:rFonts w:ascii="Calibri" w:hAnsi="Calibri" w:cs="Calibri"/>
          <w:lang w:val="en-US"/>
        </w:rPr>
        <w:t>)</w:t>
      </w:r>
      <w:r w:rsidRPr="00AB7D1E">
        <w:rPr>
          <w:rFonts w:ascii="Calibri" w:hAnsi="Calibri" w:cs="Calibri"/>
          <w:lang w:val="en-US"/>
        </w:rPr>
        <w:t>.</w:t>
      </w:r>
    </w:p>
    <w:p w14:paraId="5813D29D" w14:textId="7E22AD22" w:rsidR="0082111D" w:rsidRPr="00AB7D1E" w:rsidRDefault="009236BC" w:rsidP="009236BC">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PIU will be responsible for project coordination, the preparation of consolidated reports. It will be responsible for overall implementation of its respective </w:t>
      </w:r>
      <w:r w:rsidR="005225CB" w:rsidRPr="00AB7D1E">
        <w:rPr>
          <w:rFonts w:ascii="Calibri" w:hAnsi="Calibri" w:cs="Calibri"/>
          <w:lang w:val="en-US"/>
        </w:rPr>
        <w:t>activities</w:t>
      </w:r>
      <w:r w:rsidRPr="00AB7D1E">
        <w:rPr>
          <w:rFonts w:ascii="Calibri" w:hAnsi="Calibri" w:cs="Calibri"/>
          <w:lang w:val="en-US"/>
        </w:rPr>
        <w:t xml:space="preserve">, including functions such as </w:t>
      </w:r>
      <w:r w:rsidRPr="00AB7D1E">
        <w:rPr>
          <w:rFonts w:ascii="Calibri" w:hAnsi="Calibri" w:cs="Calibri"/>
          <w:lang w:val="en-US"/>
        </w:rPr>
        <w:lastRenderedPageBreak/>
        <w:t>procurement, technical inputs, progress monitoring, quality control, and social and environmental safeguards.</w:t>
      </w:r>
    </w:p>
    <w:p w14:paraId="2A551FC2" w14:textId="62EBC1BB" w:rsidR="00F366A8" w:rsidRPr="00AB7D1E" w:rsidRDefault="00F366A8" w:rsidP="00EB6629">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Chapters of the Environmental and Social Management Framework document are </w:t>
      </w:r>
      <w:r w:rsidR="00CC4CB6" w:rsidRPr="00AB7D1E">
        <w:rPr>
          <w:rFonts w:ascii="Calibri" w:hAnsi="Calibri" w:cs="Calibri"/>
          <w:lang w:val="en-US"/>
        </w:rPr>
        <w:t>following</w:t>
      </w:r>
      <w:r w:rsidRPr="00AB7D1E">
        <w:rPr>
          <w:rFonts w:ascii="Calibri" w:hAnsi="Calibri" w:cs="Calibri"/>
          <w:lang w:val="en-US"/>
        </w:rPr>
        <w:t>:</w:t>
      </w:r>
    </w:p>
    <w:p w14:paraId="1EB026B4" w14:textId="46F2F832" w:rsidR="00F366A8" w:rsidRPr="00B474CE" w:rsidRDefault="00F366A8" w:rsidP="003A2550">
      <w:pPr>
        <w:pStyle w:val="ListParagraph"/>
        <w:numPr>
          <w:ilvl w:val="0"/>
          <w:numId w:val="91"/>
        </w:numPr>
        <w:tabs>
          <w:tab w:val="left" w:pos="284"/>
        </w:tabs>
        <w:spacing w:before="0"/>
        <w:ind w:left="567" w:hanging="357"/>
        <w:rPr>
          <w:lang w:val="en-US" w:eastAsia="es-ES" w:bidi="en-US"/>
        </w:rPr>
      </w:pPr>
      <w:r w:rsidRPr="00B474CE">
        <w:rPr>
          <w:lang w:val="en-US" w:eastAsia="es-ES" w:bidi="en-US"/>
        </w:rPr>
        <w:t xml:space="preserve">INTRODUCTION </w:t>
      </w:r>
    </w:p>
    <w:p w14:paraId="302D9B58" w14:textId="2732EA1D" w:rsidR="00EE7C46" w:rsidRPr="00AB7D1E" w:rsidRDefault="00F366A8" w:rsidP="00DC1886">
      <w:pPr>
        <w:spacing w:before="0"/>
        <w:rPr>
          <w:rFonts w:hAnsi="Calibri" w:cs="Calibri"/>
          <w:lang w:val="en-US"/>
        </w:rPr>
      </w:pPr>
      <w:r w:rsidRPr="00AB7D1E">
        <w:rPr>
          <w:rFonts w:hAnsi="Calibri" w:cs="Calibri"/>
          <w:lang w:val="en-US"/>
        </w:rPr>
        <w:t xml:space="preserve">This Chapter consist short description </w:t>
      </w:r>
      <w:r w:rsidR="00EE7C46" w:rsidRPr="00AB7D1E">
        <w:rPr>
          <w:rFonts w:hAnsi="Calibri" w:cs="Calibri"/>
          <w:lang w:val="en-US"/>
        </w:rPr>
        <w:t>of ESMF purpose and principles and explains procedure of public disclosure of ESMF.</w:t>
      </w:r>
    </w:p>
    <w:p w14:paraId="7AFC1F5E" w14:textId="62FB5264" w:rsidR="00DC1886" w:rsidRPr="00AB7D1E" w:rsidRDefault="00F366A8" w:rsidP="003A2550">
      <w:pPr>
        <w:pStyle w:val="ListParagraph"/>
        <w:numPr>
          <w:ilvl w:val="0"/>
          <w:numId w:val="91"/>
        </w:numPr>
        <w:tabs>
          <w:tab w:val="left" w:pos="284"/>
        </w:tabs>
        <w:spacing w:before="0"/>
        <w:ind w:left="567" w:hanging="357"/>
        <w:rPr>
          <w:lang w:val="en-US" w:eastAsia="es-ES" w:bidi="en-US"/>
        </w:rPr>
      </w:pPr>
      <w:r w:rsidRPr="00AB7D1E">
        <w:rPr>
          <w:lang w:val="en-US" w:eastAsia="es-ES" w:bidi="en-US"/>
        </w:rPr>
        <w:t>PROJECT DESCRIPTION</w:t>
      </w:r>
      <w:r w:rsidR="005B4D18" w:rsidRPr="00AB7D1E">
        <w:rPr>
          <w:lang w:val="en-US" w:eastAsia="es-ES" w:bidi="en-US"/>
        </w:rPr>
        <w:t xml:space="preserve"> AND EGLIBILITY</w:t>
      </w:r>
    </w:p>
    <w:p w14:paraId="7CA7066D" w14:textId="1358DE86" w:rsidR="005B4D18" w:rsidRPr="00AB7D1E" w:rsidRDefault="005B4D18" w:rsidP="00DC1886">
      <w:pPr>
        <w:spacing w:before="0"/>
        <w:rPr>
          <w:lang w:val="en-US" w:eastAsia="es-ES" w:bidi="en-US"/>
        </w:rPr>
      </w:pPr>
      <w:r w:rsidRPr="00AB7D1E">
        <w:rPr>
          <w:lang w:val="en-US" w:eastAsia="es-ES" w:bidi="en-US"/>
        </w:rPr>
        <w:t>Th</w:t>
      </w:r>
      <w:r w:rsidR="00C212F0" w:rsidRPr="00AB7D1E">
        <w:rPr>
          <w:lang w:val="en-US" w:eastAsia="es-ES" w:bidi="en-US"/>
        </w:rPr>
        <w:t>e</w:t>
      </w:r>
      <w:r w:rsidRPr="00AB7D1E">
        <w:rPr>
          <w:lang w:val="en-US" w:eastAsia="es-ES" w:bidi="en-US"/>
        </w:rPr>
        <w:t xml:space="preserve"> Chapter gives project description in more details, explains project objectives</w:t>
      </w:r>
      <w:r w:rsidR="00EE7C46" w:rsidRPr="00AB7D1E">
        <w:rPr>
          <w:lang w:val="en-US" w:eastAsia="es-ES" w:bidi="en-US"/>
        </w:rPr>
        <w:t xml:space="preserve">, </w:t>
      </w:r>
      <w:r w:rsidRPr="00AB7D1E">
        <w:rPr>
          <w:lang w:val="en-US" w:eastAsia="es-ES" w:bidi="en-US"/>
        </w:rPr>
        <w:t>beneficiaries and provides exclusions from the project</w:t>
      </w:r>
      <w:r w:rsidR="00EE7C46" w:rsidRPr="00AB7D1E">
        <w:rPr>
          <w:lang w:val="en-US" w:eastAsia="es-ES" w:bidi="en-US"/>
        </w:rPr>
        <w:t>. Also, a short baseline on earthquake and COVID-19 situation in Croatia is presented in this chapter.</w:t>
      </w:r>
    </w:p>
    <w:p w14:paraId="3332A39E" w14:textId="1638E34F" w:rsidR="00F366A8" w:rsidRPr="00AB7D1E" w:rsidRDefault="00F366A8" w:rsidP="003A2550">
      <w:pPr>
        <w:pStyle w:val="ListParagraph"/>
        <w:numPr>
          <w:ilvl w:val="0"/>
          <w:numId w:val="91"/>
        </w:numPr>
        <w:tabs>
          <w:tab w:val="left" w:pos="284"/>
        </w:tabs>
        <w:spacing w:before="0"/>
        <w:ind w:left="567" w:hanging="357"/>
        <w:rPr>
          <w:lang w:val="en-US" w:eastAsia="es-ES" w:bidi="en-US"/>
        </w:rPr>
      </w:pPr>
      <w:r w:rsidRPr="00AB7D1E">
        <w:rPr>
          <w:lang w:val="en-US" w:eastAsia="es-ES" w:bidi="en-US"/>
        </w:rPr>
        <w:t xml:space="preserve">ENVIRONMENTAL AND SOCIAL BASELINE INFORMATION </w:t>
      </w:r>
    </w:p>
    <w:p w14:paraId="5F4A6A4D" w14:textId="535D872E" w:rsidR="00784FF4" w:rsidRPr="00AB7D1E" w:rsidRDefault="00F366A8" w:rsidP="00784FF4">
      <w:pPr>
        <w:tabs>
          <w:tab w:val="left" w:pos="284"/>
        </w:tabs>
        <w:spacing w:before="0"/>
        <w:rPr>
          <w:lang w:val="en-US" w:eastAsia="es-ES" w:bidi="en-US"/>
        </w:rPr>
      </w:pPr>
      <w:r w:rsidRPr="00AB7D1E">
        <w:rPr>
          <w:lang w:val="en-US" w:eastAsia="es-ES" w:bidi="en-US"/>
        </w:rPr>
        <w:t>Th</w:t>
      </w:r>
      <w:r w:rsidR="00FE55D4" w:rsidRPr="00AB7D1E">
        <w:rPr>
          <w:lang w:val="en-US" w:eastAsia="es-ES" w:bidi="en-US"/>
        </w:rPr>
        <w:t>is</w:t>
      </w:r>
      <w:r w:rsidRPr="00AB7D1E">
        <w:rPr>
          <w:lang w:val="en-US" w:eastAsia="es-ES" w:bidi="en-US"/>
        </w:rPr>
        <w:t xml:space="preserve"> </w:t>
      </w:r>
      <w:r w:rsidR="00523BCC" w:rsidRPr="00AB7D1E">
        <w:rPr>
          <w:lang w:val="en-US" w:eastAsia="es-ES" w:bidi="en-US"/>
        </w:rPr>
        <w:t xml:space="preserve">Section </w:t>
      </w:r>
      <w:r w:rsidRPr="00AB7D1E">
        <w:rPr>
          <w:lang w:val="en-US" w:eastAsia="es-ES" w:bidi="en-US"/>
        </w:rPr>
        <w:t xml:space="preserve">provides general information about </w:t>
      </w:r>
      <w:r w:rsidR="006F0357" w:rsidRPr="00AB7D1E">
        <w:rPr>
          <w:lang w:val="en-US" w:eastAsia="es-ES" w:bidi="en-US"/>
        </w:rPr>
        <w:t xml:space="preserve">relevant </w:t>
      </w:r>
      <w:r w:rsidRPr="00AB7D1E">
        <w:rPr>
          <w:lang w:val="en-US" w:eastAsia="es-ES" w:bidi="en-US"/>
        </w:rPr>
        <w:t xml:space="preserve">natural characteristics of the </w:t>
      </w:r>
      <w:r w:rsidR="005B4D18" w:rsidRPr="00AB7D1E">
        <w:rPr>
          <w:lang w:val="en-US" w:eastAsia="es-ES" w:bidi="en-US"/>
        </w:rPr>
        <w:t>Republic of Croatia and project area</w:t>
      </w:r>
      <w:r w:rsidRPr="00AB7D1E">
        <w:rPr>
          <w:lang w:val="en-US" w:eastAsia="es-ES" w:bidi="en-US"/>
        </w:rPr>
        <w:t xml:space="preserve"> in terms of </w:t>
      </w:r>
      <w:r w:rsidR="005B4D18" w:rsidRPr="00AB7D1E">
        <w:rPr>
          <w:lang w:val="en-US" w:eastAsia="es-ES" w:bidi="en-US"/>
        </w:rPr>
        <w:t>environmental characteristic (air emissions an</w:t>
      </w:r>
      <w:r w:rsidR="00FE55D4" w:rsidRPr="00AB7D1E">
        <w:rPr>
          <w:lang w:val="en-US" w:eastAsia="es-ES" w:bidi="en-US"/>
        </w:rPr>
        <w:t>d</w:t>
      </w:r>
      <w:r w:rsidR="005B4D18" w:rsidRPr="00AB7D1E">
        <w:rPr>
          <w:lang w:val="en-US" w:eastAsia="es-ES" w:bidi="en-US"/>
        </w:rPr>
        <w:t xml:space="preserve"> air qua</w:t>
      </w:r>
      <w:r w:rsidR="00FE55D4" w:rsidRPr="00AB7D1E">
        <w:rPr>
          <w:lang w:val="en-US" w:eastAsia="es-ES" w:bidi="en-US"/>
        </w:rPr>
        <w:t>lity, water quality, waste management, noise, nature protection, climate change)</w:t>
      </w:r>
      <w:r w:rsidRPr="00AB7D1E">
        <w:rPr>
          <w:lang w:val="en-US" w:eastAsia="es-ES" w:bidi="en-US"/>
        </w:rPr>
        <w:t>, basic demographic</w:t>
      </w:r>
      <w:r w:rsidR="002A28FA" w:rsidRPr="00AB7D1E">
        <w:rPr>
          <w:lang w:val="en-US" w:eastAsia="es-ES" w:bidi="en-US"/>
        </w:rPr>
        <w:t>,</w:t>
      </w:r>
      <w:r w:rsidRPr="00AB7D1E">
        <w:rPr>
          <w:lang w:val="en-US" w:eastAsia="es-ES" w:bidi="en-US"/>
        </w:rPr>
        <w:t xml:space="preserve"> economic data, </w:t>
      </w:r>
      <w:r w:rsidR="002A28FA" w:rsidRPr="00AB7D1E">
        <w:rPr>
          <w:lang w:val="en-US" w:eastAsia="es-ES" w:bidi="en-US"/>
        </w:rPr>
        <w:t xml:space="preserve">social protection and </w:t>
      </w:r>
      <w:r w:rsidR="00FE55D4" w:rsidRPr="00AB7D1E">
        <w:rPr>
          <w:lang w:val="en-US" w:eastAsia="es-ES" w:bidi="en-US"/>
        </w:rPr>
        <w:t>data on health care system, administrative division of Croatia</w:t>
      </w:r>
      <w:r w:rsidRPr="00AB7D1E">
        <w:rPr>
          <w:lang w:val="en-US" w:eastAsia="es-ES" w:bidi="en-US"/>
        </w:rPr>
        <w:t>.</w:t>
      </w:r>
    </w:p>
    <w:p w14:paraId="1B24929D" w14:textId="7DF6C05F" w:rsidR="00FE55D4" w:rsidRPr="003A2550" w:rsidRDefault="00FE55D4" w:rsidP="007D4FEA">
      <w:pPr>
        <w:pStyle w:val="ListParagraph"/>
        <w:numPr>
          <w:ilvl w:val="0"/>
          <w:numId w:val="91"/>
        </w:numPr>
        <w:tabs>
          <w:tab w:val="left" w:pos="284"/>
        </w:tabs>
        <w:spacing w:before="0"/>
        <w:ind w:left="567" w:hanging="357"/>
        <w:rPr>
          <w:lang w:val="en-US" w:eastAsia="es-ES" w:bidi="en-US"/>
        </w:rPr>
      </w:pPr>
      <w:r w:rsidRPr="003A2550">
        <w:rPr>
          <w:lang w:val="en-US" w:eastAsia="es-ES" w:bidi="en-US"/>
        </w:rPr>
        <w:t xml:space="preserve">NATIONAL ENVIRONMENTAL AND SOCIAL LEGISLATION AND INSTITUTIONS RELEVANT FOR THE PROJECT IMPLEMENTATION </w:t>
      </w:r>
    </w:p>
    <w:p w14:paraId="12D79A5B" w14:textId="6D98461A" w:rsidR="00F366A8" w:rsidRPr="00AB7D1E" w:rsidRDefault="006F0357" w:rsidP="00DC1886">
      <w:pPr>
        <w:spacing w:before="0"/>
        <w:rPr>
          <w:rFonts w:cs="Calibri"/>
          <w:lang w:val="en-US" w:eastAsia="es-ES" w:bidi="en-US"/>
        </w:rPr>
      </w:pPr>
      <w:r w:rsidRPr="00AB7D1E">
        <w:rPr>
          <w:rFonts w:cs="Calibri"/>
          <w:lang w:val="en-US" w:eastAsia="es-ES" w:bidi="en-US"/>
        </w:rPr>
        <w:t xml:space="preserve">Description of </w:t>
      </w:r>
      <w:r w:rsidR="00F366A8" w:rsidRPr="00AB7D1E">
        <w:rPr>
          <w:rFonts w:cs="Calibri"/>
          <w:lang w:val="en-US" w:eastAsia="es-ES" w:bidi="en-US"/>
        </w:rPr>
        <w:t xml:space="preserve">relevant national environmental and social </w:t>
      </w:r>
      <w:r w:rsidR="00D16C03" w:rsidRPr="00AB7D1E">
        <w:rPr>
          <w:rFonts w:cs="Calibri"/>
          <w:lang w:val="en-US" w:eastAsia="es-ES" w:bidi="en-US"/>
        </w:rPr>
        <w:t>legislation and procedures,</w:t>
      </w:r>
      <w:r w:rsidR="00FE55D4" w:rsidRPr="00AB7D1E">
        <w:rPr>
          <w:rFonts w:cs="Calibri"/>
          <w:lang w:val="en-US" w:eastAsia="es-ES" w:bidi="en-US"/>
        </w:rPr>
        <w:t xml:space="preserve"> including overview of institutional framework </w:t>
      </w:r>
      <w:r w:rsidRPr="00AB7D1E">
        <w:rPr>
          <w:rFonts w:cs="Calibri"/>
          <w:lang w:val="en-US" w:eastAsia="es-ES" w:bidi="en-US"/>
        </w:rPr>
        <w:t xml:space="preserve">is provided in this part of the document. </w:t>
      </w:r>
    </w:p>
    <w:p w14:paraId="6BD903B7" w14:textId="2E9CB0D2" w:rsidR="00FE55D4" w:rsidRPr="00AB7D1E" w:rsidRDefault="00FE55D4" w:rsidP="003A2550">
      <w:pPr>
        <w:pStyle w:val="ListParagraph"/>
        <w:numPr>
          <w:ilvl w:val="0"/>
          <w:numId w:val="91"/>
        </w:numPr>
        <w:tabs>
          <w:tab w:val="left" w:pos="284"/>
        </w:tabs>
        <w:spacing w:before="0"/>
        <w:ind w:left="567" w:hanging="357"/>
        <w:rPr>
          <w:lang w:val="en-US" w:eastAsia="es-ES" w:bidi="en-US"/>
        </w:rPr>
      </w:pPr>
      <w:bookmarkStart w:id="11" w:name="_Toc12633384"/>
      <w:r w:rsidRPr="00AB7D1E">
        <w:rPr>
          <w:lang w:val="en-US" w:eastAsia="es-ES" w:bidi="en-US"/>
        </w:rPr>
        <w:t>OVERVIEW OF WORLD BANK ENVIRONMENTAL AND SOCIAL STANDARDS</w:t>
      </w:r>
      <w:bookmarkEnd w:id="11"/>
      <w:r w:rsidRPr="00AB7D1E">
        <w:rPr>
          <w:lang w:val="en-US" w:eastAsia="es-ES" w:bidi="en-US"/>
        </w:rPr>
        <w:t xml:space="preserve"> </w:t>
      </w:r>
    </w:p>
    <w:p w14:paraId="7F708614" w14:textId="6950DD9C" w:rsidR="00FE55D4" w:rsidRPr="00B474CE" w:rsidRDefault="00FE55D4" w:rsidP="00B474CE">
      <w:pPr>
        <w:spacing w:before="0"/>
        <w:rPr>
          <w:rFonts w:cs="Calibri"/>
          <w:lang w:val="en-US" w:eastAsia="es-ES" w:bidi="en-US"/>
        </w:rPr>
      </w:pPr>
      <w:r w:rsidRPr="00B474CE">
        <w:rPr>
          <w:rFonts w:cs="Calibri"/>
          <w:lang w:val="en-US" w:eastAsia="es-ES" w:bidi="en-US"/>
        </w:rPr>
        <w:t xml:space="preserve">This Chapter provides the brief overview of the World Bank Environmental and Social Standards, and results of preliminary screening </w:t>
      </w:r>
      <w:r w:rsidR="008400F0" w:rsidRPr="00B474CE">
        <w:rPr>
          <w:rFonts w:cs="Calibri"/>
          <w:lang w:val="en-US" w:eastAsia="es-ES" w:bidi="en-US"/>
        </w:rPr>
        <w:t>(</w:t>
      </w:r>
      <w:r w:rsidRPr="00B474CE">
        <w:rPr>
          <w:rFonts w:cs="Calibri"/>
          <w:lang w:val="en-US" w:eastAsia="es-ES" w:bidi="en-US"/>
        </w:rPr>
        <w:t xml:space="preserve">relevant ones that should be considered for the </w:t>
      </w:r>
      <w:r w:rsidR="008400F0" w:rsidRPr="00B474CE">
        <w:rPr>
          <w:rFonts w:cs="Calibri"/>
          <w:lang w:val="en-US" w:eastAsia="es-ES" w:bidi="en-US"/>
        </w:rPr>
        <w:t>p</w:t>
      </w:r>
      <w:r w:rsidRPr="00B474CE">
        <w:rPr>
          <w:rFonts w:cs="Calibri"/>
          <w:lang w:val="en-US" w:eastAsia="es-ES" w:bidi="en-US"/>
        </w:rPr>
        <w:t>roject to ensure prevention, mitigation and compensation in case of adverse impacts of project development to environmental and social conditions</w:t>
      </w:r>
      <w:r w:rsidR="008400F0" w:rsidRPr="00B474CE">
        <w:rPr>
          <w:rFonts w:cs="Calibri"/>
          <w:lang w:val="en-US" w:eastAsia="es-ES" w:bidi="en-US"/>
        </w:rPr>
        <w:t>)</w:t>
      </w:r>
      <w:r w:rsidR="00BF47DC" w:rsidRPr="00B474CE">
        <w:rPr>
          <w:rFonts w:cs="Calibri"/>
          <w:lang w:val="en-US" w:eastAsia="es-ES" w:bidi="en-US"/>
        </w:rPr>
        <w:t>.</w:t>
      </w:r>
    </w:p>
    <w:p w14:paraId="7403B1C1" w14:textId="20CE3E92" w:rsidR="00FE55D4" w:rsidRPr="003A2550" w:rsidRDefault="00891678" w:rsidP="003A2550">
      <w:pPr>
        <w:pStyle w:val="ListParagraph"/>
        <w:numPr>
          <w:ilvl w:val="0"/>
          <w:numId w:val="91"/>
        </w:numPr>
        <w:tabs>
          <w:tab w:val="left" w:pos="284"/>
        </w:tabs>
        <w:spacing w:before="0"/>
        <w:ind w:left="567" w:hanging="357"/>
        <w:rPr>
          <w:lang w:val="en-US" w:eastAsia="es-ES" w:bidi="en-US"/>
        </w:rPr>
      </w:pPr>
      <w:r w:rsidRPr="00B474CE">
        <w:rPr>
          <w:lang w:val="en-US" w:eastAsia="es-ES" w:bidi="en-US"/>
        </w:rPr>
        <w:t>GAP ANALYSES OF ESS AND NATIONAL LEGISLATION COMPLIANCE</w:t>
      </w:r>
    </w:p>
    <w:p w14:paraId="414A98E7" w14:textId="245B9ADD" w:rsidR="00891678" w:rsidRPr="00AB7D1E" w:rsidRDefault="000F1420" w:rsidP="00DC1886">
      <w:pPr>
        <w:spacing w:before="0" w:line="240" w:lineRule="auto"/>
        <w:rPr>
          <w:rFonts w:cs="Calibri"/>
          <w:lang w:val="en-US" w:eastAsia="es-ES" w:bidi="en-US"/>
        </w:rPr>
      </w:pPr>
      <w:r w:rsidRPr="00AB7D1E">
        <w:rPr>
          <w:rFonts w:cs="Calibri"/>
          <w:lang w:val="en-US" w:eastAsia="es-ES" w:bidi="en-US"/>
        </w:rPr>
        <w:t>R</w:t>
      </w:r>
      <w:r w:rsidR="00891678" w:rsidRPr="00AB7D1E">
        <w:rPr>
          <w:rFonts w:cs="Calibri"/>
          <w:lang w:val="en-US" w:eastAsia="es-ES" w:bidi="en-US"/>
        </w:rPr>
        <w:t>esult</w:t>
      </w:r>
      <w:r w:rsidR="00D16C03" w:rsidRPr="00AB7D1E">
        <w:rPr>
          <w:rFonts w:cs="Calibri"/>
          <w:lang w:val="en-US" w:eastAsia="es-ES" w:bidi="en-US"/>
        </w:rPr>
        <w:t xml:space="preserve">s of compliance analysis of </w:t>
      </w:r>
      <w:r w:rsidR="00784FF4" w:rsidRPr="00AB7D1E">
        <w:rPr>
          <w:rFonts w:cs="Calibri"/>
          <w:lang w:val="en-US" w:eastAsia="es-ES" w:bidi="en-US"/>
        </w:rPr>
        <w:t xml:space="preserve">WB </w:t>
      </w:r>
      <w:r w:rsidR="00D16C03" w:rsidRPr="00AB7D1E">
        <w:rPr>
          <w:rFonts w:cs="Calibri"/>
          <w:lang w:val="en-US" w:eastAsia="es-ES" w:bidi="en-US"/>
        </w:rPr>
        <w:t>ESS and national legislation</w:t>
      </w:r>
      <w:r w:rsidRPr="00AB7D1E">
        <w:rPr>
          <w:rFonts w:cs="Calibri"/>
          <w:lang w:val="en-US" w:eastAsia="es-ES" w:bidi="en-US"/>
        </w:rPr>
        <w:t xml:space="preserve"> are presented </w:t>
      </w:r>
      <w:r w:rsidR="00A2412A" w:rsidRPr="00AB7D1E">
        <w:rPr>
          <w:rFonts w:cs="Calibri"/>
          <w:lang w:val="en-US" w:eastAsia="es-ES" w:bidi="en-US"/>
        </w:rPr>
        <w:t>in this segment</w:t>
      </w:r>
      <w:r w:rsidR="00D16C03" w:rsidRPr="00AB7D1E">
        <w:rPr>
          <w:rFonts w:cs="Calibri"/>
          <w:lang w:val="en-US" w:eastAsia="es-ES" w:bidi="en-US"/>
        </w:rPr>
        <w:t>.</w:t>
      </w:r>
    </w:p>
    <w:p w14:paraId="35328D7C" w14:textId="7ED6F65B" w:rsidR="00D16C03" w:rsidRPr="00AB7D1E" w:rsidRDefault="00D16C03" w:rsidP="003A2550">
      <w:pPr>
        <w:pStyle w:val="ListParagraph"/>
        <w:numPr>
          <w:ilvl w:val="0"/>
          <w:numId w:val="91"/>
        </w:numPr>
        <w:tabs>
          <w:tab w:val="left" w:pos="284"/>
        </w:tabs>
        <w:spacing w:before="0"/>
        <w:ind w:left="567" w:hanging="357"/>
        <w:rPr>
          <w:lang w:val="en-US" w:eastAsia="es-ES" w:bidi="en-US"/>
        </w:rPr>
      </w:pPr>
      <w:r w:rsidRPr="00AB7D1E">
        <w:rPr>
          <w:lang w:val="en-US" w:eastAsia="es-ES" w:bidi="en-US"/>
        </w:rPr>
        <w:t>SCREENING OF POTENTIAL ENVIRONMENT AND SOCIAL IMPACTS</w:t>
      </w:r>
    </w:p>
    <w:p w14:paraId="36E9DFE0" w14:textId="103DD6E1" w:rsidR="00784FF4" w:rsidRPr="00AB7D1E" w:rsidRDefault="00D16C03" w:rsidP="00784FF4">
      <w:pPr>
        <w:spacing w:before="0" w:line="240" w:lineRule="auto"/>
        <w:rPr>
          <w:lang w:val="en-US" w:eastAsia="es-ES" w:bidi="en-US"/>
        </w:rPr>
      </w:pPr>
      <w:r w:rsidRPr="00AB7D1E">
        <w:rPr>
          <w:lang w:val="en-US" w:eastAsia="es-ES" w:bidi="en-US"/>
        </w:rPr>
        <w:t>This Chapter provides description of possible environmental and social</w:t>
      </w:r>
      <w:r w:rsidR="00A2412A" w:rsidRPr="00AB7D1E">
        <w:rPr>
          <w:lang w:val="en-US" w:eastAsia="es-ES" w:bidi="en-US"/>
        </w:rPr>
        <w:t xml:space="preserve"> risks and</w:t>
      </w:r>
      <w:r w:rsidRPr="00AB7D1E">
        <w:rPr>
          <w:lang w:val="en-US" w:eastAsia="es-ES" w:bidi="en-US"/>
        </w:rPr>
        <w:t xml:space="preserve"> impacts that may occur during implementation of project activities</w:t>
      </w:r>
    </w:p>
    <w:p w14:paraId="2E0013A2" w14:textId="48566EEA" w:rsidR="00784FF4" w:rsidRPr="00AB7D1E" w:rsidRDefault="00784FF4" w:rsidP="003A2550">
      <w:pPr>
        <w:pStyle w:val="ListParagraph"/>
        <w:numPr>
          <w:ilvl w:val="0"/>
          <w:numId w:val="91"/>
        </w:numPr>
        <w:tabs>
          <w:tab w:val="left" w:pos="284"/>
        </w:tabs>
        <w:spacing w:before="0"/>
        <w:ind w:left="567" w:hanging="357"/>
        <w:rPr>
          <w:lang w:val="en-US" w:eastAsia="es-ES" w:bidi="en-US"/>
        </w:rPr>
      </w:pPr>
      <w:r w:rsidRPr="00AB7D1E">
        <w:rPr>
          <w:lang w:val="en-US" w:eastAsia="es-ES" w:bidi="en-US"/>
        </w:rPr>
        <w:t>IMPACT MITIGATION AND DUE DILIGENCE DOCUMENTS AND DECISIONS</w:t>
      </w:r>
    </w:p>
    <w:p w14:paraId="714FD937" w14:textId="2AA9D434" w:rsidR="00784FF4" w:rsidRPr="00AB7D1E" w:rsidRDefault="00706423" w:rsidP="003A2550">
      <w:pPr>
        <w:rPr>
          <w:lang w:val="en-US"/>
        </w:rPr>
      </w:pPr>
      <w:r w:rsidRPr="00AB7D1E">
        <w:rPr>
          <w:lang w:val="en-US"/>
        </w:rPr>
        <w:t>E</w:t>
      </w:r>
      <w:r w:rsidR="00784FF4" w:rsidRPr="00AB7D1E">
        <w:rPr>
          <w:lang w:val="en-US"/>
        </w:rPr>
        <w:t>nvironmental and social due diligence instruments envisaged under the national legislation and World Bank ESS, including environmental and social screening results</w:t>
      </w:r>
      <w:r w:rsidRPr="00AB7D1E">
        <w:rPr>
          <w:lang w:val="en-US"/>
        </w:rPr>
        <w:t xml:space="preserve"> are discussed </w:t>
      </w:r>
      <w:r w:rsidR="00D569CC" w:rsidRPr="00AB7D1E">
        <w:rPr>
          <w:lang w:val="en-US"/>
        </w:rPr>
        <w:t>in the Chapter</w:t>
      </w:r>
      <w:r w:rsidR="00784FF4" w:rsidRPr="00AB7D1E">
        <w:rPr>
          <w:lang w:val="en-US"/>
        </w:rPr>
        <w:t xml:space="preserve">. </w:t>
      </w:r>
      <w:r w:rsidR="00D569CC" w:rsidRPr="00AB7D1E">
        <w:rPr>
          <w:lang w:val="en-US"/>
        </w:rPr>
        <w:t>In also provides overview</w:t>
      </w:r>
      <w:r w:rsidR="00784FF4" w:rsidRPr="00AB7D1E">
        <w:rPr>
          <w:lang w:val="en-US"/>
        </w:rPr>
        <w:t xml:space="preserve"> of mechanisms, activities, and measures that will be implemented to meet standards relevant to the project.</w:t>
      </w:r>
    </w:p>
    <w:p w14:paraId="7CFE9E6A" w14:textId="4E344B25" w:rsidR="00F366A8" w:rsidRPr="00AB7D1E" w:rsidRDefault="00F366A8" w:rsidP="003A2550">
      <w:pPr>
        <w:pStyle w:val="ListParagraph"/>
        <w:numPr>
          <w:ilvl w:val="0"/>
          <w:numId w:val="91"/>
        </w:numPr>
        <w:tabs>
          <w:tab w:val="left" w:pos="284"/>
        </w:tabs>
        <w:spacing w:before="0"/>
        <w:ind w:left="567" w:hanging="357"/>
        <w:rPr>
          <w:lang w:val="en-US" w:eastAsia="es-ES" w:bidi="en-US"/>
        </w:rPr>
      </w:pPr>
      <w:bookmarkStart w:id="12" w:name="_Hlk47996064"/>
      <w:r w:rsidRPr="00AB7D1E">
        <w:rPr>
          <w:lang w:val="en-US" w:eastAsia="es-ES" w:bidi="en-US"/>
        </w:rPr>
        <w:t>PROJECT IMPLEMENTATION SET</w:t>
      </w:r>
      <w:r w:rsidR="004F16AE">
        <w:rPr>
          <w:lang w:val="en-US" w:eastAsia="es-ES" w:bidi="en-US"/>
        </w:rPr>
        <w:t>IING</w:t>
      </w:r>
      <w:r w:rsidRPr="00AB7D1E">
        <w:rPr>
          <w:lang w:val="en-US" w:eastAsia="es-ES" w:bidi="en-US"/>
        </w:rPr>
        <w:t xml:space="preserve"> UP </w:t>
      </w:r>
    </w:p>
    <w:p w14:paraId="3BAD4C31" w14:textId="77777777" w:rsidR="005942BC" w:rsidRDefault="00F366A8" w:rsidP="005942BC">
      <w:pPr>
        <w:spacing w:before="0" w:line="240" w:lineRule="auto"/>
        <w:rPr>
          <w:rFonts w:hAnsi="Calibri" w:cs="Calibri"/>
          <w:lang w:val="en-US"/>
        </w:rPr>
      </w:pPr>
      <w:r w:rsidRPr="00AB7D1E">
        <w:rPr>
          <w:rFonts w:hAnsi="Calibri" w:cs="Calibri"/>
          <w:lang w:val="en-US"/>
        </w:rPr>
        <w:t>Th</w:t>
      </w:r>
      <w:r w:rsidR="00023492" w:rsidRPr="00AB7D1E">
        <w:rPr>
          <w:rFonts w:hAnsi="Calibri" w:cs="Calibri"/>
          <w:lang w:val="en-US"/>
        </w:rPr>
        <w:t>is</w:t>
      </w:r>
      <w:r w:rsidRPr="00AB7D1E">
        <w:rPr>
          <w:rFonts w:hAnsi="Calibri" w:cs="Calibri"/>
          <w:lang w:val="en-US"/>
        </w:rPr>
        <w:t xml:space="preserve"> </w:t>
      </w:r>
      <w:r w:rsidR="006D08C1" w:rsidRPr="00AB7D1E">
        <w:rPr>
          <w:rFonts w:hAnsi="Calibri" w:cs="Calibri"/>
          <w:lang w:val="en-US"/>
        </w:rPr>
        <w:t xml:space="preserve">part </w:t>
      </w:r>
      <w:r w:rsidRPr="00AB7D1E">
        <w:rPr>
          <w:rFonts w:hAnsi="Calibri" w:cs="Calibri"/>
          <w:lang w:val="en-US"/>
        </w:rPr>
        <w:t xml:space="preserve">contains a description of the organizational structure of the </w:t>
      </w:r>
      <w:r w:rsidR="008400F0" w:rsidRPr="00AB7D1E">
        <w:rPr>
          <w:rFonts w:hAnsi="Calibri" w:cs="Calibri"/>
          <w:lang w:val="en-US"/>
        </w:rPr>
        <w:t>Project Implementation Unit</w:t>
      </w:r>
      <w:r w:rsidR="00701595" w:rsidRPr="00AB7D1E">
        <w:rPr>
          <w:rFonts w:hAnsi="Calibri" w:cs="Calibri"/>
          <w:lang w:val="en-US"/>
        </w:rPr>
        <w:t>s</w:t>
      </w:r>
      <w:r w:rsidRPr="00AB7D1E">
        <w:rPr>
          <w:rFonts w:hAnsi="Calibri" w:cs="Calibri"/>
          <w:lang w:val="en-US"/>
        </w:rPr>
        <w:t xml:space="preserve"> within the </w:t>
      </w:r>
      <w:proofErr w:type="spellStart"/>
      <w:r w:rsidR="00023492" w:rsidRPr="00AB7D1E">
        <w:rPr>
          <w:rFonts w:hAnsi="Calibri" w:cs="Calibri"/>
          <w:lang w:val="en-US"/>
        </w:rPr>
        <w:t>MoPPCS</w:t>
      </w:r>
      <w:r w:rsidR="00442630">
        <w:rPr>
          <w:rFonts w:hAnsi="Calibri" w:cs="Calibri"/>
          <w:lang w:val="en-US"/>
        </w:rPr>
        <w:t>A</w:t>
      </w:r>
      <w:proofErr w:type="spellEnd"/>
      <w:r w:rsidR="00784FF4" w:rsidRPr="00AB7D1E">
        <w:rPr>
          <w:rFonts w:hAnsi="Calibri" w:cs="Calibri"/>
          <w:lang w:val="en-US"/>
        </w:rPr>
        <w:t xml:space="preserve"> and </w:t>
      </w:r>
      <w:proofErr w:type="spellStart"/>
      <w:r w:rsidR="00784FF4" w:rsidRPr="00AB7D1E">
        <w:rPr>
          <w:rFonts w:hAnsi="Calibri" w:cs="Calibri"/>
          <w:lang w:val="en-US"/>
        </w:rPr>
        <w:t>MoH</w:t>
      </w:r>
      <w:proofErr w:type="spellEnd"/>
      <w:r w:rsidRPr="00AB7D1E">
        <w:rPr>
          <w:rFonts w:hAnsi="Calibri" w:cs="Calibri"/>
          <w:lang w:val="en-US"/>
        </w:rPr>
        <w:t xml:space="preserve"> as a responsible Unit</w:t>
      </w:r>
      <w:r w:rsidR="00784FF4" w:rsidRPr="00AB7D1E">
        <w:rPr>
          <w:rFonts w:hAnsi="Calibri" w:cs="Calibri"/>
          <w:lang w:val="en-US"/>
        </w:rPr>
        <w:t>s</w:t>
      </w:r>
      <w:r w:rsidRPr="00AB7D1E">
        <w:rPr>
          <w:rFonts w:hAnsi="Calibri" w:cs="Calibri"/>
          <w:lang w:val="en-US"/>
        </w:rPr>
        <w:t xml:space="preserve"> for implementation of the project</w:t>
      </w:r>
      <w:r w:rsidR="00023492" w:rsidRPr="00AB7D1E">
        <w:rPr>
          <w:rFonts w:hAnsi="Calibri" w:cs="Calibri"/>
          <w:lang w:val="en-US"/>
        </w:rPr>
        <w:t xml:space="preserve"> and reporting arrangement</w:t>
      </w:r>
      <w:bookmarkEnd w:id="12"/>
      <w:r w:rsidR="00023492" w:rsidRPr="00AB7D1E">
        <w:rPr>
          <w:rFonts w:hAnsi="Calibri" w:cs="Calibri"/>
          <w:lang w:val="en-US"/>
        </w:rPr>
        <w:t>.</w:t>
      </w:r>
    </w:p>
    <w:p w14:paraId="35115CFF" w14:textId="42B1D7B6" w:rsidR="005942BC" w:rsidRPr="005942BC" w:rsidRDefault="005942BC" w:rsidP="005942BC">
      <w:pPr>
        <w:pStyle w:val="ListParagraph"/>
        <w:numPr>
          <w:ilvl w:val="0"/>
          <w:numId w:val="100"/>
        </w:numPr>
        <w:spacing w:before="0" w:line="240" w:lineRule="auto"/>
        <w:ind w:left="0" w:firstLine="0"/>
        <w:rPr>
          <w:rFonts w:hAnsi="Calibri" w:cs="Calibri"/>
          <w:lang w:val="en-US"/>
        </w:rPr>
      </w:pPr>
      <w:r w:rsidRPr="005942BC">
        <w:rPr>
          <w:lang w:val="en-US" w:eastAsia="es-ES" w:bidi="en-US"/>
        </w:rPr>
        <w:lastRenderedPageBreak/>
        <w:t>FEEDBACK AND GRIEVANCE REDRESS MECHANISM AND PUBLIC REACH AND CITIZEN ENGAGAMENT</w:t>
      </w:r>
    </w:p>
    <w:p w14:paraId="05F45EFD" w14:textId="170965F7" w:rsidR="00EB6629" w:rsidRPr="00AB7D1E" w:rsidRDefault="005942BC" w:rsidP="005942BC">
      <w:pPr>
        <w:spacing w:before="0"/>
        <w:rPr>
          <w:rFonts w:hAnsi="Calibri" w:cs="Calibri"/>
          <w:lang w:val="en-US"/>
        </w:rPr>
      </w:pPr>
      <w:r w:rsidRPr="005942BC">
        <w:rPr>
          <w:lang w:val="en-US" w:eastAsia="es-ES" w:bidi="en-US"/>
        </w:rPr>
        <w:t>This Chapter describes channels that will be available to stakeholders who would like to submit complaints, feedback, queries, suggestions, or compliments and the way project activities will be communicated with the public</w:t>
      </w:r>
      <w:r w:rsidR="00EB6629" w:rsidRPr="00AB7D1E">
        <w:rPr>
          <w:rFonts w:hAnsi="Calibri" w:cs="Calibri"/>
          <w:lang w:val="en-US"/>
        </w:rPr>
        <w:t>.</w:t>
      </w:r>
    </w:p>
    <w:p w14:paraId="3BE27067" w14:textId="77777777" w:rsidR="00263194" w:rsidRDefault="00263194" w:rsidP="003D15BA">
      <w:pPr>
        <w:suppressAutoHyphens w:val="0"/>
        <w:autoSpaceDN/>
        <w:spacing w:before="0" w:after="0" w:line="240" w:lineRule="auto"/>
        <w:contextualSpacing/>
        <w:jc w:val="left"/>
        <w:textAlignment w:val="auto"/>
        <w:rPr>
          <w:rFonts w:ascii="Calibri" w:eastAsia="Times New Roman" w:hAnsi="Times New Roman"/>
          <w:lang w:val="en-US" w:eastAsia="es-ES" w:bidi="en-US"/>
        </w:rPr>
      </w:pPr>
    </w:p>
    <w:p w14:paraId="15707474" w14:textId="254DFCA8" w:rsidR="00F366A8" w:rsidRPr="00AB7D1E" w:rsidRDefault="00F366A8" w:rsidP="003D15BA">
      <w:pPr>
        <w:suppressAutoHyphens w:val="0"/>
        <w:autoSpaceDN/>
        <w:spacing w:before="0" w:after="0" w:line="240" w:lineRule="auto"/>
        <w:contextualSpacing/>
        <w:jc w:val="left"/>
        <w:textAlignment w:val="auto"/>
        <w:rPr>
          <w:rFonts w:ascii="Calibri" w:eastAsia="Times New Roman" w:hAnsi="Times New Roman"/>
          <w:lang w:val="en-US" w:eastAsia="es-ES" w:bidi="en-US"/>
        </w:rPr>
      </w:pPr>
      <w:r w:rsidRPr="00AB7D1E">
        <w:rPr>
          <w:rFonts w:ascii="Calibri" w:eastAsia="Times New Roman" w:hAnsi="Times New Roman"/>
          <w:lang w:val="en-US" w:eastAsia="es-ES" w:bidi="en-US"/>
        </w:rPr>
        <w:t>ANNEXES</w:t>
      </w:r>
    </w:p>
    <w:p w14:paraId="6DE8173F" w14:textId="39BF918D" w:rsidR="007817C1" w:rsidRDefault="00AA26FE">
      <w:pPr>
        <w:pStyle w:val="TableofFigures"/>
        <w:tabs>
          <w:tab w:val="right" w:leader="dot" w:pos="9016"/>
        </w:tabs>
        <w:rPr>
          <w:rFonts w:eastAsiaTheme="minorEastAsia" w:cstheme="minorBidi"/>
          <w:noProof/>
          <w:lang w:eastAsia="hr-HR"/>
        </w:rPr>
      </w:pPr>
      <w:r>
        <w:rPr>
          <w:lang w:val="en-US"/>
        </w:rPr>
        <w:fldChar w:fldCharType="begin"/>
      </w:r>
      <w:r>
        <w:rPr>
          <w:lang w:val="en-US"/>
        </w:rPr>
        <w:instrText xml:space="preserve"> TOC \n \h \z \c "ANNEX" </w:instrText>
      </w:r>
      <w:r>
        <w:rPr>
          <w:lang w:val="en-US"/>
        </w:rPr>
        <w:fldChar w:fldCharType="separate"/>
      </w:r>
      <w:hyperlink w:anchor="_Toc56952319" w:history="1">
        <w:r w:rsidR="007817C1" w:rsidRPr="00491490">
          <w:rPr>
            <w:rStyle w:val="Hyperlink"/>
            <w:noProof/>
          </w:rPr>
          <w:t xml:space="preserve">ANNEX I </w:t>
        </w:r>
        <w:r w:rsidR="007817C1" w:rsidRPr="00491490">
          <w:rPr>
            <w:rStyle w:val="Hyperlink"/>
            <w:noProof/>
            <w:lang w:val="en-GB"/>
          </w:rPr>
          <w:t xml:space="preserve">– ECOLOGICAL NETWORK FOR COMPONENT </w:t>
        </w:r>
        <w:r w:rsidR="000B21F5">
          <w:rPr>
            <w:rStyle w:val="Hyperlink"/>
            <w:noProof/>
            <w:lang w:val="en-GB"/>
          </w:rPr>
          <w:t>2</w:t>
        </w:r>
        <w:r w:rsidR="007817C1" w:rsidRPr="00491490">
          <w:rPr>
            <w:rStyle w:val="Hyperlink"/>
            <w:noProof/>
            <w:lang w:val="en-GB"/>
          </w:rPr>
          <w:t xml:space="preserve"> (NATURA 2000)</w:t>
        </w:r>
      </w:hyperlink>
    </w:p>
    <w:p w14:paraId="7BD0B8C1" w14:textId="77777777" w:rsidR="007817C1" w:rsidRDefault="00C40C75">
      <w:pPr>
        <w:pStyle w:val="TableofFigures"/>
        <w:tabs>
          <w:tab w:val="right" w:leader="dot" w:pos="9016"/>
        </w:tabs>
        <w:rPr>
          <w:rFonts w:eastAsiaTheme="minorEastAsia" w:cstheme="minorBidi"/>
          <w:noProof/>
          <w:lang w:eastAsia="hr-HR"/>
        </w:rPr>
      </w:pPr>
      <w:hyperlink w:anchor="_Toc56952320" w:history="1">
        <w:r w:rsidR="007817C1" w:rsidRPr="00491490">
          <w:rPr>
            <w:rStyle w:val="Hyperlink"/>
            <w:noProof/>
          </w:rPr>
          <w:t xml:space="preserve">ANNEX II </w:t>
        </w:r>
        <w:r w:rsidR="007817C1" w:rsidRPr="00491490">
          <w:rPr>
            <w:rStyle w:val="Hyperlink"/>
            <w:noProof/>
            <w:lang w:val="en-US"/>
          </w:rPr>
          <w:t>– THE NATIONAL EIA PROCEDURE</w:t>
        </w:r>
      </w:hyperlink>
    </w:p>
    <w:p w14:paraId="114CC179" w14:textId="77777777" w:rsidR="007817C1" w:rsidRDefault="00C40C75">
      <w:pPr>
        <w:pStyle w:val="TableofFigures"/>
        <w:tabs>
          <w:tab w:val="right" w:leader="dot" w:pos="9016"/>
        </w:tabs>
        <w:rPr>
          <w:rFonts w:eastAsiaTheme="minorEastAsia" w:cstheme="minorBidi"/>
          <w:noProof/>
          <w:lang w:eastAsia="hr-HR"/>
        </w:rPr>
      </w:pPr>
      <w:hyperlink w:anchor="_Toc56952321" w:history="1">
        <w:r w:rsidR="007817C1" w:rsidRPr="00491490">
          <w:rPr>
            <w:rStyle w:val="Hyperlink"/>
            <w:noProof/>
          </w:rPr>
          <w:t xml:space="preserve">ANNEX III </w:t>
        </w:r>
        <w:r w:rsidR="007817C1" w:rsidRPr="00491490">
          <w:rPr>
            <w:rStyle w:val="Hyperlink"/>
            <w:noProof/>
            <w:lang w:val="en-US"/>
          </w:rPr>
          <w:t>- NATURA 2000 NETWORK AND PROTECTED PARTS OF NATURE – LEGAL PROTECTION PROCEDURE ACCORDING TO CROATIAN LEGISLATION</w:t>
        </w:r>
      </w:hyperlink>
    </w:p>
    <w:p w14:paraId="48A6EE16" w14:textId="77777777" w:rsidR="007817C1" w:rsidRDefault="00C40C75">
      <w:pPr>
        <w:pStyle w:val="TableofFigures"/>
        <w:tabs>
          <w:tab w:val="right" w:leader="dot" w:pos="9016"/>
        </w:tabs>
        <w:rPr>
          <w:rFonts w:eastAsiaTheme="minorEastAsia" w:cstheme="minorBidi"/>
          <w:noProof/>
          <w:lang w:eastAsia="hr-HR"/>
        </w:rPr>
      </w:pPr>
      <w:hyperlink w:anchor="_Toc56952322" w:history="1">
        <w:r w:rsidR="007817C1" w:rsidRPr="00491490">
          <w:rPr>
            <w:rStyle w:val="Hyperlink"/>
            <w:noProof/>
          </w:rPr>
          <w:t xml:space="preserve">ANNEX IV </w:t>
        </w:r>
        <w:r w:rsidR="007817C1" w:rsidRPr="00491490">
          <w:rPr>
            <w:rStyle w:val="Hyperlink"/>
            <w:noProof/>
            <w:lang w:val="en-US"/>
          </w:rPr>
          <w:t>- PROCEDURE OF ISSUING LOCATION, BUILDING AND USE PERMIT ACCORDING TO CONSTRUCTION ACT (OG 153/13, 20/17, 39/19,125/19) AND THE PHYSICAL PLANNING ACT (OG 153/13, 65/17, 114/18, 39/19, 98/19)</w:t>
        </w:r>
      </w:hyperlink>
    </w:p>
    <w:p w14:paraId="4708A57F" w14:textId="77777777" w:rsidR="007817C1" w:rsidRDefault="00C40C75">
      <w:pPr>
        <w:pStyle w:val="TableofFigures"/>
        <w:tabs>
          <w:tab w:val="right" w:leader="dot" w:pos="9016"/>
        </w:tabs>
        <w:rPr>
          <w:rFonts w:eastAsiaTheme="minorEastAsia" w:cstheme="minorBidi"/>
          <w:noProof/>
          <w:lang w:eastAsia="hr-HR"/>
        </w:rPr>
      </w:pPr>
      <w:hyperlink w:anchor="_Toc56952323" w:history="1">
        <w:r w:rsidR="007817C1" w:rsidRPr="00491490">
          <w:rPr>
            <w:rStyle w:val="Hyperlink"/>
            <w:noProof/>
          </w:rPr>
          <w:t>ANNEX V</w:t>
        </w:r>
        <w:r w:rsidR="007817C1" w:rsidRPr="00491490">
          <w:rPr>
            <w:rStyle w:val="Hyperlink"/>
            <w:noProof/>
            <w:lang w:val="en-US"/>
          </w:rPr>
          <w:t xml:space="preserve"> - PROCEDURES FOR ISSUING LOCATION, BUILDING AND USE PERMITS (regular procedure – no natural disaster proclaimed)</w:t>
        </w:r>
      </w:hyperlink>
    </w:p>
    <w:p w14:paraId="31C1DB5E" w14:textId="77777777" w:rsidR="007817C1" w:rsidRDefault="00C40C75">
      <w:pPr>
        <w:pStyle w:val="TableofFigures"/>
        <w:tabs>
          <w:tab w:val="right" w:leader="dot" w:pos="9016"/>
        </w:tabs>
        <w:rPr>
          <w:rFonts w:eastAsiaTheme="minorEastAsia" w:cstheme="minorBidi"/>
          <w:noProof/>
          <w:lang w:eastAsia="hr-HR"/>
        </w:rPr>
      </w:pPr>
      <w:hyperlink w:anchor="_Toc56952324" w:history="1">
        <w:r w:rsidR="007817C1" w:rsidRPr="00491490">
          <w:rPr>
            <w:rStyle w:val="Hyperlink"/>
            <w:noProof/>
          </w:rPr>
          <w:t>ANNEX VI</w:t>
        </w:r>
        <w:r w:rsidR="007817C1" w:rsidRPr="00491490">
          <w:rPr>
            <w:rStyle w:val="Hyperlink"/>
            <w:noProof/>
            <w:lang w:val="en-US"/>
          </w:rPr>
          <w:t xml:space="preserve"> - </w:t>
        </w:r>
        <w:r w:rsidR="007817C1" w:rsidRPr="00491490">
          <w:rPr>
            <w:rStyle w:val="Hyperlink"/>
            <w:rFonts w:eastAsia="Times New Roman"/>
            <w:noProof/>
            <w:lang w:val="en-GB" w:eastAsia="hr-HR"/>
          </w:rPr>
          <w:t>ANNEX III of the Technical Regulation for Building Structures (OG 17/17,75/20)</w:t>
        </w:r>
      </w:hyperlink>
    </w:p>
    <w:p w14:paraId="75098401" w14:textId="77777777" w:rsidR="007817C1" w:rsidRDefault="00C40C75">
      <w:pPr>
        <w:pStyle w:val="TableofFigures"/>
        <w:tabs>
          <w:tab w:val="right" w:leader="dot" w:pos="9016"/>
        </w:tabs>
        <w:rPr>
          <w:rFonts w:eastAsiaTheme="minorEastAsia" w:cstheme="minorBidi"/>
          <w:noProof/>
          <w:lang w:eastAsia="hr-HR"/>
        </w:rPr>
      </w:pPr>
      <w:hyperlink w:anchor="_Toc56952325" w:history="1">
        <w:r w:rsidR="007817C1" w:rsidRPr="00491490">
          <w:rPr>
            <w:rStyle w:val="Hyperlink"/>
            <w:noProof/>
          </w:rPr>
          <w:t xml:space="preserve">ANNEX VII - </w:t>
        </w:r>
        <w:r w:rsidR="007817C1" w:rsidRPr="00491490">
          <w:rPr>
            <w:rStyle w:val="Hyperlink"/>
            <w:noProof/>
            <w:lang w:val="en-GB"/>
          </w:rPr>
          <w:t>PROTECTION OF CULTURAL HERITAGE WITHIN BUILDING PERMITTING PROCESS ACCORDING TO ACT ON THE PROTECTION AND PRESERVATION OF CULTURAL PROPERTY (OG 69/99, 151/03, 157/03, 100/04, 87/09, 88/10, 61/11, 25/12, 136/12, 157/13, 152/14, 98/15, 44/17, 90/18, 32/20, 62/20)</w:t>
        </w:r>
      </w:hyperlink>
    </w:p>
    <w:p w14:paraId="091A18EC" w14:textId="77777777" w:rsidR="007817C1" w:rsidRDefault="00C40C75">
      <w:pPr>
        <w:pStyle w:val="TableofFigures"/>
        <w:tabs>
          <w:tab w:val="right" w:leader="dot" w:pos="9016"/>
        </w:tabs>
        <w:rPr>
          <w:rFonts w:eastAsiaTheme="minorEastAsia" w:cstheme="minorBidi"/>
          <w:noProof/>
          <w:lang w:eastAsia="hr-HR"/>
        </w:rPr>
      </w:pPr>
      <w:hyperlink w:anchor="_Toc56952326" w:history="1">
        <w:r w:rsidR="007817C1" w:rsidRPr="00491490">
          <w:rPr>
            <w:rStyle w:val="Hyperlink"/>
            <w:noProof/>
          </w:rPr>
          <w:t xml:space="preserve">ANNEX VIII - </w:t>
        </w:r>
        <w:r w:rsidR="007817C1" w:rsidRPr="00491490">
          <w:rPr>
            <w:rStyle w:val="Hyperlink"/>
            <w:noProof/>
            <w:lang w:val="en-US"/>
          </w:rPr>
          <w:t>ENVIRONMENTAL AND SOCIAL SCREENING QUESTIONNAIRE AND SCREENING REPORT</w:t>
        </w:r>
      </w:hyperlink>
    </w:p>
    <w:p w14:paraId="493AC144" w14:textId="77777777" w:rsidR="007817C1" w:rsidRDefault="00C40C75">
      <w:pPr>
        <w:pStyle w:val="TableofFigures"/>
        <w:tabs>
          <w:tab w:val="right" w:leader="dot" w:pos="9016"/>
        </w:tabs>
        <w:rPr>
          <w:rFonts w:eastAsiaTheme="minorEastAsia" w:cstheme="minorBidi"/>
          <w:noProof/>
          <w:lang w:eastAsia="hr-HR"/>
        </w:rPr>
      </w:pPr>
      <w:hyperlink w:anchor="_Toc56952327" w:history="1">
        <w:r w:rsidR="007817C1" w:rsidRPr="00491490">
          <w:rPr>
            <w:rStyle w:val="Hyperlink"/>
            <w:noProof/>
          </w:rPr>
          <w:t xml:space="preserve">ANNEX IX </w:t>
        </w:r>
        <w:r w:rsidR="007817C1" w:rsidRPr="00491490">
          <w:rPr>
            <w:rStyle w:val="Hyperlink"/>
            <w:noProof/>
            <w:lang w:val="en-US"/>
          </w:rPr>
          <w:t>- ESMP CHECK LIST TEMPLATE</w:t>
        </w:r>
      </w:hyperlink>
    </w:p>
    <w:p w14:paraId="6E153BFF" w14:textId="77777777" w:rsidR="007817C1" w:rsidRDefault="00C40C75">
      <w:pPr>
        <w:pStyle w:val="TableofFigures"/>
        <w:tabs>
          <w:tab w:val="right" w:leader="dot" w:pos="9016"/>
        </w:tabs>
        <w:rPr>
          <w:rFonts w:eastAsiaTheme="minorEastAsia" w:cstheme="minorBidi"/>
          <w:noProof/>
          <w:lang w:eastAsia="hr-HR"/>
        </w:rPr>
      </w:pPr>
      <w:hyperlink w:anchor="_Toc56952328" w:history="1">
        <w:r w:rsidR="007817C1" w:rsidRPr="00491490">
          <w:rPr>
            <w:rStyle w:val="Hyperlink"/>
            <w:noProof/>
          </w:rPr>
          <w:t>ANNEX X</w:t>
        </w:r>
        <w:r w:rsidR="007817C1" w:rsidRPr="00491490">
          <w:rPr>
            <w:rStyle w:val="Hyperlink"/>
            <w:noProof/>
            <w:lang w:val="en-US"/>
          </w:rPr>
          <w:t>- MONTHLY FIELD ENVIRONMENTAL MONITORING CHECKLIST</w:t>
        </w:r>
      </w:hyperlink>
    </w:p>
    <w:p w14:paraId="3FAB8DDD" w14:textId="77777777" w:rsidR="007817C1" w:rsidRDefault="00C40C75">
      <w:pPr>
        <w:pStyle w:val="TableofFigures"/>
        <w:tabs>
          <w:tab w:val="right" w:leader="dot" w:pos="9016"/>
        </w:tabs>
        <w:rPr>
          <w:rFonts w:eastAsiaTheme="minorEastAsia" w:cstheme="minorBidi"/>
          <w:noProof/>
          <w:lang w:eastAsia="hr-HR"/>
        </w:rPr>
      </w:pPr>
      <w:hyperlink w:anchor="_Toc56952329" w:history="1">
        <w:r w:rsidR="007817C1" w:rsidRPr="00491490">
          <w:rPr>
            <w:rStyle w:val="Hyperlink"/>
            <w:noProof/>
          </w:rPr>
          <w:t xml:space="preserve">ANNEX XI </w:t>
        </w:r>
        <w:r w:rsidR="007817C1" w:rsidRPr="00491490">
          <w:rPr>
            <w:rStyle w:val="Hyperlink"/>
            <w:noProof/>
            <w:lang w:val="en-US"/>
          </w:rPr>
          <w:t xml:space="preserve"> – INFECTION CONTROL AND WASTE MANAGEMENT PLAN (ICWMP) TEMPLATE</w:t>
        </w:r>
      </w:hyperlink>
    </w:p>
    <w:p w14:paraId="336E243D" w14:textId="77777777" w:rsidR="007817C1" w:rsidRDefault="00C40C75">
      <w:pPr>
        <w:pStyle w:val="TableofFigures"/>
        <w:tabs>
          <w:tab w:val="right" w:leader="dot" w:pos="9016"/>
        </w:tabs>
        <w:rPr>
          <w:rFonts w:eastAsiaTheme="minorEastAsia" w:cstheme="minorBidi"/>
          <w:noProof/>
          <w:lang w:eastAsia="hr-HR"/>
        </w:rPr>
      </w:pPr>
      <w:hyperlink w:anchor="_Toc56952330" w:history="1">
        <w:r w:rsidR="007817C1" w:rsidRPr="00491490">
          <w:rPr>
            <w:rStyle w:val="Hyperlink"/>
            <w:noProof/>
          </w:rPr>
          <w:t xml:space="preserve">ANNEX XII </w:t>
        </w:r>
        <w:r w:rsidR="007817C1" w:rsidRPr="00491490">
          <w:rPr>
            <w:rStyle w:val="Hyperlink"/>
            <w:noProof/>
            <w:lang w:val="en-US"/>
          </w:rPr>
          <w:t xml:space="preserve"> – </w:t>
        </w:r>
        <w:r w:rsidR="007817C1" w:rsidRPr="00491490">
          <w:rPr>
            <w:rStyle w:val="Hyperlink"/>
            <w:noProof/>
          </w:rPr>
          <w:t>ESF/SAFEGUARDS INTERIM NOTE</w:t>
        </w:r>
      </w:hyperlink>
    </w:p>
    <w:p w14:paraId="2371008B" w14:textId="77777777" w:rsidR="007817C1" w:rsidRDefault="00C40C75">
      <w:pPr>
        <w:pStyle w:val="TableofFigures"/>
        <w:tabs>
          <w:tab w:val="right" w:leader="dot" w:pos="9016"/>
        </w:tabs>
        <w:rPr>
          <w:rFonts w:eastAsiaTheme="minorEastAsia" w:cstheme="minorBidi"/>
          <w:noProof/>
          <w:lang w:eastAsia="hr-HR"/>
        </w:rPr>
      </w:pPr>
      <w:hyperlink w:anchor="_Toc56952331" w:history="1">
        <w:r w:rsidR="007817C1" w:rsidRPr="00491490">
          <w:rPr>
            <w:rStyle w:val="Hyperlink"/>
            <w:noProof/>
          </w:rPr>
          <w:t>ANNEX XIII</w:t>
        </w:r>
        <w:r w:rsidR="007817C1" w:rsidRPr="00491490">
          <w:rPr>
            <w:rStyle w:val="Hyperlink"/>
            <w:noProof/>
            <w:lang w:val="en-US"/>
          </w:rPr>
          <w:t>– LIST OF COVID-19 GUIDANCES</w:t>
        </w:r>
      </w:hyperlink>
    </w:p>
    <w:p w14:paraId="09D0CB43" w14:textId="412E99CE" w:rsidR="00225514" w:rsidRPr="00AB7D1E" w:rsidRDefault="00AA26FE" w:rsidP="00AA26FE">
      <w:pPr>
        <w:rPr>
          <w:lang w:val="en-US"/>
        </w:rPr>
      </w:pPr>
      <w:r>
        <w:rPr>
          <w:lang w:val="en-US"/>
        </w:rPr>
        <w:fldChar w:fldCharType="end"/>
      </w:r>
      <w:r w:rsidR="00225514" w:rsidRPr="00AB7D1E">
        <w:rPr>
          <w:lang w:val="en-US"/>
        </w:rPr>
        <w:br w:type="page"/>
      </w:r>
    </w:p>
    <w:p w14:paraId="0401A57C" w14:textId="632921AE" w:rsidR="00E43AF4" w:rsidRPr="00AB7D1E" w:rsidRDefault="00E43AF4" w:rsidP="00146655">
      <w:pPr>
        <w:pStyle w:val="Heading1"/>
        <w:rPr>
          <w:lang w:val="en-US"/>
        </w:rPr>
      </w:pPr>
      <w:bookmarkStart w:id="13" w:name="_Toc56954025"/>
      <w:r w:rsidRPr="00AB7D1E">
        <w:rPr>
          <w:lang w:val="en-US"/>
        </w:rPr>
        <w:lastRenderedPageBreak/>
        <w:t>INTRODUCTION</w:t>
      </w:r>
      <w:bookmarkEnd w:id="13"/>
    </w:p>
    <w:p w14:paraId="27E33AD0" w14:textId="6E5E4C24" w:rsidR="00FA23A6" w:rsidRPr="00AB7D1E" w:rsidRDefault="00072AA1" w:rsidP="00072AA1">
      <w:pPr>
        <w:rPr>
          <w:rFonts w:cstheme="minorHAnsi"/>
          <w:lang w:val="en-US"/>
        </w:rPr>
      </w:pPr>
      <w:bookmarkStart w:id="14" w:name="_Hlk47992017"/>
      <w:r w:rsidRPr="00AB7D1E">
        <w:rPr>
          <w:rFonts w:cstheme="minorHAnsi"/>
          <w:lang w:val="en-US"/>
        </w:rPr>
        <w:t>On March 22, 2020, the City of Zagreb was struck by earthquake, which severely damaged public buildings, hindering the effective delivery of health and education services. The earthquake took place 11 days after the World Health Organization declared COVID-19 to be a pandemic, a crisis that has stressed both the health system and public finances, which additional hinder earthquake recovery.</w:t>
      </w:r>
    </w:p>
    <w:p w14:paraId="7BFC9187" w14:textId="36C4476E" w:rsidR="00B1701C" w:rsidRPr="00AB7D1E" w:rsidRDefault="00B1701C" w:rsidP="00072AA1">
      <w:pPr>
        <w:rPr>
          <w:rFonts w:cstheme="minorHAnsi"/>
          <w:lang w:val="en-US"/>
        </w:rPr>
      </w:pPr>
      <w:r w:rsidRPr="00AB7D1E">
        <w:rPr>
          <w:rFonts w:cstheme="minorHAnsi"/>
          <w:lang w:val="en-US"/>
        </w:rPr>
        <w:t>Croatia is in a unique situation, facing a multi-layered emergency due to an earthquake (measuring 5.</w:t>
      </w:r>
      <w:r w:rsidR="00FD6C51" w:rsidRPr="00AB7D1E">
        <w:rPr>
          <w:rFonts w:cstheme="minorHAnsi"/>
          <w:lang w:val="en-US"/>
        </w:rPr>
        <w:t>5</w:t>
      </w:r>
      <w:r w:rsidRPr="00AB7D1E">
        <w:rPr>
          <w:rFonts w:cstheme="minorHAnsi"/>
          <w:lang w:val="en-US"/>
        </w:rPr>
        <w:t xml:space="preserve"> on the Richter scale), COVID-19 outbreak, and the related economic and fiscal implications. </w:t>
      </w:r>
    </w:p>
    <w:p w14:paraId="46C6B5B1" w14:textId="32487B04" w:rsidR="00B1701C" w:rsidRPr="00AB7D1E" w:rsidRDefault="00B1701C" w:rsidP="00EC0116">
      <w:pPr>
        <w:suppressAutoHyphens w:val="0"/>
        <w:autoSpaceDE w:val="0"/>
        <w:adjustRightInd w:val="0"/>
        <w:textAlignment w:val="auto"/>
        <w:rPr>
          <w:rFonts w:cstheme="minorHAnsi"/>
          <w:lang w:val="en-US"/>
        </w:rPr>
      </w:pPr>
      <w:r w:rsidRPr="00AB7D1E">
        <w:rPr>
          <w:rFonts w:cstheme="minorHAnsi"/>
          <w:lang w:val="en-US"/>
        </w:rPr>
        <w:t xml:space="preserve">The Government has implemented a series of measures to address the health impact of the COVID-19 virus, including the publication and dissemination of multilingual public health materials, closure of schools, prohibitions on large gatherings, deferral of elective health care, and sheltering of at-risk populations, such as the elderly. The government’s proactive response has stemmed the tide of the epidemic and the number of cases is gradually declining. Croatia’s proximity to several </w:t>
      </w:r>
      <w:proofErr w:type="spellStart"/>
      <w:r w:rsidR="00FD6C51" w:rsidRPr="00AB7D1E">
        <w:rPr>
          <w:rFonts w:cstheme="minorHAnsi"/>
          <w:lang w:val="en-US"/>
        </w:rPr>
        <w:t>epicentres</w:t>
      </w:r>
      <w:proofErr w:type="spellEnd"/>
      <w:r w:rsidRPr="00AB7D1E">
        <w:rPr>
          <w:rFonts w:cstheme="minorHAnsi"/>
          <w:lang w:val="en-US"/>
        </w:rPr>
        <w:t xml:space="preserve"> in the European outbreak, the outbreak of COVID-19 has been less acute than that experienced in other parts of Europe. Nevertheless, </w:t>
      </w:r>
      <w:proofErr w:type="gramStart"/>
      <w:r w:rsidRPr="00AB7D1E">
        <w:rPr>
          <w:rFonts w:cstheme="minorHAnsi"/>
          <w:lang w:val="en-US"/>
        </w:rPr>
        <w:t>WHO’s</w:t>
      </w:r>
      <w:proofErr w:type="gramEnd"/>
      <w:r w:rsidRPr="00AB7D1E">
        <w:rPr>
          <w:rFonts w:cstheme="minorHAnsi"/>
          <w:lang w:val="en-US"/>
        </w:rPr>
        <w:t xml:space="preserve"> scenario modelling anticipates that there will be continued transmission and waves of the outbreak in the next 12-18 months, with peaks expected during winter months.</w:t>
      </w:r>
    </w:p>
    <w:p w14:paraId="582AD12C" w14:textId="2D6EAF54" w:rsidR="00F70DD1" w:rsidRPr="00AB7D1E" w:rsidRDefault="00010222" w:rsidP="00EC0116">
      <w:pPr>
        <w:widowControl w:val="0"/>
        <w:suppressAutoHyphens w:val="0"/>
        <w:autoSpaceDE w:val="0"/>
        <w:adjustRightInd w:val="0"/>
        <w:textAlignment w:val="auto"/>
        <w:rPr>
          <w:rFonts w:eastAsia="MS Mincho" w:cstheme="minorHAnsi"/>
          <w:color w:val="000000"/>
          <w:lang w:val="en-US"/>
        </w:rPr>
      </w:pPr>
      <w:r w:rsidRPr="00AB7D1E">
        <w:rPr>
          <w:rFonts w:eastAsia="MS Mincho" w:cstheme="minorHAnsi"/>
          <w:color w:val="000000"/>
          <w:lang w:val="en-US"/>
        </w:rPr>
        <w:t xml:space="preserve">Investments </w:t>
      </w:r>
      <w:r w:rsidR="00F70DD1" w:rsidRPr="00AB7D1E">
        <w:rPr>
          <w:rFonts w:eastAsia="MS Mincho" w:cstheme="minorHAnsi"/>
          <w:color w:val="000000"/>
          <w:lang w:val="en-US"/>
        </w:rPr>
        <w:t xml:space="preserve">under this project (Component 2) </w:t>
      </w:r>
      <w:r w:rsidRPr="00AB7D1E">
        <w:rPr>
          <w:rFonts w:eastAsia="MS Mincho" w:cstheme="minorHAnsi"/>
          <w:color w:val="000000"/>
          <w:lang w:val="en-US"/>
        </w:rPr>
        <w:t>have been chosen to provide foundations for adaptive and improved service delivery. For example, telemedicine is appropriate for COVID-19 and public health outbreak response but also beneficial to primary care and integrated care</w:t>
      </w:r>
      <w:r w:rsidRPr="00AB7D1E">
        <w:rPr>
          <w:rFonts w:eastAsia="MS Mincho" w:cstheme="minorHAnsi"/>
          <w:color w:val="000000"/>
          <w:vertAlign w:val="superscript"/>
          <w:lang w:val="en-US"/>
        </w:rPr>
        <w:footnoteReference w:id="1"/>
      </w:r>
      <w:r w:rsidRPr="00AB7D1E">
        <w:rPr>
          <w:rFonts w:eastAsia="MS Mincho" w:cstheme="minorHAnsi"/>
          <w:color w:val="000000"/>
          <w:lang w:val="en-US"/>
        </w:rPr>
        <w:t xml:space="preserve"> service delivery objectives. It is not within the scope of the </w:t>
      </w:r>
      <w:r w:rsidR="00FD6C51" w:rsidRPr="00AB7D1E">
        <w:rPr>
          <w:rFonts w:eastAsia="MS Mincho" w:cstheme="minorHAnsi"/>
          <w:color w:val="000000"/>
          <w:lang w:val="en-US"/>
        </w:rPr>
        <w:t>p</w:t>
      </w:r>
      <w:r w:rsidRPr="00AB7D1E">
        <w:rPr>
          <w:rFonts w:eastAsia="MS Mincho" w:cstheme="minorHAnsi"/>
          <w:color w:val="000000"/>
          <w:lang w:val="en-US"/>
        </w:rPr>
        <w:t xml:space="preserve">roject to address all institutional challenges or engage in deep sector reform, however, targeted interventions can serve as a catalyst for high-quality service delivery that is also cost-effective. In terms of emergency response, the </w:t>
      </w:r>
      <w:proofErr w:type="spellStart"/>
      <w:r w:rsidRPr="00AB7D1E">
        <w:rPr>
          <w:rFonts w:eastAsia="MS Mincho" w:cstheme="minorHAnsi"/>
          <w:color w:val="000000"/>
          <w:lang w:val="en-US"/>
        </w:rPr>
        <w:t>MoH</w:t>
      </w:r>
      <w:proofErr w:type="spellEnd"/>
      <w:r w:rsidRPr="00AB7D1E">
        <w:rPr>
          <w:rFonts w:eastAsia="MS Mincho" w:cstheme="minorHAnsi"/>
          <w:color w:val="000000"/>
          <w:lang w:val="en-US"/>
        </w:rPr>
        <w:t xml:space="preserve">, the Croatian Institute of Emergency Medicine, and the Croatian Institute of Public Health </w:t>
      </w:r>
      <w:r w:rsidR="00F70DD1" w:rsidRPr="00AB7D1E">
        <w:rPr>
          <w:rFonts w:eastAsia="MS Mincho" w:cstheme="minorHAnsi"/>
          <w:color w:val="000000"/>
          <w:lang w:val="en-US"/>
        </w:rPr>
        <w:t>will</w:t>
      </w:r>
      <w:r w:rsidRPr="00AB7D1E">
        <w:rPr>
          <w:rFonts w:eastAsia="MS Mincho" w:cstheme="minorHAnsi"/>
          <w:color w:val="000000"/>
          <w:lang w:val="en-US"/>
        </w:rPr>
        <w:t xml:space="preserve"> benefit from training, technical assistance, equipment, and supplies that facilitate their ability to detect and manage public health outbreaks. </w:t>
      </w:r>
    </w:p>
    <w:p w14:paraId="38E7028F" w14:textId="14A5AA36" w:rsidR="00010222" w:rsidRPr="00AB7D1E" w:rsidRDefault="00010222" w:rsidP="00622B75">
      <w:pPr>
        <w:widowControl w:val="0"/>
        <w:suppressAutoHyphens w:val="0"/>
        <w:autoSpaceDE w:val="0"/>
        <w:adjustRightInd w:val="0"/>
        <w:spacing w:before="0" w:after="240" w:line="240" w:lineRule="auto"/>
        <w:textAlignment w:val="auto"/>
        <w:rPr>
          <w:rFonts w:eastAsia="MS Mincho" w:cstheme="minorHAnsi"/>
          <w:bCs/>
          <w:color w:val="000000"/>
          <w:lang w:val="en-US"/>
        </w:rPr>
      </w:pPr>
      <w:r w:rsidRPr="00AB7D1E">
        <w:rPr>
          <w:rFonts w:eastAsia="MS Mincho" w:cstheme="minorHAnsi"/>
          <w:bCs/>
          <w:color w:val="000000"/>
          <w:lang w:val="en-US"/>
        </w:rPr>
        <w:t xml:space="preserve">The </w:t>
      </w:r>
      <w:r w:rsidR="00FF4F50" w:rsidRPr="00AB7D1E">
        <w:rPr>
          <w:rFonts w:eastAsia="MS Mincho" w:cstheme="minorHAnsi"/>
          <w:bCs/>
          <w:color w:val="000000"/>
          <w:lang w:val="en-US"/>
        </w:rPr>
        <w:t xml:space="preserve">repair and rehabilitation </w:t>
      </w:r>
      <w:r w:rsidR="00FD6C51" w:rsidRPr="00AB7D1E">
        <w:rPr>
          <w:rFonts w:eastAsia="MS Mincho" w:cstheme="minorHAnsi"/>
          <w:bCs/>
          <w:color w:val="000000"/>
          <w:lang w:val="en-US"/>
        </w:rPr>
        <w:t xml:space="preserve">of </w:t>
      </w:r>
      <w:r w:rsidR="00FF4F50" w:rsidRPr="00AB7D1E">
        <w:rPr>
          <w:rFonts w:eastAsia="MS Mincho" w:cstheme="minorHAnsi"/>
          <w:bCs/>
          <w:color w:val="000000"/>
          <w:lang w:val="en-US"/>
        </w:rPr>
        <w:t xml:space="preserve">public health laboratories </w:t>
      </w:r>
      <w:r w:rsidRPr="00AB7D1E">
        <w:rPr>
          <w:rFonts w:eastAsia="MS Mincho" w:cstheme="minorHAnsi"/>
          <w:bCs/>
          <w:color w:val="000000"/>
          <w:lang w:val="en-US"/>
        </w:rPr>
        <w:t xml:space="preserve">efforts will support investments, which consider </w:t>
      </w:r>
      <w:r w:rsidR="00CC4D2C">
        <w:rPr>
          <w:rFonts w:eastAsia="MS Mincho" w:cstheme="minorHAnsi"/>
          <w:bCs/>
          <w:color w:val="000000"/>
          <w:lang w:val="en-US"/>
        </w:rPr>
        <w:t>renovation</w:t>
      </w:r>
      <w:r w:rsidRPr="00AB7D1E">
        <w:rPr>
          <w:rFonts w:eastAsia="MS Mincho" w:cstheme="minorHAnsi"/>
          <w:bCs/>
          <w:color w:val="000000"/>
          <w:lang w:val="en-US"/>
        </w:rPr>
        <w:t xml:space="preserve"> needs and the importance of sector strategies.</w:t>
      </w:r>
      <w:r w:rsidRPr="00AB7D1E">
        <w:rPr>
          <w:rFonts w:eastAsia="MS Mincho" w:cstheme="minorHAnsi"/>
          <w:b/>
          <w:color w:val="000000"/>
          <w:lang w:val="en-US"/>
        </w:rPr>
        <w:t xml:space="preserve"> </w:t>
      </w:r>
      <w:r w:rsidR="00FD6C51" w:rsidRPr="00AB7D1E">
        <w:rPr>
          <w:rFonts w:eastAsia="MS Mincho" w:cstheme="minorHAnsi"/>
          <w:color w:val="000000"/>
          <w:lang w:val="en-US"/>
        </w:rPr>
        <w:t>L</w:t>
      </w:r>
      <w:r w:rsidRPr="00AB7D1E">
        <w:rPr>
          <w:rFonts w:eastAsia="MS Mincho" w:cstheme="minorHAnsi"/>
          <w:color w:val="000000"/>
          <w:lang w:val="en-US"/>
        </w:rPr>
        <w:t xml:space="preserve">aboratories and parts of the public health laboratory network have not yet been identified as needing </w:t>
      </w:r>
      <w:r w:rsidR="007E0741" w:rsidRPr="00AB7D1E">
        <w:rPr>
          <w:rFonts w:eastAsia="MS Mincho" w:cstheme="minorHAnsi"/>
          <w:color w:val="000000"/>
          <w:lang w:val="en-US"/>
        </w:rPr>
        <w:t xml:space="preserve">repair and </w:t>
      </w:r>
      <w:r w:rsidR="00FF4F50" w:rsidRPr="00AB7D1E">
        <w:rPr>
          <w:rFonts w:eastAsia="MS Mincho" w:cstheme="minorHAnsi"/>
          <w:color w:val="000000"/>
          <w:lang w:val="en-US"/>
        </w:rPr>
        <w:t>rehabilitation</w:t>
      </w:r>
      <w:r w:rsidRPr="00AB7D1E">
        <w:rPr>
          <w:rFonts w:eastAsia="MS Mincho" w:cstheme="minorHAnsi"/>
          <w:color w:val="000000"/>
          <w:lang w:val="en-US"/>
        </w:rPr>
        <w:t xml:space="preserve"> but will </w:t>
      </w:r>
      <w:r w:rsidR="00FD6C51" w:rsidRPr="00AB7D1E">
        <w:rPr>
          <w:rFonts w:eastAsia="MS Mincho" w:cstheme="minorHAnsi"/>
          <w:color w:val="000000"/>
          <w:lang w:val="en-US"/>
        </w:rPr>
        <w:t xml:space="preserve">be during the project implementation </w:t>
      </w:r>
      <w:proofErr w:type="gramStart"/>
      <w:r w:rsidR="00FD6C51" w:rsidRPr="00AB7D1E">
        <w:rPr>
          <w:rFonts w:eastAsia="MS Mincho" w:cstheme="minorHAnsi"/>
          <w:color w:val="000000"/>
          <w:lang w:val="en-US"/>
        </w:rPr>
        <w:t>and also</w:t>
      </w:r>
      <w:proofErr w:type="gramEnd"/>
      <w:r w:rsidR="00FD6C51" w:rsidRPr="00AB7D1E">
        <w:rPr>
          <w:rFonts w:eastAsia="MS Mincho" w:cstheme="minorHAnsi"/>
          <w:color w:val="000000"/>
          <w:lang w:val="en-US"/>
        </w:rPr>
        <w:t xml:space="preserve"> will be</w:t>
      </w:r>
      <w:r w:rsidRPr="00AB7D1E">
        <w:rPr>
          <w:rFonts w:eastAsia="MS Mincho" w:cstheme="minorHAnsi"/>
          <w:color w:val="000000"/>
          <w:lang w:val="en-US"/>
        </w:rPr>
        <w:t xml:space="preserve"> included in capacity-building activities to develop the public health surveillance and preparedness system. The </w:t>
      </w:r>
      <w:r w:rsidR="00FD6C51" w:rsidRPr="00AB7D1E">
        <w:rPr>
          <w:rFonts w:eastAsia="MS Mincho" w:cstheme="minorHAnsi"/>
          <w:color w:val="000000"/>
          <w:lang w:val="en-US"/>
        </w:rPr>
        <w:t>p</w:t>
      </w:r>
      <w:r w:rsidRPr="00AB7D1E">
        <w:rPr>
          <w:rFonts w:eastAsia="MS Mincho" w:cstheme="minorHAnsi"/>
          <w:color w:val="000000"/>
          <w:lang w:val="en-US"/>
        </w:rPr>
        <w:t>roject will not seek to create excess secondary and tertiary capacity, such as increasing the number of permanent acute beds</w:t>
      </w:r>
      <w:r w:rsidR="00E143D9" w:rsidRPr="00AB7D1E">
        <w:rPr>
          <w:rFonts w:eastAsia="MS Mincho" w:cstheme="minorHAnsi"/>
          <w:color w:val="000000"/>
          <w:lang w:val="en-US"/>
        </w:rPr>
        <w:t xml:space="preserve"> or opening new facilities or extend the capacities of existing</w:t>
      </w:r>
      <w:r w:rsidRPr="00AB7D1E">
        <w:rPr>
          <w:rFonts w:eastAsia="MS Mincho" w:cstheme="minorHAnsi"/>
          <w:color w:val="000000"/>
          <w:lang w:val="en-US"/>
        </w:rPr>
        <w:t xml:space="preserve">. Should </w:t>
      </w:r>
      <w:proofErr w:type="gramStart"/>
      <w:r w:rsidRPr="00AB7D1E">
        <w:rPr>
          <w:rFonts w:eastAsia="MS Mincho" w:cstheme="minorHAnsi"/>
          <w:color w:val="000000"/>
          <w:lang w:val="en-US"/>
        </w:rPr>
        <w:t>additional</w:t>
      </w:r>
      <w:proofErr w:type="gramEnd"/>
      <w:r w:rsidRPr="00AB7D1E">
        <w:rPr>
          <w:rFonts w:eastAsia="MS Mincho" w:cstheme="minorHAnsi"/>
          <w:color w:val="000000"/>
          <w:lang w:val="en-US"/>
        </w:rPr>
        <w:t xml:space="preserve"> beds for COVID-19 patients be needed, the </w:t>
      </w:r>
      <w:r w:rsidR="00FD6C51" w:rsidRPr="00AB7D1E">
        <w:rPr>
          <w:rFonts w:eastAsia="MS Mincho" w:cstheme="minorHAnsi"/>
          <w:color w:val="000000"/>
          <w:lang w:val="en-US"/>
        </w:rPr>
        <w:t>p</w:t>
      </w:r>
      <w:r w:rsidRPr="00AB7D1E">
        <w:rPr>
          <w:rFonts w:eastAsia="MS Mincho" w:cstheme="minorHAnsi"/>
          <w:color w:val="000000"/>
          <w:lang w:val="en-US"/>
        </w:rPr>
        <w:t xml:space="preserve">roject would support the flexible capacity through the repurposing of other facilities or forums. </w:t>
      </w:r>
    </w:p>
    <w:bookmarkEnd w:id="14"/>
    <w:p w14:paraId="3FA5E2FD" w14:textId="232E9A93" w:rsidR="003C43F4" w:rsidRPr="00AB7D1E" w:rsidRDefault="00AF194F" w:rsidP="00BC373E">
      <w:pPr>
        <w:rPr>
          <w:rFonts w:cstheme="minorHAnsi"/>
          <w:lang w:val="en-US"/>
        </w:rPr>
      </w:pPr>
      <w:r w:rsidRPr="00AB7D1E">
        <w:rPr>
          <w:rFonts w:cstheme="minorHAnsi"/>
          <w:lang w:val="en-US"/>
        </w:rPr>
        <w:t xml:space="preserve">According the WB Environmental and Social Framework (ESF), at earlier stage, there is a need for development of Environmental and Social Management Framework (ESMF) in order to provide general policies, guidelines, codes of practice and procedures to guide environmental due diligence of the sub-project activities and sustainable implementation of the all sub-projects selected for financing. </w:t>
      </w:r>
    </w:p>
    <w:p w14:paraId="795A8202" w14:textId="77777777" w:rsidR="0006563E" w:rsidRPr="00AB7D1E" w:rsidRDefault="0006563E" w:rsidP="00BC373E">
      <w:pPr>
        <w:rPr>
          <w:lang w:val="en-US"/>
        </w:rPr>
      </w:pPr>
    </w:p>
    <w:p w14:paraId="2BA60B69" w14:textId="42816708" w:rsidR="0006563E" w:rsidRPr="00AB7D1E" w:rsidRDefault="0006563E" w:rsidP="00BC373E">
      <w:pPr>
        <w:rPr>
          <w:lang w:val="en-US"/>
        </w:rPr>
        <w:sectPr w:rsidR="0006563E" w:rsidRPr="00AB7D1E" w:rsidSect="00C96796">
          <w:footerReference w:type="default" r:id="rId11"/>
          <w:footerReference w:type="first" r:id="rId12"/>
          <w:pgSz w:w="11906" w:h="16838"/>
          <w:pgMar w:top="1440" w:right="1440" w:bottom="1440" w:left="1440" w:header="720" w:footer="720" w:gutter="0"/>
          <w:pgNumType w:start="0"/>
          <w:cols w:space="720"/>
          <w:titlePg/>
          <w:docGrid w:linePitch="299"/>
        </w:sectPr>
      </w:pPr>
    </w:p>
    <w:p w14:paraId="0A749345" w14:textId="73E3DF70" w:rsidR="00C2685C" w:rsidRPr="00AB7D1E" w:rsidRDefault="00BA12A1" w:rsidP="00343F93">
      <w:pPr>
        <w:pStyle w:val="Heading2"/>
        <w:rPr>
          <w:lang w:val="en-US"/>
        </w:rPr>
      </w:pPr>
      <w:bookmarkStart w:id="15" w:name="_Toc56954026"/>
      <w:r w:rsidRPr="00AB7D1E">
        <w:rPr>
          <w:lang w:val="en-US"/>
        </w:rPr>
        <w:lastRenderedPageBreak/>
        <w:t xml:space="preserve">The </w:t>
      </w:r>
      <w:r w:rsidR="00A32512" w:rsidRPr="00AB7D1E">
        <w:rPr>
          <w:lang w:val="en-US"/>
        </w:rPr>
        <w:t>E</w:t>
      </w:r>
      <w:r w:rsidRPr="00AB7D1E">
        <w:rPr>
          <w:lang w:val="en-US"/>
        </w:rPr>
        <w:t xml:space="preserve">nvironmental and </w:t>
      </w:r>
      <w:r w:rsidR="00A32512" w:rsidRPr="00AB7D1E">
        <w:rPr>
          <w:lang w:val="en-US"/>
        </w:rPr>
        <w:t>S</w:t>
      </w:r>
      <w:r w:rsidRPr="00AB7D1E">
        <w:rPr>
          <w:lang w:val="en-US"/>
        </w:rPr>
        <w:t xml:space="preserve">ocial </w:t>
      </w:r>
      <w:r w:rsidR="00A32512" w:rsidRPr="00AB7D1E">
        <w:rPr>
          <w:lang w:val="en-US"/>
        </w:rPr>
        <w:t>M</w:t>
      </w:r>
      <w:r w:rsidRPr="00AB7D1E">
        <w:rPr>
          <w:lang w:val="en-US"/>
        </w:rPr>
        <w:t xml:space="preserve">anagement </w:t>
      </w:r>
      <w:r w:rsidR="00A32512" w:rsidRPr="00AB7D1E">
        <w:rPr>
          <w:lang w:val="en-US"/>
        </w:rPr>
        <w:t>F</w:t>
      </w:r>
      <w:r w:rsidRPr="00AB7D1E">
        <w:rPr>
          <w:lang w:val="en-US"/>
        </w:rPr>
        <w:t>ramework objective</w:t>
      </w:r>
      <w:bookmarkEnd w:id="15"/>
    </w:p>
    <w:p w14:paraId="704A14BB" w14:textId="067EF753" w:rsidR="002953F3" w:rsidRPr="00AB7D1E" w:rsidRDefault="002953F3" w:rsidP="00343F93">
      <w:pPr>
        <w:rPr>
          <w:lang w:val="en-US"/>
        </w:rPr>
      </w:pPr>
      <w:r w:rsidRPr="00AB7D1E">
        <w:rPr>
          <w:lang w:val="en-US"/>
        </w:rPr>
        <w:t xml:space="preserve">Environmental and </w:t>
      </w:r>
      <w:r w:rsidR="004B7A4E" w:rsidRPr="00AB7D1E">
        <w:rPr>
          <w:lang w:val="en-US"/>
        </w:rPr>
        <w:t>S</w:t>
      </w:r>
      <w:r w:rsidRPr="00AB7D1E">
        <w:rPr>
          <w:lang w:val="en-US"/>
        </w:rPr>
        <w:t xml:space="preserve">ocial </w:t>
      </w:r>
      <w:r w:rsidR="004B7A4E" w:rsidRPr="00AB7D1E">
        <w:rPr>
          <w:lang w:val="en-US"/>
        </w:rPr>
        <w:t>M</w:t>
      </w:r>
      <w:r w:rsidRPr="00AB7D1E">
        <w:rPr>
          <w:lang w:val="en-US"/>
        </w:rPr>
        <w:t xml:space="preserve">anagement </w:t>
      </w:r>
      <w:r w:rsidR="004B7A4E" w:rsidRPr="00AB7D1E">
        <w:rPr>
          <w:lang w:val="en-US"/>
        </w:rPr>
        <w:t>F</w:t>
      </w:r>
      <w:r w:rsidRPr="00AB7D1E">
        <w:rPr>
          <w:lang w:val="en-US"/>
        </w:rPr>
        <w:t>ramework</w:t>
      </w:r>
      <w:r w:rsidR="004B7A4E" w:rsidRPr="00AB7D1E">
        <w:rPr>
          <w:lang w:val="en-US"/>
        </w:rPr>
        <w:t xml:space="preserve"> (ESMF)</w:t>
      </w:r>
      <w:r w:rsidRPr="00AB7D1E">
        <w:rPr>
          <w:lang w:val="en-US"/>
        </w:rPr>
        <w:t xml:space="preserve"> is an instrument that examines the risks and impacts when a project consists of a program and/or series of subprojects, and the risks and impacts cannot be determined until the program or sub-project details have been identified. </w:t>
      </w:r>
    </w:p>
    <w:p w14:paraId="49C7572A" w14:textId="1473EBCF" w:rsidR="002953F3" w:rsidRPr="00AB7D1E" w:rsidRDefault="002953F3" w:rsidP="002953F3">
      <w:pPr>
        <w:rPr>
          <w:lang w:val="en-US"/>
        </w:rPr>
      </w:pPr>
      <w:r w:rsidRPr="00AB7D1E">
        <w:rPr>
          <w:lang w:val="en-US"/>
        </w:rPr>
        <w:t xml:space="preserve">Since specific sub-projects </w:t>
      </w:r>
      <w:r w:rsidR="00653D1E" w:rsidRPr="00AB7D1E">
        <w:rPr>
          <w:lang w:val="en-US"/>
        </w:rPr>
        <w:t>under the Component 2</w:t>
      </w:r>
      <w:r w:rsidRPr="00AB7D1E">
        <w:rPr>
          <w:lang w:val="en-US"/>
        </w:rPr>
        <w:t xml:space="preserve"> will be determined during the </w:t>
      </w:r>
      <w:r w:rsidR="006D34AB" w:rsidRPr="00AB7D1E">
        <w:rPr>
          <w:lang w:val="en-US"/>
        </w:rPr>
        <w:t>p</w:t>
      </w:r>
      <w:r w:rsidRPr="00AB7D1E">
        <w:rPr>
          <w:lang w:val="en-US"/>
        </w:rPr>
        <w:t>roject implementation</w:t>
      </w:r>
      <w:r w:rsidR="009A1732" w:rsidRPr="00AB7D1E">
        <w:rPr>
          <w:lang w:val="en-US"/>
        </w:rPr>
        <w:t>,</w:t>
      </w:r>
      <w:r w:rsidRPr="00AB7D1E">
        <w:rPr>
          <w:lang w:val="en-US"/>
        </w:rPr>
        <w:t xml:space="preserve"> the ESMF was found to be the most appropriate environmental due diligence instrument. </w:t>
      </w:r>
    </w:p>
    <w:p w14:paraId="274DF9AC" w14:textId="0E528156" w:rsidR="002953F3" w:rsidRPr="00AB7D1E" w:rsidRDefault="002953F3" w:rsidP="002953F3">
      <w:pPr>
        <w:rPr>
          <w:lang w:val="en-US"/>
        </w:rPr>
      </w:pPr>
      <w:r w:rsidRPr="00AB7D1E">
        <w:rPr>
          <w:lang w:val="en-US"/>
        </w:rPr>
        <w:t xml:space="preserve">The ESMF ensures that the identified sub-projects are correctly assessed </w:t>
      </w:r>
      <w:r w:rsidR="00A5056A" w:rsidRPr="00AB7D1E">
        <w:rPr>
          <w:lang w:val="en-US"/>
        </w:rPr>
        <w:t xml:space="preserve">and mitigated </w:t>
      </w:r>
      <w:r w:rsidRPr="00AB7D1E">
        <w:rPr>
          <w:lang w:val="en-US"/>
        </w:rPr>
        <w:t>from environmental and social point of view to meet</w:t>
      </w:r>
      <w:r w:rsidR="00A5056A" w:rsidRPr="00AB7D1E">
        <w:rPr>
          <w:lang w:val="en-US"/>
        </w:rPr>
        <w:t xml:space="preserve"> requirements of</w:t>
      </w:r>
      <w:r w:rsidRPr="00AB7D1E">
        <w:rPr>
          <w:lang w:val="en-US"/>
        </w:rPr>
        <w:t xml:space="preserve"> the WB ESF and its applicable Environmental and Social Standards (ESS), as well as national </w:t>
      </w:r>
      <w:r w:rsidR="00182A5B" w:rsidRPr="00AB7D1E">
        <w:rPr>
          <w:lang w:val="en-US"/>
        </w:rPr>
        <w:t>e</w:t>
      </w:r>
      <w:r w:rsidRPr="00AB7D1E">
        <w:rPr>
          <w:lang w:val="en-US"/>
        </w:rPr>
        <w:t xml:space="preserve">nvironmental and </w:t>
      </w:r>
      <w:r w:rsidR="00182A5B" w:rsidRPr="00AB7D1E">
        <w:rPr>
          <w:lang w:val="en-US"/>
        </w:rPr>
        <w:t>s</w:t>
      </w:r>
      <w:r w:rsidRPr="00AB7D1E">
        <w:rPr>
          <w:lang w:val="en-US"/>
        </w:rPr>
        <w:t xml:space="preserve">ocial legislation. </w:t>
      </w:r>
    </w:p>
    <w:p w14:paraId="303D74AB" w14:textId="2003DB7A" w:rsidR="002953F3" w:rsidRPr="00AB7D1E" w:rsidRDefault="002953F3" w:rsidP="00343F93">
      <w:pPr>
        <w:rPr>
          <w:lang w:val="en-US"/>
        </w:rPr>
      </w:pPr>
      <w:r w:rsidRPr="00AB7D1E">
        <w:rPr>
          <w:lang w:val="en-US"/>
        </w:rPr>
        <w:t>It sets out the principles, rules, guidelines</w:t>
      </w:r>
      <w:r w:rsidR="00844754" w:rsidRPr="00AB7D1E">
        <w:rPr>
          <w:lang w:val="en-US"/>
        </w:rPr>
        <w:t>,</w:t>
      </w:r>
      <w:r w:rsidRPr="00AB7D1E">
        <w:rPr>
          <w:lang w:val="en-US"/>
        </w:rPr>
        <w:t xml:space="preserve"> procedures </w:t>
      </w:r>
      <w:r w:rsidR="00844754" w:rsidRPr="00AB7D1E">
        <w:rPr>
          <w:lang w:val="en-US"/>
        </w:rPr>
        <w:t xml:space="preserve">and codes of practice for the management of environmental and social issues that might arise due to project interventions, and as such constitutes a set of measures for the development of subproject level </w:t>
      </w:r>
      <w:r w:rsidR="00182A5B" w:rsidRPr="00AB7D1E">
        <w:rPr>
          <w:lang w:val="en-US"/>
        </w:rPr>
        <w:t xml:space="preserve">- </w:t>
      </w:r>
      <w:r w:rsidR="00844754" w:rsidRPr="00AB7D1E">
        <w:rPr>
          <w:lang w:val="en-US"/>
        </w:rPr>
        <w:t>Environmental and Social Management Plans (ESMPs</w:t>
      </w:r>
      <w:r w:rsidR="00844754" w:rsidRPr="00AB7D1E">
        <w:rPr>
          <w:rStyle w:val="FootnoteReference"/>
          <w:lang w:val="en-US"/>
        </w:rPr>
        <w:footnoteReference w:id="2"/>
      </w:r>
      <w:r w:rsidR="00844754" w:rsidRPr="00AB7D1E">
        <w:rPr>
          <w:lang w:val="en-US"/>
        </w:rPr>
        <w:t>)</w:t>
      </w:r>
      <w:r w:rsidR="006D34AB" w:rsidRPr="00AB7D1E">
        <w:rPr>
          <w:lang w:val="en-US"/>
        </w:rPr>
        <w:t xml:space="preserve"> and/or ESMP </w:t>
      </w:r>
      <w:r w:rsidR="003650D0" w:rsidRPr="00AB7D1E">
        <w:rPr>
          <w:lang w:val="en-US"/>
        </w:rPr>
        <w:t>C</w:t>
      </w:r>
      <w:r w:rsidR="006D34AB" w:rsidRPr="00AB7D1E">
        <w:rPr>
          <w:lang w:val="en-US"/>
        </w:rPr>
        <w:t>hecklists.</w:t>
      </w:r>
    </w:p>
    <w:p w14:paraId="1BE30E4F" w14:textId="4F07A3C9" w:rsidR="00844754" w:rsidRPr="00AB7D1E" w:rsidRDefault="00182A5B" w:rsidP="00844754">
      <w:pPr>
        <w:rPr>
          <w:lang w:val="en-US"/>
        </w:rPr>
      </w:pPr>
      <w:r w:rsidRPr="00AB7D1E">
        <w:rPr>
          <w:lang w:val="en-US"/>
        </w:rPr>
        <w:t>ESM</w:t>
      </w:r>
      <w:r w:rsidR="000D0557" w:rsidRPr="00AB7D1E">
        <w:rPr>
          <w:lang w:val="en-US"/>
        </w:rPr>
        <w:t>F</w:t>
      </w:r>
      <w:r w:rsidR="00844754" w:rsidRPr="00AB7D1E">
        <w:rPr>
          <w:lang w:val="en-US"/>
        </w:rPr>
        <w:t xml:space="preserve"> </w:t>
      </w:r>
      <w:proofErr w:type="gramStart"/>
      <w:r w:rsidR="00844754" w:rsidRPr="00AB7D1E">
        <w:rPr>
          <w:lang w:val="en-US"/>
        </w:rPr>
        <w:t>includes</w:t>
      </w:r>
      <w:r w:rsidR="00EE3FB6" w:rsidRPr="00AB7D1E">
        <w:rPr>
          <w:lang w:val="en-US"/>
        </w:rPr>
        <w:t>, but</w:t>
      </w:r>
      <w:proofErr w:type="gramEnd"/>
      <w:r w:rsidR="00EE3FB6" w:rsidRPr="00AB7D1E">
        <w:rPr>
          <w:lang w:val="en-US"/>
        </w:rPr>
        <w:t xml:space="preserve"> is not limited to</w:t>
      </w:r>
      <w:r w:rsidRPr="00AB7D1E">
        <w:rPr>
          <w:lang w:val="en-US"/>
        </w:rPr>
        <w:t>:</w:t>
      </w:r>
      <w:r w:rsidR="00844754" w:rsidRPr="00AB7D1E">
        <w:rPr>
          <w:lang w:val="en-US"/>
        </w:rPr>
        <w:t xml:space="preserve"> </w:t>
      </w:r>
      <w:r w:rsidR="00A45BB0" w:rsidRPr="00AB7D1E">
        <w:rPr>
          <w:lang w:val="en-US"/>
        </w:rPr>
        <w:t xml:space="preserve">relevant </w:t>
      </w:r>
      <w:r w:rsidR="00844754" w:rsidRPr="00AB7D1E">
        <w:rPr>
          <w:lang w:val="en-US"/>
        </w:rPr>
        <w:t>information on the area</w:t>
      </w:r>
      <w:r w:rsidRPr="00AB7D1E">
        <w:rPr>
          <w:lang w:val="en-US"/>
        </w:rPr>
        <w:t>s</w:t>
      </w:r>
      <w:r w:rsidR="00844754" w:rsidRPr="00AB7D1E">
        <w:rPr>
          <w:lang w:val="en-US"/>
        </w:rPr>
        <w:t xml:space="preserve"> where the sub-projects are expected to be implemented</w:t>
      </w:r>
      <w:r w:rsidRPr="00AB7D1E">
        <w:rPr>
          <w:lang w:val="en-US"/>
        </w:rPr>
        <w:t>;</w:t>
      </w:r>
      <w:r w:rsidR="00844754" w:rsidRPr="00AB7D1E">
        <w:rPr>
          <w:lang w:val="en-US"/>
        </w:rPr>
        <w:t xml:space="preserve"> any potential environmental or social vulnerability of such area</w:t>
      </w:r>
      <w:r w:rsidRPr="00AB7D1E">
        <w:rPr>
          <w:lang w:val="en-US"/>
        </w:rPr>
        <w:t>s</w:t>
      </w:r>
      <w:r w:rsidR="00844754" w:rsidRPr="00AB7D1E">
        <w:rPr>
          <w:lang w:val="en-US"/>
        </w:rPr>
        <w:t>; information on potential impacts and mitigation measures commensurate to the scale of the impacts</w:t>
      </w:r>
      <w:r w:rsidRPr="00AB7D1E">
        <w:rPr>
          <w:lang w:val="en-US"/>
        </w:rPr>
        <w:t>. Also, ESM</w:t>
      </w:r>
      <w:r w:rsidR="000D0557" w:rsidRPr="00AB7D1E">
        <w:rPr>
          <w:lang w:val="en-US"/>
        </w:rPr>
        <w:t>F</w:t>
      </w:r>
      <w:r w:rsidR="00844754" w:rsidRPr="00AB7D1E">
        <w:rPr>
          <w:lang w:val="en-US"/>
        </w:rPr>
        <w:t xml:space="preserve"> gives an overview of the relevant environmental </w:t>
      </w:r>
      <w:r w:rsidRPr="00AB7D1E">
        <w:rPr>
          <w:lang w:val="en-US"/>
        </w:rPr>
        <w:t xml:space="preserve">and social </w:t>
      </w:r>
      <w:r w:rsidR="00844754" w:rsidRPr="00AB7D1E">
        <w:rPr>
          <w:lang w:val="en-US"/>
        </w:rPr>
        <w:t xml:space="preserve">national legislation related to the </w:t>
      </w:r>
      <w:r w:rsidR="00F5544C" w:rsidRPr="00AB7D1E">
        <w:rPr>
          <w:lang w:val="en-US"/>
        </w:rPr>
        <w:t>p</w:t>
      </w:r>
      <w:r w:rsidR="00844754" w:rsidRPr="00AB7D1E">
        <w:rPr>
          <w:lang w:val="en-US"/>
        </w:rPr>
        <w:t>roject and the WB ESS</w:t>
      </w:r>
      <w:r w:rsidR="009C5A90" w:rsidRPr="00AB7D1E">
        <w:rPr>
          <w:lang w:val="en-US"/>
        </w:rPr>
        <w:t>,</w:t>
      </w:r>
      <w:r w:rsidR="00844754" w:rsidRPr="00AB7D1E">
        <w:rPr>
          <w:lang w:val="en-US"/>
        </w:rPr>
        <w:t xml:space="preserve"> presents the assessment of the institutional capacity required to ensure proper environmental and social management</w:t>
      </w:r>
      <w:r w:rsidR="009C5A90" w:rsidRPr="00AB7D1E">
        <w:rPr>
          <w:lang w:val="en-US"/>
        </w:rPr>
        <w:t xml:space="preserve"> </w:t>
      </w:r>
      <w:r w:rsidR="00844754" w:rsidRPr="00AB7D1E">
        <w:rPr>
          <w:lang w:val="en-US"/>
        </w:rPr>
        <w:t>and describes mandatory principles, objectives and approach to be followed while designing environmental mitigation measures for planned project activities.</w:t>
      </w:r>
    </w:p>
    <w:p w14:paraId="48648D0D" w14:textId="1266F236" w:rsidR="00C2685C" w:rsidRPr="00AB7D1E" w:rsidRDefault="00C03E58" w:rsidP="00C2685C">
      <w:pPr>
        <w:spacing w:before="0" w:after="160" w:line="256" w:lineRule="auto"/>
        <w:rPr>
          <w:lang w:val="en-US"/>
        </w:rPr>
      </w:pPr>
      <w:r w:rsidRPr="00AB7D1E">
        <w:rPr>
          <w:lang w:val="en-US"/>
        </w:rPr>
        <w:t xml:space="preserve">Implementation of </w:t>
      </w:r>
      <w:r w:rsidR="00BE022B" w:rsidRPr="00AB7D1E">
        <w:rPr>
          <w:lang w:val="en-US"/>
        </w:rPr>
        <w:t>ESMF</w:t>
      </w:r>
      <w:r w:rsidR="00C2685C" w:rsidRPr="00AB7D1E">
        <w:rPr>
          <w:lang w:val="en-US"/>
        </w:rPr>
        <w:t xml:space="preserve"> is</w:t>
      </w:r>
      <w:r w:rsidRPr="00AB7D1E">
        <w:rPr>
          <w:lang w:val="en-US"/>
        </w:rPr>
        <w:t xml:space="preserve"> mandatory through Environmental and Social Commitment Plan (ESCP) </w:t>
      </w:r>
      <w:r w:rsidR="00C2685C" w:rsidRPr="00AB7D1E">
        <w:rPr>
          <w:lang w:val="en-US"/>
        </w:rPr>
        <w:t xml:space="preserve">a legally binding document that </w:t>
      </w:r>
      <w:r w:rsidR="00EC1467" w:rsidRPr="00AB7D1E">
        <w:rPr>
          <w:lang w:val="en-US"/>
        </w:rPr>
        <w:t xml:space="preserve">defines material measures to be taken in the implementation towards meeting ESF. </w:t>
      </w:r>
      <w:r w:rsidRPr="00AB7D1E">
        <w:rPr>
          <w:lang w:val="en-US"/>
        </w:rPr>
        <w:t xml:space="preserve">ESMF </w:t>
      </w:r>
      <w:r w:rsidR="00C2685C" w:rsidRPr="00AB7D1E">
        <w:rPr>
          <w:lang w:val="en-US"/>
        </w:rPr>
        <w:t>stipulates procedures and formats that will be used</w:t>
      </w:r>
      <w:r w:rsidR="008262DB" w:rsidRPr="00AB7D1E">
        <w:rPr>
          <w:lang w:val="en-US"/>
        </w:rPr>
        <w:t xml:space="preserve"> also</w:t>
      </w:r>
      <w:r w:rsidR="00C2685C" w:rsidRPr="00AB7D1E">
        <w:rPr>
          <w:lang w:val="en-US"/>
        </w:rPr>
        <w:t xml:space="preserve"> in the identification, management and monitoring </w:t>
      </w:r>
      <w:r w:rsidR="008262DB" w:rsidRPr="00AB7D1E">
        <w:rPr>
          <w:lang w:val="en-US"/>
        </w:rPr>
        <w:t xml:space="preserve">of </w:t>
      </w:r>
      <w:r w:rsidR="00C2685C" w:rsidRPr="00AB7D1E">
        <w:rPr>
          <w:lang w:val="en-US"/>
        </w:rPr>
        <w:t xml:space="preserve">occupational health and safety (OHS) as well as </w:t>
      </w:r>
      <w:r w:rsidR="008262DB" w:rsidRPr="00AB7D1E">
        <w:rPr>
          <w:lang w:val="en-US"/>
        </w:rPr>
        <w:t>c</w:t>
      </w:r>
      <w:r w:rsidR="00C2685C" w:rsidRPr="00AB7D1E">
        <w:rPr>
          <w:lang w:val="en-US"/>
        </w:rPr>
        <w:t xml:space="preserve">ommunity </w:t>
      </w:r>
      <w:r w:rsidR="008262DB" w:rsidRPr="00AB7D1E">
        <w:rPr>
          <w:lang w:val="en-US"/>
        </w:rPr>
        <w:t>h</w:t>
      </w:r>
      <w:r w:rsidR="00C2685C" w:rsidRPr="00AB7D1E">
        <w:rPr>
          <w:lang w:val="en-US"/>
        </w:rPr>
        <w:t xml:space="preserve">ealth and </w:t>
      </w:r>
      <w:r w:rsidR="008262DB" w:rsidRPr="00AB7D1E">
        <w:rPr>
          <w:lang w:val="en-US"/>
        </w:rPr>
        <w:t>s</w:t>
      </w:r>
      <w:r w:rsidR="00C2685C" w:rsidRPr="00AB7D1E">
        <w:rPr>
          <w:lang w:val="en-US"/>
        </w:rPr>
        <w:t>afety issues associated with the Project interventions.</w:t>
      </w:r>
    </w:p>
    <w:p w14:paraId="5BD2C489" w14:textId="6ED00294" w:rsidR="003A28DB" w:rsidRPr="00AB7D1E" w:rsidRDefault="003B4020" w:rsidP="00501D1E">
      <w:pPr>
        <w:rPr>
          <w:lang w:val="en-US"/>
        </w:rPr>
      </w:pPr>
      <w:r w:rsidRPr="00AB7D1E">
        <w:rPr>
          <w:lang w:val="en-US"/>
        </w:rPr>
        <w:t>Therefore,</w:t>
      </w:r>
      <w:r w:rsidR="001F0986" w:rsidRPr="00AB7D1E">
        <w:rPr>
          <w:lang w:val="en-US"/>
        </w:rPr>
        <w:t xml:space="preserve"> developing the ESMF is also important to identify other specific </w:t>
      </w:r>
      <w:r w:rsidR="00B149D1" w:rsidRPr="00AB7D1E">
        <w:rPr>
          <w:lang w:val="en-US"/>
        </w:rPr>
        <w:t>environmental and social</w:t>
      </w:r>
      <w:r w:rsidR="001F0986" w:rsidRPr="00AB7D1E">
        <w:rPr>
          <w:lang w:val="en-US"/>
        </w:rPr>
        <w:t xml:space="preserve"> instruments and management tools required by the ESF, such as the Stakeholder Engagement Plan (SEP)</w:t>
      </w:r>
      <w:r w:rsidR="000D0557" w:rsidRPr="00AB7D1E">
        <w:rPr>
          <w:lang w:val="en-US"/>
        </w:rPr>
        <w:t>,</w:t>
      </w:r>
      <w:r w:rsidR="00501D1E" w:rsidRPr="00AB7D1E">
        <w:rPr>
          <w:lang w:val="en-US"/>
        </w:rPr>
        <w:t xml:space="preserve"> Infection Control and Waste Management Plans</w:t>
      </w:r>
      <w:r w:rsidR="000D0557" w:rsidRPr="00AB7D1E">
        <w:rPr>
          <w:lang w:val="en-US"/>
        </w:rPr>
        <w:t xml:space="preserve"> </w:t>
      </w:r>
      <w:r w:rsidR="00501D1E" w:rsidRPr="00AB7D1E">
        <w:rPr>
          <w:lang w:val="en-US"/>
        </w:rPr>
        <w:t>(ICWMP),</w:t>
      </w:r>
      <w:r w:rsidR="00423087">
        <w:rPr>
          <w:lang w:val="en-US"/>
        </w:rPr>
        <w:t xml:space="preserve"> Cultural Heritage Management Plan (CHMP),</w:t>
      </w:r>
      <w:r w:rsidR="00501D1E" w:rsidRPr="00AB7D1E">
        <w:rPr>
          <w:lang w:val="en-US"/>
        </w:rPr>
        <w:t xml:space="preserve"> </w:t>
      </w:r>
      <w:r w:rsidR="000D0557" w:rsidRPr="00AB7D1E">
        <w:rPr>
          <w:lang w:val="en-US"/>
        </w:rPr>
        <w:t>etc.</w:t>
      </w:r>
    </w:p>
    <w:p w14:paraId="58FB1A6E" w14:textId="29F9019C" w:rsidR="00E43AF4" w:rsidRPr="00AB7D1E" w:rsidRDefault="00E43AF4" w:rsidP="00E43AF4">
      <w:pPr>
        <w:pStyle w:val="Heading2"/>
        <w:rPr>
          <w:lang w:val="en-US"/>
        </w:rPr>
      </w:pPr>
      <w:bookmarkStart w:id="16" w:name="_Toc56954027"/>
      <w:r w:rsidRPr="00AB7D1E">
        <w:rPr>
          <w:lang w:val="en-US"/>
        </w:rPr>
        <w:t>Public disclosure and consultation of ESMF</w:t>
      </w:r>
      <w:bookmarkEnd w:id="16"/>
    </w:p>
    <w:p w14:paraId="505E1E32" w14:textId="5DE5ABCD" w:rsidR="008C443D" w:rsidRPr="00AB7D1E" w:rsidRDefault="008C443D" w:rsidP="008C443D">
      <w:pPr>
        <w:rPr>
          <w:lang w:val="en-US"/>
        </w:rPr>
      </w:pPr>
      <w:r w:rsidRPr="00AB7D1E">
        <w:rPr>
          <w:lang w:val="en-US"/>
        </w:rPr>
        <w:t xml:space="preserve">The electronic version of the </w:t>
      </w:r>
      <w:bookmarkStart w:id="17" w:name="_Hlk47899965"/>
      <w:r w:rsidRPr="00AB7D1E">
        <w:rPr>
          <w:lang w:val="en-US"/>
        </w:rPr>
        <w:t>ESMF will disclosed</w:t>
      </w:r>
      <w:r w:rsidR="007D32FE" w:rsidRPr="00AB7D1E">
        <w:rPr>
          <w:lang w:val="en-US"/>
        </w:rPr>
        <w:t>, accompanied by a call for comments,</w:t>
      </w:r>
      <w:r w:rsidRPr="00AB7D1E">
        <w:rPr>
          <w:lang w:val="en-US"/>
        </w:rPr>
        <w:t xml:space="preserve"> on the </w:t>
      </w:r>
      <w:bookmarkEnd w:id="17"/>
      <w:r w:rsidR="00501D1E" w:rsidRPr="00AB7D1E">
        <w:rPr>
          <w:lang w:val="en-US"/>
        </w:rPr>
        <w:t xml:space="preserve">Ministry </w:t>
      </w:r>
      <w:r w:rsidR="00C425B1" w:rsidRPr="00AB7D1E">
        <w:rPr>
          <w:lang w:val="en-US"/>
        </w:rPr>
        <w:t>o</w:t>
      </w:r>
      <w:r w:rsidR="00501D1E" w:rsidRPr="00AB7D1E">
        <w:rPr>
          <w:lang w:val="en-US"/>
        </w:rPr>
        <w:t>f Health (</w:t>
      </w:r>
      <w:proofErr w:type="spellStart"/>
      <w:r w:rsidR="00501D1E" w:rsidRPr="00AB7D1E">
        <w:rPr>
          <w:lang w:val="en-US"/>
        </w:rPr>
        <w:t>MoH</w:t>
      </w:r>
      <w:proofErr w:type="spellEnd"/>
      <w:r w:rsidR="00501D1E" w:rsidRPr="00AB7D1E">
        <w:rPr>
          <w:lang w:val="en-US"/>
        </w:rPr>
        <w:t xml:space="preserve">) </w:t>
      </w:r>
      <w:r w:rsidRPr="00AB7D1E">
        <w:rPr>
          <w:lang w:val="en-US"/>
        </w:rPr>
        <w:t xml:space="preserve">website </w:t>
      </w:r>
      <w:r w:rsidR="00A63CC9">
        <w:rPr>
          <w:lang w:val="en-US"/>
        </w:rPr>
        <w:t xml:space="preserve">and </w:t>
      </w:r>
      <w:proofErr w:type="spellStart"/>
      <w:r w:rsidR="00A63CC9">
        <w:rPr>
          <w:lang w:val="en-US"/>
        </w:rPr>
        <w:t>MoPPCSA</w:t>
      </w:r>
      <w:proofErr w:type="spellEnd"/>
      <w:r w:rsidR="00A63CC9">
        <w:rPr>
          <w:lang w:val="en-US"/>
        </w:rPr>
        <w:t xml:space="preserve"> website </w:t>
      </w:r>
      <w:r w:rsidRPr="00AB7D1E">
        <w:rPr>
          <w:highlight w:val="yellow"/>
          <w:lang w:val="en-US"/>
        </w:rPr>
        <w:t>on ______.</w:t>
      </w:r>
      <w:r w:rsidRPr="00AB7D1E">
        <w:rPr>
          <w:lang w:val="en-US"/>
        </w:rPr>
        <w:t xml:space="preserve"> In the same time</w:t>
      </w:r>
      <w:r w:rsidR="00B06EFD" w:rsidRPr="00AB7D1E">
        <w:rPr>
          <w:lang w:val="en-US"/>
        </w:rPr>
        <w:t>,</w:t>
      </w:r>
      <w:r w:rsidRPr="00AB7D1E">
        <w:rPr>
          <w:lang w:val="en-US"/>
        </w:rPr>
        <w:t xml:space="preserve"> </w:t>
      </w:r>
      <w:r w:rsidR="00B06EFD" w:rsidRPr="00AB7D1E">
        <w:rPr>
          <w:lang w:val="en-US"/>
        </w:rPr>
        <w:t>a</w:t>
      </w:r>
      <w:r w:rsidRPr="00AB7D1E">
        <w:rPr>
          <w:lang w:val="en-US"/>
        </w:rPr>
        <w:t xml:space="preserve"> paper copy of ESMF will be made available for public at </w:t>
      </w:r>
      <w:proofErr w:type="spellStart"/>
      <w:r w:rsidR="00501D1E" w:rsidRPr="00AB7D1E">
        <w:rPr>
          <w:lang w:val="en-US"/>
        </w:rPr>
        <w:t>MoH</w:t>
      </w:r>
      <w:proofErr w:type="spellEnd"/>
      <w:r w:rsidR="00501D1E" w:rsidRPr="00AB7D1E">
        <w:rPr>
          <w:lang w:val="en-US"/>
        </w:rPr>
        <w:t xml:space="preserve"> </w:t>
      </w:r>
      <w:r w:rsidR="00A63CC9">
        <w:rPr>
          <w:lang w:val="en-US"/>
        </w:rPr>
        <w:t xml:space="preserve">and </w:t>
      </w:r>
      <w:proofErr w:type="spellStart"/>
      <w:r w:rsidR="00A63CC9">
        <w:rPr>
          <w:lang w:val="en-US"/>
        </w:rPr>
        <w:t>MoPPCSA</w:t>
      </w:r>
      <w:proofErr w:type="spellEnd"/>
      <w:r w:rsidR="00A63CC9">
        <w:rPr>
          <w:lang w:val="en-US"/>
        </w:rPr>
        <w:t xml:space="preserve"> </w:t>
      </w:r>
      <w:r w:rsidRPr="00AB7D1E">
        <w:rPr>
          <w:lang w:val="en-US"/>
        </w:rPr>
        <w:t xml:space="preserve">reception. Both will remain accessible to public for at least 14 days. The ESMF disclosure will be followed by </w:t>
      </w:r>
      <w:r w:rsidRPr="000C4FF6">
        <w:rPr>
          <w:lang w:val="en-US"/>
        </w:rPr>
        <w:t xml:space="preserve">participation in organized </w:t>
      </w:r>
      <w:r w:rsidR="00EA7CD5" w:rsidRPr="000C4FF6">
        <w:rPr>
          <w:lang w:val="en-US"/>
        </w:rPr>
        <w:t xml:space="preserve">virtual </w:t>
      </w:r>
      <w:r w:rsidRPr="000C4FF6">
        <w:rPr>
          <w:lang w:val="en-US"/>
        </w:rPr>
        <w:t>public consultations meeting.</w:t>
      </w:r>
      <w:r w:rsidRPr="00AB7D1E">
        <w:rPr>
          <w:lang w:val="en-US"/>
        </w:rPr>
        <w:t xml:space="preserve"> The Public Consultation meeting of the ESMF is scheduled to take place </w:t>
      </w:r>
      <w:r w:rsidRPr="00AB7D1E">
        <w:rPr>
          <w:highlight w:val="yellow"/>
          <w:lang w:val="en-US"/>
        </w:rPr>
        <w:t>on _______</w:t>
      </w:r>
      <w:r w:rsidRPr="00AB7D1E">
        <w:rPr>
          <w:lang w:val="en-US"/>
        </w:rPr>
        <w:t xml:space="preserve">. In addition to the general public call, the government and relevant non-governmental </w:t>
      </w:r>
      <w:r w:rsidRPr="00AB7D1E">
        <w:rPr>
          <w:lang w:val="en-US"/>
        </w:rPr>
        <w:lastRenderedPageBreak/>
        <w:t xml:space="preserve">organizations are invited through official invitations sent out by the </w:t>
      </w:r>
      <w:proofErr w:type="spellStart"/>
      <w:r w:rsidR="00501D1E" w:rsidRPr="00AB7D1E">
        <w:rPr>
          <w:lang w:val="en-US"/>
        </w:rPr>
        <w:t>MoH</w:t>
      </w:r>
      <w:proofErr w:type="spellEnd"/>
      <w:r w:rsidRPr="00AB7D1E">
        <w:rPr>
          <w:lang w:val="en-US"/>
        </w:rPr>
        <w:t xml:space="preserve">. The public consultation call will be published on </w:t>
      </w:r>
      <w:proofErr w:type="spellStart"/>
      <w:r w:rsidR="00501D1E" w:rsidRPr="00AB7D1E">
        <w:rPr>
          <w:lang w:val="en-US"/>
        </w:rPr>
        <w:t>MoH</w:t>
      </w:r>
      <w:proofErr w:type="spellEnd"/>
      <w:r w:rsidR="00A63CC9">
        <w:rPr>
          <w:lang w:val="en-US"/>
        </w:rPr>
        <w:t xml:space="preserve"> and </w:t>
      </w:r>
      <w:proofErr w:type="spellStart"/>
      <w:r w:rsidR="00A63CC9">
        <w:rPr>
          <w:lang w:val="en-US"/>
        </w:rPr>
        <w:t>MoPPCSA</w:t>
      </w:r>
      <w:proofErr w:type="spellEnd"/>
      <w:r w:rsidRPr="00AB7D1E">
        <w:rPr>
          <w:lang w:val="en-US"/>
        </w:rPr>
        <w:t xml:space="preserve"> website, but also other electronic and printed media are used to ensure wide participation of stakeholders, including local newspapers, email, etc.</w:t>
      </w:r>
      <w:r w:rsidR="00676746" w:rsidRPr="00AB7D1E">
        <w:rPr>
          <w:lang w:val="en-US"/>
        </w:rPr>
        <w:t xml:space="preserve"> Feedback will be provided for all relevant comments and questions. </w:t>
      </w:r>
    </w:p>
    <w:p w14:paraId="45B94E0A" w14:textId="77777777" w:rsidR="008C443D" w:rsidRPr="00AB7D1E" w:rsidRDefault="008C443D" w:rsidP="008C443D">
      <w:pPr>
        <w:rPr>
          <w:lang w:val="en-US"/>
        </w:rPr>
      </w:pPr>
      <w:r w:rsidRPr="00AB7D1E">
        <w:rPr>
          <w:lang w:val="en-US"/>
        </w:rPr>
        <w:t>The objectives of the public consultations are:</w:t>
      </w:r>
    </w:p>
    <w:p w14:paraId="70F3A25B" w14:textId="2ABA3553" w:rsidR="008C443D" w:rsidRPr="00AB7D1E" w:rsidRDefault="008C443D" w:rsidP="008C443D">
      <w:pPr>
        <w:rPr>
          <w:lang w:val="en-US"/>
        </w:rPr>
      </w:pPr>
      <w:r w:rsidRPr="00AB7D1E">
        <w:rPr>
          <w:lang w:val="en-US"/>
        </w:rPr>
        <w:t>1. To inform the public and stakeholders about the objectives and project developments and the expected environmental and social effects.</w:t>
      </w:r>
    </w:p>
    <w:p w14:paraId="4DA87D43" w14:textId="77777777" w:rsidR="008C443D" w:rsidRPr="00AB7D1E" w:rsidRDefault="008C443D" w:rsidP="008C443D">
      <w:pPr>
        <w:rPr>
          <w:lang w:val="en-US"/>
        </w:rPr>
      </w:pPr>
      <w:r w:rsidRPr="00AB7D1E">
        <w:rPr>
          <w:lang w:val="en-US"/>
        </w:rPr>
        <w:t>2. To collect information and data from the public and/or the communities that will be affected by the project.</w:t>
      </w:r>
    </w:p>
    <w:p w14:paraId="53DA4516" w14:textId="77777777" w:rsidR="008C443D" w:rsidRPr="00AB7D1E" w:rsidRDefault="008C443D" w:rsidP="008C443D">
      <w:pPr>
        <w:rPr>
          <w:lang w:val="en-US"/>
        </w:rPr>
      </w:pPr>
      <w:r w:rsidRPr="00AB7D1E">
        <w:rPr>
          <w:lang w:val="en-US"/>
        </w:rPr>
        <w:t>3. To amend the project and ESMF accordingly.</w:t>
      </w:r>
    </w:p>
    <w:p w14:paraId="77993D59" w14:textId="77777777" w:rsidR="008C443D" w:rsidRPr="00AB7D1E" w:rsidRDefault="008C443D" w:rsidP="008C443D">
      <w:pPr>
        <w:rPr>
          <w:lang w:val="en-US"/>
        </w:rPr>
      </w:pPr>
      <w:r w:rsidRPr="00AB7D1E">
        <w:rPr>
          <w:lang w:val="en-US"/>
        </w:rPr>
        <w:t xml:space="preserve">4. To ensure participation of the public and local communities in process and support for the project. </w:t>
      </w:r>
    </w:p>
    <w:p w14:paraId="50BF7FAF" w14:textId="6A379375" w:rsidR="0098223F" w:rsidRPr="00AB7D1E" w:rsidRDefault="008C443D" w:rsidP="008C443D">
      <w:pPr>
        <w:rPr>
          <w:lang w:val="en-US"/>
        </w:rPr>
      </w:pPr>
      <w:r w:rsidRPr="00AB7D1E">
        <w:rPr>
          <w:lang w:val="en-US"/>
        </w:rPr>
        <w:t>ESMF will be found final when the relevant comments, submitted during the consultation period, will be</w:t>
      </w:r>
      <w:r w:rsidR="000D0557" w:rsidRPr="00AB7D1E">
        <w:rPr>
          <w:lang w:val="en-US"/>
        </w:rPr>
        <w:t>:</w:t>
      </w:r>
      <w:r w:rsidRPr="00AB7D1E">
        <w:rPr>
          <w:lang w:val="en-US"/>
        </w:rPr>
        <w:t xml:space="preserve"> (i) addressed in the ESMF and (ii) incorporated as minutes of the public consultations in a separate chapter or annex. Once finalized, ESMF will be re-disclosed at </w:t>
      </w:r>
      <w:proofErr w:type="spellStart"/>
      <w:r w:rsidR="00BA1B88" w:rsidRPr="00AB7D1E">
        <w:rPr>
          <w:lang w:val="en-US"/>
        </w:rPr>
        <w:t>Mo</w:t>
      </w:r>
      <w:r w:rsidR="00501D1E" w:rsidRPr="00AB7D1E">
        <w:rPr>
          <w:lang w:val="en-US"/>
        </w:rPr>
        <w:t>H</w:t>
      </w:r>
      <w:proofErr w:type="spellEnd"/>
      <w:r w:rsidR="00A63CC9">
        <w:rPr>
          <w:lang w:val="en-US"/>
        </w:rPr>
        <w:t xml:space="preserve"> and </w:t>
      </w:r>
      <w:proofErr w:type="spellStart"/>
      <w:r w:rsidR="00A63CC9">
        <w:rPr>
          <w:lang w:val="en-US"/>
        </w:rPr>
        <w:t>MoPPCSA</w:t>
      </w:r>
      <w:proofErr w:type="spellEnd"/>
      <w:r w:rsidRPr="00AB7D1E">
        <w:rPr>
          <w:lang w:val="en-US"/>
        </w:rPr>
        <w:t xml:space="preserve"> </w:t>
      </w:r>
      <w:r w:rsidR="003F23A5" w:rsidRPr="00AB7D1E">
        <w:rPr>
          <w:lang w:val="en-US"/>
        </w:rPr>
        <w:t xml:space="preserve">web </w:t>
      </w:r>
      <w:r w:rsidRPr="00AB7D1E">
        <w:rPr>
          <w:lang w:val="en-US"/>
        </w:rPr>
        <w:t>site.</w:t>
      </w:r>
    </w:p>
    <w:p w14:paraId="22A171EB" w14:textId="682D9199" w:rsidR="00D549F0" w:rsidRPr="00AB7D1E" w:rsidRDefault="00D549F0" w:rsidP="008C443D">
      <w:pPr>
        <w:rPr>
          <w:lang w:val="en-US"/>
        </w:rPr>
      </w:pPr>
      <w:r w:rsidRPr="00AB7D1E">
        <w:rPr>
          <w:lang w:val="en-US"/>
        </w:rPr>
        <w:t xml:space="preserve">The ESMF will be found final when includes (e.g. as an annex) minutes of the </w:t>
      </w:r>
      <w:r w:rsidR="00A960A7" w:rsidRPr="00AB7D1E">
        <w:rPr>
          <w:lang w:val="en-US"/>
        </w:rPr>
        <w:t xml:space="preserve">meeting (with all relevant comments and provided feedback). The final ESMF will be redisclosed on </w:t>
      </w:r>
      <w:proofErr w:type="spellStart"/>
      <w:r w:rsidR="00A960A7" w:rsidRPr="00AB7D1E">
        <w:rPr>
          <w:lang w:val="en-US"/>
        </w:rPr>
        <w:t>MoH</w:t>
      </w:r>
      <w:proofErr w:type="spellEnd"/>
      <w:r w:rsidR="00A960A7" w:rsidRPr="00AB7D1E">
        <w:rPr>
          <w:lang w:val="en-US"/>
        </w:rPr>
        <w:t xml:space="preserve"> </w:t>
      </w:r>
      <w:r w:rsidR="00A63CC9">
        <w:rPr>
          <w:lang w:val="en-US"/>
        </w:rPr>
        <w:t xml:space="preserve">and </w:t>
      </w:r>
      <w:proofErr w:type="spellStart"/>
      <w:r w:rsidR="00A63CC9">
        <w:rPr>
          <w:lang w:val="en-US"/>
        </w:rPr>
        <w:t>MoPPCSA</w:t>
      </w:r>
      <w:proofErr w:type="spellEnd"/>
      <w:r w:rsidR="00A63CC9">
        <w:rPr>
          <w:lang w:val="en-US"/>
        </w:rPr>
        <w:t xml:space="preserve"> </w:t>
      </w:r>
      <w:r w:rsidR="00676746" w:rsidRPr="00AB7D1E">
        <w:rPr>
          <w:lang w:val="en-US"/>
        </w:rPr>
        <w:t>website</w:t>
      </w:r>
      <w:r w:rsidR="00A960A7" w:rsidRPr="00AB7D1E">
        <w:rPr>
          <w:lang w:val="en-US"/>
        </w:rPr>
        <w:t xml:space="preserve">. </w:t>
      </w:r>
    </w:p>
    <w:p w14:paraId="7B4C8470" w14:textId="77777777" w:rsidR="0098223F" w:rsidRPr="00AB7D1E" w:rsidRDefault="0098223F">
      <w:pPr>
        <w:suppressAutoHyphens w:val="0"/>
        <w:jc w:val="left"/>
        <w:rPr>
          <w:lang w:val="en-US"/>
        </w:rPr>
      </w:pPr>
      <w:r w:rsidRPr="00AB7D1E">
        <w:rPr>
          <w:lang w:val="en-US"/>
        </w:rPr>
        <w:br w:type="page"/>
      </w:r>
    </w:p>
    <w:p w14:paraId="59320C92" w14:textId="0B5ECE65" w:rsidR="00E43AF4" w:rsidRPr="00AB7D1E" w:rsidRDefault="00075A6F" w:rsidP="00E43AF4">
      <w:pPr>
        <w:pStyle w:val="Heading1"/>
        <w:rPr>
          <w:lang w:val="en-US"/>
        </w:rPr>
      </w:pPr>
      <w:bookmarkStart w:id="18" w:name="_Toc56954028"/>
      <w:r w:rsidRPr="00AB7D1E">
        <w:rPr>
          <w:caps w:val="0"/>
          <w:lang w:val="en-US"/>
        </w:rPr>
        <w:lastRenderedPageBreak/>
        <w:t>PROJECT DESCRIPTION AND ELIGIBILITY</w:t>
      </w:r>
      <w:bookmarkEnd w:id="18"/>
    </w:p>
    <w:p w14:paraId="65E4E809" w14:textId="1240996B" w:rsidR="00A77AAB" w:rsidRPr="00AB7D1E" w:rsidRDefault="00A77AAB" w:rsidP="00A77AAB">
      <w:pPr>
        <w:pStyle w:val="Heading2"/>
        <w:rPr>
          <w:lang w:val="en-US"/>
        </w:rPr>
      </w:pPr>
      <w:bookmarkStart w:id="19" w:name="_Toc56954029"/>
      <w:r w:rsidRPr="00AB7D1E">
        <w:rPr>
          <w:lang w:val="en-US"/>
        </w:rPr>
        <w:t xml:space="preserve">Baseline information on </w:t>
      </w:r>
      <w:r w:rsidR="00CD521A" w:rsidRPr="00AB7D1E">
        <w:rPr>
          <w:lang w:val="en-US"/>
        </w:rPr>
        <w:t>e</w:t>
      </w:r>
      <w:r w:rsidRPr="00AB7D1E">
        <w:rPr>
          <w:lang w:val="en-US"/>
        </w:rPr>
        <w:t xml:space="preserve">arthquake </w:t>
      </w:r>
      <w:r w:rsidR="00CD521A" w:rsidRPr="00AB7D1E">
        <w:rPr>
          <w:lang w:val="en-US"/>
        </w:rPr>
        <w:t>e</w:t>
      </w:r>
      <w:r w:rsidRPr="00AB7D1E">
        <w:rPr>
          <w:lang w:val="en-US"/>
        </w:rPr>
        <w:t xml:space="preserve">vent and </w:t>
      </w:r>
      <w:r w:rsidR="008B5EC4" w:rsidRPr="00AB7D1E">
        <w:rPr>
          <w:lang w:val="en-US"/>
        </w:rPr>
        <w:t>COVID-19</w:t>
      </w:r>
      <w:bookmarkEnd w:id="19"/>
    </w:p>
    <w:p w14:paraId="0198A9A7" w14:textId="4EFCB67B" w:rsidR="0010611E" w:rsidRPr="00AB7D1E" w:rsidRDefault="00280258" w:rsidP="00850079">
      <w:pPr>
        <w:rPr>
          <w:lang w:val="en-US"/>
        </w:rPr>
      </w:pPr>
      <w:r w:rsidRPr="00AB7D1E">
        <w:rPr>
          <w:bCs/>
          <w:lang w:val="en-US"/>
        </w:rPr>
        <w:t xml:space="preserve">On March 22, 2020, the City of Zagreb was struck by the strongest earthquake </w:t>
      </w:r>
      <w:r w:rsidR="00A77AAB" w:rsidRPr="00AB7D1E">
        <w:rPr>
          <w:lang w:val="en-US"/>
        </w:rPr>
        <w:t>of magnitude (M</w:t>
      </w:r>
      <w:r w:rsidR="00FD1568">
        <w:rPr>
          <w:lang w:val="en-US"/>
        </w:rPr>
        <w:t>L</w:t>
      </w:r>
      <w:r w:rsidR="00A77AAB" w:rsidRPr="00AB7D1E">
        <w:rPr>
          <w:lang w:val="en-US"/>
        </w:rPr>
        <w:t>) 5.</w:t>
      </w:r>
      <w:r w:rsidR="005D1CA0" w:rsidRPr="00AB7D1E">
        <w:rPr>
          <w:lang w:val="en-US"/>
        </w:rPr>
        <w:t>5</w:t>
      </w:r>
      <w:r w:rsidR="00A77AAB" w:rsidRPr="00AB7D1E">
        <w:rPr>
          <w:lang w:val="en-US"/>
        </w:rPr>
        <w:t>, focal depth of less than 10 km, occurred at 06:24 hours local time with an epicenter 7 km north of the city center of the capital, Zagreb. Several aftershocks occurred, the most significant of which measured Mw 5 and occurred on the same day at 07:01 hours, with an epicenter very close to that of the main shock. The maximum felt intensity from the main shock was reported as VII–VIII on the Mercalli–</w:t>
      </w:r>
      <w:proofErr w:type="spellStart"/>
      <w:r w:rsidR="00A77AAB" w:rsidRPr="00AB7D1E">
        <w:rPr>
          <w:lang w:val="en-US"/>
        </w:rPr>
        <w:t>Cancani</w:t>
      </w:r>
      <w:proofErr w:type="spellEnd"/>
      <w:r w:rsidR="00A77AAB" w:rsidRPr="00AB7D1E">
        <w:rPr>
          <w:lang w:val="en-US"/>
        </w:rPr>
        <w:t>–</w:t>
      </w:r>
      <w:proofErr w:type="spellStart"/>
      <w:r w:rsidR="00A77AAB" w:rsidRPr="00AB7D1E">
        <w:rPr>
          <w:lang w:val="en-US"/>
        </w:rPr>
        <w:t>Sieberg</w:t>
      </w:r>
      <w:proofErr w:type="spellEnd"/>
      <w:r w:rsidR="00A77AAB" w:rsidRPr="00AB7D1E">
        <w:rPr>
          <w:lang w:val="en-US"/>
        </w:rPr>
        <w:t xml:space="preserve"> (MCS) </w:t>
      </w:r>
      <w:proofErr w:type="spellStart"/>
      <w:r w:rsidR="00A77AAB" w:rsidRPr="00AB7D1E">
        <w:rPr>
          <w:lang w:val="en-US"/>
        </w:rPr>
        <w:t>Macroseismic</w:t>
      </w:r>
      <w:proofErr w:type="spellEnd"/>
      <w:r w:rsidR="00A77AAB" w:rsidRPr="00AB7D1E">
        <w:rPr>
          <w:lang w:val="en-US"/>
        </w:rPr>
        <w:t xml:space="preserve"> Intensity Scale (strong shaking).</w:t>
      </w:r>
      <w:r w:rsidR="0010611E" w:rsidRPr="00AB7D1E">
        <w:rPr>
          <w:rStyle w:val="FootnoteReference"/>
          <w:rFonts w:cstheme="minorHAnsi"/>
          <w:lang w:val="en-US"/>
        </w:rPr>
        <w:footnoteReference w:id="3"/>
      </w:r>
      <w:r w:rsidR="008446F9" w:rsidRPr="00AB7D1E">
        <w:rPr>
          <w:lang w:val="en-US"/>
        </w:rPr>
        <w:t xml:space="preserve"> In addition to Zagreb, towns </w:t>
      </w:r>
      <w:r w:rsidR="00B3498B" w:rsidRPr="00AB7D1E">
        <w:rPr>
          <w:lang w:val="en-US"/>
        </w:rPr>
        <w:t>and municipalities</w:t>
      </w:r>
      <w:r w:rsidR="008446F9" w:rsidRPr="00AB7D1E">
        <w:rPr>
          <w:lang w:val="en-US"/>
        </w:rPr>
        <w:t xml:space="preserve"> in </w:t>
      </w:r>
      <w:r w:rsidR="00FE3BDD" w:rsidRPr="00AB7D1E">
        <w:rPr>
          <w:lang w:val="en-US"/>
        </w:rPr>
        <w:t>Zagreb</w:t>
      </w:r>
      <w:r w:rsidR="008446F9" w:rsidRPr="00AB7D1E">
        <w:rPr>
          <w:lang w:val="en-US"/>
        </w:rPr>
        <w:t xml:space="preserve"> County and </w:t>
      </w:r>
      <w:proofErr w:type="spellStart"/>
      <w:r w:rsidR="008446F9" w:rsidRPr="00AB7D1E">
        <w:rPr>
          <w:lang w:val="en-US"/>
        </w:rPr>
        <w:t>Krapina-Zagorje</w:t>
      </w:r>
      <w:proofErr w:type="spellEnd"/>
      <w:r w:rsidR="008446F9" w:rsidRPr="00AB7D1E">
        <w:rPr>
          <w:lang w:val="en-US"/>
        </w:rPr>
        <w:t xml:space="preserve"> County have been significantly affected. The strongest reported impact was in </w:t>
      </w:r>
      <w:proofErr w:type="spellStart"/>
      <w:r w:rsidR="008446F9" w:rsidRPr="00AB7D1E">
        <w:rPr>
          <w:lang w:val="en-US"/>
        </w:rPr>
        <w:t>Kašina</w:t>
      </w:r>
      <w:proofErr w:type="spellEnd"/>
      <w:r w:rsidR="008446F9" w:rsidRPr="00AB7D1E">
        <w:rPr>
          <w:lang w:val="en-US"/>
        </w:rPr>
        <w:t>.</w:t>
      </w:r>
      <w:r w:rsidR="008446F9" w:rsidRPr="00AB7D1E">
        <w:rPr>
          <w:vertAlign w:val="superscript"/>
          <w:lang w:val="en-US"/>
        </w:rPr>
        <w:footnoteReference w:id="4"/>
      </w:r>
    </w:p>
    <w:p w14:paraId="7EF5DBD8" w14:textId="28761CEC" w:rsidR="008446F9" w:rsidRPr="00AB7D1E" w:rsidRDefault="008446F9" w:rsidP="008446F9">
      <w:pPr>
        <w:jc w:val="center"/>
        <w:rPr>
          <w:lang w:val="en-US"/>
        </w:rPr>
      </w:pPr>
      <w:r w:rsidRPr="00AB7D1E">
        <w:rPr>
          <w:noProof/>
          <w:lang w:val="en-US" w:eastAsia="hr-HR"/>
        </w:rPr>
        <w:drawing>
          <wp:inline distT="0" distB="0" distL="0" distR="0" wp14:anchorId="4C733B0F" wp14:editId="76360BAD">
            <wp:extent cx="4017645" cy="26035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7645" cy="2603500"/>
                    </a:xfrm>
                    <a:prstGeom prst="rect">
                      <a:avLst/>
                    </a:prstGeom>
                    <a:noFill/>
                  </pic:spPr>
                </pic:pic>
              </a:graphicData>
            </a:graphic>
          </wp:inline>
        </w:drawing>
      </w:r>
    </w:p>
    <w:p w14:paraId="56405C01" w14:textId="4C29135C" w:rsidR="008446F9" w:rsidRPr="00AB7D1E" w:rsidRDefault="008446F9" w:rsidP="001037F7">
      <w:pPr>
        <w:pStyle w:val="Style2"/>
        <w:rPr>
          <w:lang w:val="en-US"/>
        </w:rPr>
      </w:pPr>
      <w:bookmarkStart w:id="20" w:name="_Ref47179170"/>
      <w:bookmarkStart w:id="21" w:name="_Toc56952681"/>
      <w:bookmarkStart w:id="22" w:name="_Hlk48492066"/>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w:t>
      </w:r>
      <w:r w:rsidR="00DE594D" w:rsidRPr="00AB7D1E">
        <w:rPr>
          <w:lang w:val="en-US"/>
        </w:rPr>
        <w:fldChar w:fldCharType="end"/>
      </w:r>
      <w:bookmarkEnd w:id="20"/>
      <w:r w:rsidRPr="00AB7D1E">
        <w:rPr>
          <w:lang w:val="en-US"/>
        </w:rPr>
        <w:t>. Ground Shaking Intensity Map for the Main Shock</w:t>
      </w:r>
      <w:r w:rsidRPr="00AB7D1E">
        <w:rPr>
          <w:rStyle w:val="FootnoteReference"/>
          <w:lang w:val="en-US"/>
        </w:rPr>
        <w:footnoteReference w:id="5"/>
      </w:r>
      <w:bookmarkEnd w:id="21"/>
    </w:p>
    <w:bookmarkEnd w:id="22"/>
    <w:p w14:paraId="6A4DEF4B" w14:textId="231A8D2D" w:rsidR="0010611E" w:rsidRPr="00AB7D1E" w:rsidRDefault="00B3498B" w:rsidP="00A77AAB">
      <w:pPr>
        <w:rPr>
          <w:lang w:val="en-US"/>
        </w:rPr>
      </w:pPr>
      <w:r w:rsidRPr="00AB7D1E">
        <w:rPr>
          <w:lang w:val="en-US"/>
        </w:rPr>
        <w:t>This earthquake and aftershocks</w:t>
      </w:r>
      <w:r w:rsidR="0010611E" w:rsidRPr="00AB7D1E">
        <w:rPr>
          <w:lang w:val="en-US"/>
        </w:rPr>
        <w:t xml:space="preserve"> severely damaged public buildings, hindering the effective delivery of health and education services and directly affecting the economy of the city and country.</w:t>
      </w:r>
    </w:p>
    <w:p w14:paraId="4CA6BA1C" w14:textId="33874D28" w:rsidR="000F5E75" w:rsidRPr="00AB7D1E" w:rsidRDefault="000F5E75" w:rsidP="00A77AAB">
      <w:pPr>
        <w:rPr>
          <w:lang w:val="en-US"/>
        </w:rPr>
      </w:pPr>
      <w:r w:rsidRPr="00AB7D1E">
        <w:rPr>
          <w:lang w:val="en-US"/>
        </w:rPr>
        <w:t>According to an assessment by the University of Zagreb, 137 health facilities were damaged by the earthquake. Several hospitals that previously had high occupancy rates suffered substantial structural damage, forcing the evacuation of patients.</w:t>
      </w:r>
    </w:p>
    <w:p w14:paraId="172AC188" w14:textId="10DC1264" w:rsidR="0037288C" w:rsidRPr="00AB7D1E" w:rsidRDefault="0010611E" w:rsidP="0010611E">
      <w:pPr>
        <w:rPr>
          <w:lang w:val="en-US"/>
        </w:rPr>
      </w:pPr>
      <w:r w:rsidRPr="00AB7D1E">
        <w:rPr>
          <w:lang w:val="en-US"/>
        </w:rPr>
        <w:t>Since the earthquake took place 11 days after the World Health Organization declared COVID-19 to be a pandemic, and four days after the Government put in place increasingly comprehensive measures culminating in a nationwide lockdown on March 18, 2020, it has affected the delivery of critical health services by causing significant damage to public health capabilities and hospitals critical to both managing the current coronavirus disease</w:t>
      </w:r>
      <w:r w:rsidR="000C667A" w:rsidRPr="00AB7D1E">
        <w:rPr>
          <w:lang w:val="en-US"/>
        </w:rPr>
        <w:t xml:space="preserve"> </w:t>
      </w:r>
      <w:r w:rsidRPr="00AB7D1E">
        <w:rPr>
          <w:lang w:val="en-US"/>
        </w:rPr>
        <w:t xml:space="preserve">crisis and the health system overall. </w:t>
      </w:r>
    </w:p>
    <w:p w14:paraId="0990003F" w14:textId="06CC1D5A" w:rsidR="0037288C" w:rsidRPr="00AB7D1E" w:rsidRDefault="0037288C" w:rsidP="0010611E">
      <w:pPr>
        <w:pStyle w:val="Heading3"/>
        <w:rPr>
          <w:lang w:val="en-US"/>
        </w:rPr>
      </w:pPr>
      <w:bookmarkStart w:id="23" w:name="_Toc56954030"/>
      <w:r w:rsidRPr="00AB7D1E">
        <w:rPr>
          <w:lang w:val="en-US"/>
        </w:rPr>
        <w:lastRenderedPageBreak/>
        <w:t>COVID-19 situation in the Republic of Croatia</w:t>
      </w:r>
      <w:bookmarkEnd w:id="23"/>
    </w:p>
    <w:p w14:paraId="23DADCA4" w14:textId="793BCCF7" w:rsidR="0037288C" w:rsidRPr="00AB7D1E" w:rsidRDefault="0037288C" w:rsidP="001037F7">
      <w:pPr>
        <w:rPr>
          <w:lang w:val="en-US"/>
        </w:rPr>
      </w:pPr>
      <w:r w:rsidRPr="00AB7D1E">
        <w:rPr>
          <w:lang w:val="en-US"/>
        </w:rPr>
        <w:t xml:space="preserve">Croatia’s first </w:t>
      </w:r>
      <w:r w:rsidR="00880CB2">
        <w:rPr>
          <w:lang w:val="en-US"/>
        </w:rPr>
        <w:t xml:space="preserve">confirmed </w:t>
      </w:r>
      <w:r w:rsidRPr="00AB7D1E">
        <w:rPr>
          <w:lang w:val="en-US"/>
        </w:rPr>
        <w:t xml:space="preserve">COVID-19 patient was registered on February 25, 2020. As early as January 23, 2020, the Government began implementing a series of measures to address the health impact of the virus including the publication and dissemination of multilingual public health materials, the closure of education facilities, prohibitions on large gatherings, the deferral of elective health care, and sheltering of at-risk populations, such as the elderly. </w:t>
      </w:r>
    </w:p>
    <w:p w14:paraId="1E4F33F5" w14:textId="77777777" w:rsidR="0037288C" w:rsidRPr="00AB7D1E" w:rsidRDefault="0037288C" w:rsidP="001037F7">
      <w:pPr>
        <w:rPr>
          <w:rFonts w:ascii="Calibri" w:eastAsia="MS Mincho" w:hAnsi="Calibri" w:cs="Calibri"/>
          <w:color w:val="000000"/>
          <w:lang w:val="en-US"/>
        </w:rPr>
      </w:pPr>
      <w:r w:rsidRPr="00AB7D1E">
        <w:rPr>
          <w:rFonts w:ascii="Calibri" w:eastAsia="MS Mincho" w:hAnsi="Calibri" w:cs="Calibri"/>
          <w:color w:val="000000"/>
          <w:lang w:val="en-US"/>
        </w:rPr>
        <w:t>Croatian Government declared a coronavirus pandemic on 11 March 2020</w:t>
      </w:r>
      <w:r w:rsidRPr="00AB7D1E">
        <w:rPr>
          <w:rStyle w:val="FootnoteReference"/>
          <w:rFonts w:ascii="Calibri" w:eastAsia="MS Mincho" w:hAnsi="Calibri" w:cs="Calibri"/>
          <w:color w:val="000000"/>
          <w:lang w:val="en-US"/>
        </w:rPr>
        <w:footnoteReference w:id="6"/>
      </w:r>
    </w:p>
    <w:p w14:paraId="5F88F034" w14:textId="77777777" w:rsidR="0037288C" w:rsidRPr="00AB7D1E" w:rsidRDefault="0037288C" w:rsidP="0037288C">
      <w:pPr>
        <w:widowControl w:val="0"/>
        <w:suppressAutoHyphens w:val="0"/>
        <w:autoSpaceDE w:val="0"/>
        <w:adjustRightInd w:val="0"/>
        <w:spacing w:before="0" w:after="240" w:line="240" w:lineRule="auto"/>
        <w:textAlignment w:val="auto"/>
        <w:rPr>
          <w:rFonts w:ascii="Calibri" w:hAnsi="Calibri" w:cs="Calibri"/>
          <w:lang w:val="en-US"/>
        </w:rPr>
      </w:pPr>
      <w:r w:rsidRPr="00AB7D1E">
        <w:rPr>
          <w:lang w:val="en-US"/>
        </w:rPr>
        <w:t>Civil protection system in Croatia is governed by the Act on Civil Protection System, according to which civil protection headquarters is an expert, operational and coordinating body established on state, regional and local level which implements measures and activities of civil protection during big accidents and catastrophes</w:t>
      </w:r>
      <w:r w:rsidRPr="00AB7D1E">
        <w:rPr>
          <w:rFonts w:ascii="Calibri" w:hAnsi="Calibri" w:cs="Calibri"/>
          <w:lang w:val="en-US"/>
        </w:rPr>
        <w:t>.</w:t>
      </w:r>
      <w:r w:rsidRPr="00AB7D1E">
        <w:rPr>
          <w:rFonts w:ascii="Calibri" w:hAnsi="Calibri" w:cs="Calibri"/>
          <w:vertAlign w:val="superscript"/>
          <w:lang w:val="en-US"/>
        </w:rPr>
        <w:footnoteReference w:id="7"/>
      </w:r>
      <w:r w:rsidRPr="00AB7D1E">
        <w:rPr>
          <w:rFonts w:ascii="Calibri" w:hAnsi="Calibri" w:cs="Calibri"/>
          <w:lang w:val="en-US"/>
        </w:rPr>
        <w:t xml:space="preserve"> </w:t>
      </w:r>
    </w:p>
    <w:p w14:paraId="2373EF8E" w14:textId="77777777" w:rsidR="0037288C" w:rsidRPr="00AB7D1E" w:rsidRDefault="0037288C" w:rsidP="001037F7">
      <w:pPr>
        <w:rPr>
          <w:lang w:val="en-US"/>
        </w:rPr>
      </w:pPr>
      <w:r w:rsidRPr="00AB7D1E">
        <w:rPr>
          <w:lang w:val="en-US"/>
        </w:rPr>
        <w:t>The Civil Protection Headquarters of the Republic of Croatia was established by the Croatian Government on 20 February with the purpose to coordinate all services in the event of the occurrence of COVID-19 in Croatia.</w:t>
      </w:r>
    </w:p>
    <w:p w14:paraId="31B9ED4F" w14:textId="77777777" w:rsidR="0037288C" w:rsidRPr="00AB7D1E" w:rsidRDefault="0037288C" w:rsidP="001037F7">
      <w:pPr>
        <w:rPr>
          <w:lang w:val="en-US"/>
        </w:rPr>
      </w:pPr>
      <w:r w:rsidRPr="00AB7D1E">
        <w:rPr>
          <w:lang w:val="en-US"/>
        </w:rPr>
        <w:t xml:space="preserve">In the context of the outbreak and spread of COVID-19, the Government has taken various restrictive measures, imposing strict restrictions on public gatherings, meetings, and people’s movement, and others advising against public group events. People have been advised to exercise social distancing and specifically to avoid public gatherings to prevent and reduce the risk of the virus transmission. </w:t>
      </w:r>
    </w:p>
    <w:p w14:paraId="44D1B78E" w14:textId="572A8B30" w:rsidR="0037288C" w:rsidRPr="00AB7D1E" w:rsidRDefault="0037288C" w:rsidP="0037288C">
      <w:pPr>
        <w:widowControl w:val="0"/>
        <w:suppressAutoHyphens w:val="0"/>
        <w:autoSpaceDE w:val="0"/>
        <w:adjustRightInd w:val="0"/>
        <w:spacing w:before="0" w:after="240" w:line="240" w:lineRule="auto"/>
        <w:textAlignment w:val="auto"/>
        <w:rPr>
          <w:lang w:val="en-US"/>
        </w:rPr>
      </w:pPr>
      <w:r w:rsidRPr="00AB7D1E">
        <w:rPr>
          <w:lang w:val="en-US"/>
        </w:rPr>
        <w:t xml:space="preserve">The </w:t>
      </w:r>
      <w:r w:rsidR="00676E0B" w:rsidRPr="00AB7D1E">
        <w:rPr>
          <w:lang w:val="en-US"/>
        </w:rPr>
        <w:t>G</w:t>
      </w:r>
      <w:r w:rsidRPr="00AB7D1E">
        <w:rPr>
          <w:lang w:val="en-US"/>
        </w:rPr>
        <w:t>overnment has also launched a special website to publish the latest information on the COVID-19 outbreak (measures, number of new infections, etc.). The information on this web site are available on Croatian and English language</w:t>
      </w:r>
      <w:r w:rsidRPr="00AB7D1E">
        <w:rPr>
          <w:rFonts w:ascii="Calibri" w:eastAsia="MS Mincho" w:hAnsi="Calibri" w:cs="Calibri"/>
          <w:lang w:val="en-US"/>
        </w:rPr>
        <w:t xml:space="preserve">: </w:t>
      </w:r>
      <w:hyperlink r:id="rId14" w:history="1">
        <w:r w:rsidRPr="00AB7D1E">
          <w:rPr>
            <w:rFonts w:ascii="Calibri" w:eastAsia="MS Mincho" w:hAnsi="Calibri" w:cs="Calibri"/>
            <w:color w:val="0563C1"/>
            <w:u w:val="single"/>
            <w:lang w:val="en-US"/>
          </w:rPr>
          <w:t>https://www.koronavirus.hr/en</w:t>
        </w:r>
      </w:hyperlink>
      <w:r w:rsidRPr="00AB7D1E">
        <w:rPr>
          <w:rFonts w:ascii="Calibri" w:eastAsia="MS Mincho" w:hAnsi="Calibri" w:cs="Calibri"/>
          <w:lang w:val="en-US"/>
        </w:rPr>
        <w:t xml:space="preserve">. </w:t>
      </w:r>
      <w:r w:rsidRPr="00AB7D1E">
        <w:rPr>
          <w:lang w:val="en-US"/>
        </w:rPr>
        <w:t>The Decisions of the Civil Protection Headquarters and the recommendations of the Croatian Institute of Public Health are also available at their web site</w:t>
      </w:r>
      <w:r w:rsidRPr="00AB7D1E">
        <w:rPr>
          <w:rStyle w:val="FootnoteReference"/>
          <w:rFonts w:ascii="Calibri" w:eastAsia="MS Mincho" w:hAnsi="Calibri" w:cs="Calibri"/>
          <w:lang w:val="en-US"/>
        </w:rPr>
        <w:footnoteReference w:id="8"/>
      </w:r>
      <w:r w:rsidRPr="00AB7D1E">
        <w:rPr>
          <w:rFonts w:ascii="Calibri" w:eastAsia="MS Mincho" w:hAnsi="Calibri" w:cs="Calibri"/>
          <w:lang w:val="en-US"/>
        </w:rPr>
        <w:t xml:space="preserve">. </w:t>
      </w:r>
      <w:r w:rsidRPr="00AB7D1E">
        <w:rPr>
          <w:lang w:val="en-US"/>
        </w:rPr>
        <w:t>The STOP COVID-19 application was presented in Croatia and it can be used on voluntary bases.</w:t>
      </w:r>
    </w:p>
    <w:p w14:paraId="3C7BA3D8" w14:textId="46949C2C" w:rsidR="0037288C" w:rsidRPr="00AB7D1E" w:rsidRDefault="00C40C75" w:rsidP="0037288C">
      <w:pPr>
        <w:widowControl w:val="0"/>
        <w:suppressAutoHyphens w:val="0"/>
        <w:autoSpaceDE w:val="0"/>
        <w:adjustRightInd w:val="0"/>
        <w:spacing w:before="0" w:after="240" w:line="240" w:lineRule="auto"/>
        <w:textAlignment w:val="auto"/>
        <w:rPr>
          <w:lang w:val="en-US"/>
        </w:rPr>
      </w:pPr>
      <w:hyperlink r:id="rId15" w:history="1">
        <w:r w:rsidR="0037288C" w:rsidRPr="008673D6">
          <w:rPr>
            <w:rStyle w:val="Hyperlink"/>
            <w:rFonts w:ascii="Calibri" w:hAnsi="Calibri" w:cs="Calibri"/>
            <w:color w:val="2683C6" w:themeColor="accent6"/>
            <w:lang w:val="en-US"/>
          </w:rPr>
          <w:t xml:space="preserve">As of </w:t>
        </w:r>
        <w:r w:rsidR="008673D6" w:rsidRPr="008673D6">
          <w:rPr>
            <w:rStyle w:val="Hyperlink"/>
            <w:rFonts w:ascii="Calibri" w:hAnsi="Calibri" w:cs="Calibri"/>
            <w:color w:val="2683C6" w:themeColor="accent6"/>
            <w:lang w:val="en-US"/>
          </w:rPr>
          <w:t>25 February, total of 103.718 people infected with corona virus was recorded in Croatia.</w:t>
        </w:r>
      </w:hyperlink>
      <w:r w:rsidR="0037288C" w:rsidRPr="008673D6">
        <w:rPr>
          <w:rFonts w:ascii="Calibri" w:hAnsi="Calibri" w:cs="Calibri"/>
          <w:color w:val="2683C6" w:themeColor="accent6"/>
          <w:lang w:val="en-US"/>
        </w:rPr>
        <w:t xml:space="preserve"> </w:t>
      </w:r>
      <w:r w:rsidR="007B392F" w:rsidRPr="007B392F">
        <w:rPr>
          <w:rFonts w:ascii="Calibri" w:hAnsi="Calibri" w:cs="Calibri"/>
          <w:lang w:val="en-US"/>
        </w:rPr>
        <w:t>On</w:t>
      </w:r>
      <w:r w:rsidR="007B392F">
        <w:rPr>
          <w:rFonts w:ascii="Calibri" w:hAnsi="Calibri" w:cs="Calibri"/>
          <w:color w:val="2683C6" w:themeColor="accent6"/>
          <w:lang w:val="en-US"/>
        </w:rPr>
        <w:t xml:space="preserve"> </w:t>
      </w:r>
      <w:r w:rsidR="007B392F" w:rsidRPr="007B392F">
        <w:rPr>
          <w:rFonts w:ascii="Calibri" w:hAnsi="Calibri" w:cs="Calibri"/>
          <w:lang w:val="en-US"/>
        </w:rPr>
        <w:t>22 November</w:t>
      </w:r>
      <w:r w:rsidR="007B392F">
        <w:rPr>
          <w:rFonts w:ascii="Calibri" w:hAnsi="Calibri" w:cs="Calibri"/>
          <w:lang w:val="en-US"/>
        </w:rPr>
        <w:t>,</w:t>
      </w:r>
      <w:r w:rsidR="007B392F">
        <w:rPr>
          <w:rFonts w:ascii="Calibri" w:hAnsi="Calibri" w:cs="Calibri"/>
          <w:color w:val="2683C6" w:themeColor="accent6"/>
          <w:lang w:val="en-US"/>
        </w:rPr>
        <w:t xml:space="preserve"> </w:t>
      </w:r>
      <w:r w:rsidR="008673D6">
        <w:rPr>
          <w:lang w:val="en-US"/>
        </w:rPr>
        <w:t>1.353</w:t>
      </w:r>
      <w:r w:rsidR="0037288C" w:rsidRPr="00AB7D1E">
        <w:rPr>
          <w:lang w:val="en-US"/>
        </w:rPr>
        <w:t xml:space="preserve"> deaths from the disease have been reported. Most of the people who died had significant comorbidities which in connection with COVID-19 were associated with a high probability of developing even more serious form of the disease. The largest number of the deceased refers to those of advanced age. The average age of the deceased in this wave of epidemics is 77 years</w:t>
      </w:r>
      <w:r w:rsidR="007B392F">
        <w:rPr>
          <w:rStyle w:val="FootnoteReference"/>
          <w:lang w:val="en-US"/>
        </w:rPr>
        <w:footnoteReference w:id="9"/>
      </w:r>
      <w:r w:rsidR="0037288C" w:rsidRPr="00AB7D1E">
        <w:rPr>
          <w:lang w:val="en-US"/>
        </w:rPr>
        <w:t>.</w:t>
      </w:r>
    </w:p>
    <w:p w14:paraId="6E496677" w14:textId="43E4DE00" w:rsidR="0037288C" w:rsidRPr="00AB7D1E" w:rsidRDefault="007B392F" w:rsidP="0037288C">
      <w:pPr>
        <w:suppressAutoHyphens w:val="0"/>
        <w:autoSpaceDN/>
        <w:spacing w:before="0" w:after="160" w:line="259" w:lineRule="auto"/>
        <w:jc w:val="center"/>
        <w:textAlignment w:val="auto"/>
        <w:rPr>
          <w:rFonts w:ascii="Calibri" w:hAnsi="Calibri" w:cs="Calibri"/>
          <w:lang w:val="en-US"/>
        </w:rPr>
      </w:pPr>
      <w:r w:rsidRPr="007B392F">
        <w:rPr>
          <w:noProof/>
        </w:rPr>
        <w:lastRenderedPageBreak/>
        <w:drawing>
          <wp:inline distT="0" distB="0" distL="0" distR="0" wp14:anchorId="3E25787F" wp14:editId="6F17A8EA">
            <wp:extent cx="4400745" cy="2688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9" t="7463" r="5663" b="8501"/>
                    <a:stretch/>
                  </pic:blipFill>
                  <pic:spPr bwMode="auto">
                    <a:xfrm>
                      <a:off x="0" y="0"/>
                      <a:ext cx="4416997" cy="2698519"/>
                    </a:xfrm>
                    <a:prstGeom prst="rect">
                      <a:avLst/>
                    </a:prstGeom>
                    <a:ln>
                      <a:noFill/>
                    </a:ln>
                    <a:extLst>
                      <a:ext uri="{53640926-AAD7-44D8-BBD7-CCE9431645EC}">
                        <a14:shadowObscured xmlns:a14="http://schemas.microsoft.com/office/drawing/2010/main"/>
                      </a:ext>
                    </a:extLst>
                  </pic:spPr>
                </pic:pic>
              </a:graphicData>
            </a:graphic>
          </wp:inline>
        </w:drawing>
      </w:r>
    </w:p>
    <w:p w14:paraId="339DE0EE" w14:textId="3CF3BB8E" w:rsidR="007B392F" w:rsidRPr="0030688C" w:rsidRDefault="0029338B" w:rsidP="00AD1C74">
      <w:pPr>
        <w:pStyle w:val="Caption"/>
        <w:jc w:val="center"/>
        <w:rPr>
          <w:sz w:val="22"/>
          <w:szCs w:val="22"/>
          <w:lang w:val="en-US"/>
        </w:rPr>
      </w:pPr>
      <w:bookmarkStart w:id="24" w:name="_Toc56952682"/>
      <w:bookmarkStart w:id="25" w:name="_Hlk48492191"/>
      <w:r w:rsidRPr="0030688C">
        <w:rPr>
          <w:sz w:val="20"/>
          <w:szCs w:val="20"/>
        </w:rPr>
        <w:t xml:space="preserve">Figure </w:t>
      </w:r>
      <w:r w:rsidR="007D4FEA" w:rsidRPr="0030688C">
        <w:rPr>
          <w:sz w:val="20"/>
          <w:szCs w:val="20"/>
        </w:rPr>
        <w:fldChar w:fldCharType="begin"/>
      </w:r>
      <w:r w:rsidR="007D4FEA" w:rsidRPr="0030688C">
        <w:rPr>
          <w:sz w:val="20"/>
          <w:szCs w:val="20"/>
        </w:rPr>
        <w:instrText xml:space="preserve"> SEQ Figure \* ARABIC </w:instrText>
      </w:r>
      <w:r w:rsidR="007D4FEA" w:rsidRPr="0030688C">
        <w:rPr>
          <w:sz w:val="20"/>
          <w:szCs w:val="20"/>
        </w:rPr>
        <w:fldChar w:fldCharType="separate"/>
      </w:r>
      <w:r w:rsidR="007D1E1B">
        <w:rPr>
          <w:noProof/>
          <w:sz w:val="20"/>
          <w:szCs w:val="20"/>
        </w:rPr>
        <w:t>2</w:t>
      </w:r>
      <w:r w:rsidR="007D4FEA" w:rsidRPr="0030688C">
        <w:rPr>
          <w:noProof/>
          <w:sz w:val="20"/>
          <w:szCs w:val="20"/>
        </w:rPr>
        <w:fldChar w:fldCharType="end"/>
      </w:r>
      <w:r w:rsidRPr="0030688C">
        <w:rPr>
          <w:sz w:val="20"/>
          <w:szCs w:val="20"/>
        </w:rPr>
        <w:t>.</w:t>
      </w:r>
      <w:r w:rsidR="009B6957" w:rsidRPr="0030688C">
        <w:rPr>
          <w:sz w:val="20"/>
          <w:szCs w:val="20"/>
          <w:lang w:val="en-US"/>
        </w:rPr>
        <w:t xml:space="preserve"> New cases of COVID-19 in Croatia</w:t>
      </w:r>
      <w:r w:rsidRPr="0030688C">
        <w:rPr>
          <w:rStyle w:val="FootnoteReference"/>
          <w:sz w:val="20"/>
          <w:szCs w:val="20"/>
          <w:lang w:val="en-US"/>
        </w:rPr>
        <w:footnoteReference w:id="10"/>
      </w:r>
      <w:bookmarkEnd w:id="24"/>
      <w:r w:rsidR="009B6957" w:rsidRPr="0030688C">
        <w:rPr>
          <w:sz w:val="20"/>
          <w:szCs w:val="20"/>
          <w:lang w:val="en-US"/>
        </w:rPr>
        <w:t xml:space="preserve"> </w:t>
      </w:r>
      <w:r w:rsidR="001037F7" w:rsidRPr="0030688C">
        <w:rPr>
          <w:sz w:val="20"/>
          <w:szCs w:val="20"/>
          <w:lang w:val="en-US"/>
        </w:rPr>
        <w:br/>
      </w:r>
      <w:bookmarkEnd w:id="25"/>
    </w:p>
    <w:p w14:paraId="2D48FAB3" w14:textId="3B0331FB" w:rsidR="007B392F" w:rsidRDefault="007B392F" w:rsidP="0037288C">
      <w:pPr>
        <w:suppressAutoHyphens w:val="0"/>
        <w:autoSpaceDN/>
        <w:spacing w:before="0" w:after="160" w:line="259" w:lineRule="auto"/>
        <w:jc w:val="left"/>
        <w:textAlignment w:val="auto"/>
        <w:rPr>
          <w:rFonts w:ascii="Calibri" w:hAnsi="Calibri" w:cs="Calibri"/>
          <w:lang w:val="en-US"/>
        </w:rPr>
      </w:pPr>
      <w:r>
        <w:rPr>
          <w:noProof/>
        </w:rPr>
        <w:drawing>
          <wp:inline distT="0" distB="0" distL="0" distR="0" wp14:anchorId="04A1466D" wp14:editId="2A20F6ED">
            <wp:extent cx="5731510" cy="2790967"/>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096"/>
                    <a:stretch/>
                  </pic:blipFill>
                  <pic:spPr bwMode="auto">
                    <a:xfrm>
                      <a:off x="0" y="0"/>
                      <a:ext cx="5731510" cy="2790967"/>
                    </a:xfrm>
                    <a:prstGeom prst="rect">
                      <a:avLst/>
                    </a:prstGeom>
                    <a:ln>
                      <a:noFill/>
                    </a:ln>
                    <a:extLst>
                      <a:ext uri="{53640926-AAD7-44D8-BBD7-CCE9431645EC}">
                        <a14:shadowObscured xmlns:a14="http://schemas.microsoft.com/office/drawing/2010/main"/>
                      </a:ext>
                    </a:extLst>
                  </pic:spPr>
                </pic:pic>
              </a:graphicData>
            </a:graphic>
          </wp:inline>
        </w:drawing>
      </w:r>
    </w:p>
    <w:p w14:paraId="2717CB0F" w14:textId="65761DF3" w:rsidR="009B6957" w:rsidRPr="0030688C" w:rsidRDefault="0029338B" w:rsidP="0029338B">
      <w:pPr>
        <w:pStyle w:val="Caption"/>
        <w:jc w:val="center"/>
        <w:rPr>
          <w:sz w:val="20"/>
          <w:szCs w:val="20"/>
          <w:lang w:val="en-US"/>
        </w:rPr>
      </w:pPr>
      <w:bookmarkStart w:id="26" w:name="_Toc56952683"/>
      <w:bookmarkStart w:id="27" w:name="_Hlk48492312"/>
      <w:bookmarkStart w:id="28" w:name="_Hlk48492325"/>
      <w:r w:rsidRPr="0030688C">
        <w:rPr>
          <w:sz w:val="20"/>
          <w:szCs w:val="20"/>
        </w:rPr>
        <w:t xml:space="preserve">Figure </w:t>
      </w:r>
      <w:r w:rsidR="007D4FEA" w:rsidRPr="0030688C">
        <w:rPr>
          <w:sz w:val="20"/>
          <w:szCs w:val="20"/>
        </w:rPr>
        <w:fldChar w:fldCharType="begin"/>
      </w:r>
      <w:r w:rsidR="007D4FEA" w:rsidRPr="0030688C">
        <w:rPr>
          <w:sz w:val="20"/>
          <w:szCs w:val="20"/>
        </w:rPr>
        <w:instrText xml:space="preserve"> SEQ Figure \* ARABIC </w:instrText>
      </w:r>
      <w:r w:rsidR="007D4FEA" w:rsidRPr="0030688C">
        <w:rPr>
          <w:sz w:val="20"/>
          <w:szCs w:val="20"/>
        </w:rPr>
        <w:fldChar w:fldCharType="separate"/>
      </w:r>
      <w:r w:rsidR="007D1E1B">
        <w:rPr>
          <w:noProof/>
          <w:sz w:val="20"/>
          <w:szCs w:val="20"/>
        </w:rPr>
        <w:t>3</w:t>
      </w:r>
      <w:r w:rsidR="007D4FEA" w:rsidRPr="0030688C">
        <w:rPr>
          <w:noProof/>
          <w:sz w:val="20"/>
          <w:szCs w:val="20"/>
        </w:rPr>
        <w:fldChar w:fldCharType="end"/>
      </w:r>
      <w:r w:rsidRPr="0030688C">
        <w:rPr>
          <w:sz w:val="20"/>
          <w:szCs w:val="20"/>
        </w:rPr>
        <w:t xml:space="preserve">. </w:t>
      </w:r>
      <w:r w:rsidR="00FE5987" w:rsidRPr="0030688C">
        <w:rPr>
          <w:sz w:val="20"/>
          <w:szCs w:val="20"/>
          <w:lang w:val="en-US"/>
        </w:rPr>
        <w:t xml:space="preserve"> </w:t>
      </w:r>
      <w:r w:rsidR="009B6957" w:rsidRPr="0030688C">
        <w:rPr>
          <w:sz w:val="20"/>
          <w:szCs w:val="20"/>
          <w:lang w:val="en-US"/>
        </w:rPr>
        <w:t>Croatia’s 14-day COVID-19 case and death notification rate</w:t>
      </w:r>
      <w:r w:rsidRPr="0030688C">
        <w:rPr>
          <w:rStyle w:val="FootnoteReference"/>
          <w:sz w:val="20"/>
          <w:szCs w:val="20"/>
          <w:lang w:val="en-US"/>
        </w:rPr>
        <w:footnoteReference w:id="11"/>
      </w:r>
      <w:bookmarkEnd w:id="26"/>
      <w:r w:rsidR="009B6957" w:rsidRPr="0030688C">
        <w:rPr>
          <w:sz w:val="20"/>
          <w:szCs w:val="20"/>
          <w:lang w:val="en-US"/>
        </w:rPr>
        <w:t xml:space="preserve"> </w:t>
      </w:r>
      <w:r w:rsidR="001037F7" w:rsidRPr="0030688C">
        <w:rPr>
          <w:sz w:val="20"/>
          <w:szCs w:val="20"/>
          <w:lang w:val="en-US"/>
        </w:rPr>
        <w:br/>
      </w:r>
      <w:bookmarkEnd w:id="27"/>
    </w:p>
    <w:bookmarkEnd w:id="28"/>
    <w:p w14:paraId="3CA52E2F" w14:textId="751EFB6C" w:rsidR="0037288C" w:rsidRDefault="0037288C" w:rsidP="0037288C">
      <w:pPr>
        <w:widowControl w:val="0"/>
        <w:suppressAutoHyphens w:val="0"/>
        <w:autoSpaceDE w:val="0"/>
        <w:adjustRightInd w:val="0"/>
        <w:spacing w:before="0" w:after="240" w:line="240" w:lineRule="auto"/>
        <w:textAlignment w:val="auto"/>
        <w:rPr>
          <w:rFonts w:ascii="Calibri" w:hAnsi="Calibri" w:cs="Calibri"/>
          <w:lang w:val="en-US"/>
        </w:rPr>
      </w:pPr>
      <w:r w:rsidRPr="00AB7D1E">
        <w:rPr>
          <w:rFonts w:ascii="Calibri" w:hAnsi="Calibri" w:cs="Calibri"/>
          <w:lang w:val="en-US"/>
        </w:rPr>
        <w:t xml:space="preserve">From May 2020, the situation was considered fully under control, with no new cases being reported for several weeks. Since mid-June, a sharp increase in new cases amounting to around 100 cases per day has been recorded. As of 13 July, wearing of facemasks is mandatory in most public spaces, and the authorities have reintroduced restrictions on gatherings. Measures to maintain physical distance, maintain hand hygiene and disinfection are still in force. </w:t>
      </w:r>
    </w:p>
    <w:p w14:paraId="6198E92B" w14:textId="3CCE3363" w:rsidR="00AD1C74" w:rsidRDefault="00AD1C74" w:rsidP="0037288C">
      <w:pPr>
        <w:widowControl w:val="0"/>
        <w:suppressAutoHyphens w:val="0"/>
        <w:autoSpaceDE w:val="0"/>
        <w:adjustRightInd w:val="0"/>
        <w:spacing w:before="0" w:after="240" w:line="240" w:lineRule="auto"/>
        <w:textAlignment w:val="auto"/>
        <w:rPr>
          <w:rFonts w:ascii="Calibri" w:hAnsi="Calibri" w:cs="Calibri"/>
          <w:lang w:val="en-US"/>
        </w:rPr>
      </w:pPr>
      <w:r w:rsidRPr="00AD1C74">
        <w:rPr>
          <w:noProof/>
        </w:rPr>
        <w:lastRenderedPageBreak/>
        <w:drawing>
          <wp:inline distT="0" distB="0" distL="0" distR="0" wp14:anchorId="4D9630F5" wp14:editId="18AD847C">
            <wp:extent cx="6026339" cy="3125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8425" cy="3131605"/>
                    </a:xfrm>
                    <a:prstGeom prst="rect">
                      <a:avLst/>
                    </a:prstGeom>
                  </pic:spPr>
                </pic:pic>
              </a:graphicData>
            </a:graphic>
          </wp:inline>
        </w:drawing>
      </w:r>
    </w:p>
    <w:p w14:paraId="629C601C" w14:textId="53505414" w:rsidR="0029338B" w:rsidRPr="0030688C" w:rsidRDefault="0029338B" w:rsidP="0029338B">
      <w:pPr>
        <w:pStyle w:val="Caption"/>
        <w:spacing w:before="0" w:after="0"/>
        <w:jc w:val="center"/>
        <w:rPr>
          <w:sz w:val="20"/>
          <w:szCs w:val="20"/>
          <w:lang w:val="en-US"/>
        </w:rPr>
      </w:pPr>
      <w:bookmarkStart w:id="29" w:name="_Toc56952684"/>
      <w:r w:rsidRPr="0030688C">
        <w:rPr>
          <w:sz w:val="20"/>
          <w:szCs w:val="20"/>
        </w:rPr>
        <w:t xml:space="preserve">Figure </w:t>
      </w:r>
      <w:r w:rsidR="007D4FEA" w:rsidRPr="0030688C">
        <w:rPr>
          <w:sz w:val="20"/>
          <w:szCs w:val="20"/>
        </w:rPr>
        <w:fldChar w:fldCharType="begin"/>
      </w:r>
      <w:r w:rsidR="007D4FEA" w:rsidRPr="0030688C">
        <w:rPr>
          <w:sz w:val="20"/>
          <w:szCs w:val="20"/>
        </w:rPr>
        <w:instrText xml:space="preserve"> SEQ Figure \* ARABIC </w:instrText>
      </w:r>
      <w:r w:rsidR="007D4FEA" w:rsidRPr="0030688C">
        <w:rPr>
          <w:sz w:val="20"/>
          <w:szCs w:val="20"/>
        </w:rPr>
        <w:fldChar w:fldCharType="separate"/>
      </w:r>
      <w:r w:rsidR="007D1E1B">
        <w:rPr>
          <w:noProof/>
          <w:sz w:val="20"/>
          <w:szCs w:val="20"/>
        </w:rPr>
        <w:t>4</w:t>
      </w:r>
      <w:r w:rsidR="007D4FEA" w:rsidRPr="0030688C">
        <w:rPr>
          <w:noProof/>
          <w:sz w:val="20"/>
          <w:szCs w:val="20"/>
        </w:rPr>
        <w:fldChar w:fldCharType="end"/>
      </w:r>
      <w:r w:rsidRPr="0030688C">
        <w:rPr>
          <w:sz w:val="20"/>
          <w:szCs w:val="20"/>
        </w:rPr>
        <w:t>.</w:t>
      </w:r>
      <w:r w:rsidR="009B6957" w:rsidRPr="0030688C">
        <w:rPr>
          <w:sz w:val="20"/>
          <w:szCs w:val="20"/>
          <w:lang w:val="en-US"/>
        </w:rPr>
        <w:t xml:space="preserve"> Croatia’s response measures overview</w:t>
      </w:r>
      <w:r w:rsidR="00AD1C74" w:rsidRPr="0030688C">
        <w:rPr>
          <w:sz w:val="20"/>
          <w:szCs w:val="20"/>
          <w:lang w:val="en-US"/>
        </w:rPr>
        <w:t>, as of 17</w:t>
      </w:r>
      <w:r w:rsidR="009B6957" w:rsidRPr="0030688C">
        <w:rPr>
          <w:sz w:val="20"/>
          <w:szCs w:val="20"/>
          <w:lang w:val="en-US"/>
        </w:rPr>
        <w:t xml:space="preserve"> </w:t>
      </w:r>
      <w:r w:rsidR="00AD1C74" w:rsidRPr="0030688C">
        <w:rPr>
          <w:sz w:val="20"/>
          <w:szCs w:val="20"/>
          <w:lang w:val="en-US"/>
        </w:rPr>
        <w:t>November</w:t>
      </w:r>
      <w:r w:rsidR="009B6957" w:rsidRPr="0030688C">
        <w:rPr>
          <w:sz w:val="20"/>
          <w:szCs w:val="20"/>
          <w:lang w:val="en-US"/>
        </w:rPr>
        <w:t xml:space="preserve"> 2020</w:t>
      </w:r>
      <w:bookmarkEnd w:id="29"/>
    </w:p>
    <w:p w14:paraId="11583BBC" w14:textId="266922F6" w:rsidR="009B6957" w:rsidRPr="0030688C" w:rsidRDefault="009B6957" w:rsidP="0029338B">
      <w:pPr>
        <w:pStyle w:val="Style2"/>
        <w:spacing w:before="0" w:after="120"/>
        <w:rPr>
          <w:szCs w:val="20"/>
          <w:lang w:val="en-US"/>
        </w:rPr>
      </w:pPr>
      <w:r w:rsidRPr="0030688C">
        <w:rPr>
          <w:szCs w:val="20"/>
          <w:lang w:val="en-US"/>
        </w:rPr>
        <w:t xml:space="preserve">(Source: </w:t>
      </w:r>
      <w:hyperlink r:id="rId19" w:history="1">
        <w:r w:rsidRPr="0030688C">
          <w:rPr>
            <w:rStyle w:val="Hyperlink"/>
            <w:szCs w:val="20"/>
            <w:lang w:val="en-US"/>
          </w:rPr>
          <w:t>https://www.ecdc.europa.eu/en/covid-19/country-overviews</w:t>
        </w:r>
      </w:hyperlink>
      <w:r w:rsidRPr="0030688C">
        <w:rPr>
          <w:szCs w:val="20"/>
          <w:lang w:val="en-US"/>
        </w:rPr>
        <w:t>)</w:t>
      </w:r>
    </w:p>
    <w:p w14:paraId="48C980F7" w14:textId="679C90D1" w:rsidR="0037288C" w:rsidRDefault="0037288C" w:rsidP="0037288C">
      <w:pPr>
        <w:suppressAutoHyphens w:val="0"/>
        <w:autoSpaceDN/>
        <w:spacing w:before="0" w:after="160" w:line="259" w:lineRule="auto"/>
        <w:textAlignment w:val="auto"/>
        <w:rPr>
          <w:rFonts w:ascii="Calibri" w:hAnsi="Calibri" w:cs="Calibri"/>
          <w:lang w:val="en-US"/>
        </w:rPr>
      </w:pPr>
      <w:r w:rsidRPr="00AB7D1E">
        <w:rPr>
          <w:rFonts w:ascii="Calibri" w:hAnsi="Calibri" w:cs="Calibri"/>
          <w:lang w:val="en-US"/>
        </w:rPr>
        <w:t>There are currently 2</w:t>
      </w:r>
      <w:r w:rsidR="00D84324">
        <w:rPr>
          <w:rFonts w:ascii="Calibri" w:hAnsi="Calibri" w:cs="Calibri"/>
          <w:lang w:val="en-US"/>
        </w:rPr>
        <w:t>6</w:t>
      </w:r>
      <w:r w:rsidRPr="00AB7D1E">
        <w:rPr>
          <w:rFonts w:ascii="Calibri" w:hAnsi="Calibri" w:cs="Calibri"/>
          <w:lang w:val="en-US"/>
        </w:rPr>
        <w:t xml:space="preserve"> testing places in the Republic of Croatia that perform RT-PCR analysis and collect samples. All processed samples enter national Croatian Health Insurance Institute platform, which is accessible to all county public health institutes. County public health institutes submit data about positive cases, sources of infection and hotspots as part of their daily reports to the Croatian Institute of Public Health. The Croatian Institute of Public Health collects information about hotspots, hospital treatment of COVID-19 positive persons, COVID-19 positive patients on respirators and the deceased.</w:t>
      </w:r>
    </w:p>
    <w:p w14:paraId="645C3489" w14:textId="7BC50918" w:rsidR="00AD1C74" w:rsidRDefault="00AD1C74" w:rsidP="0037288C">
      <w:pPr>
        <w:suppressAutoHyphens w:val="0"/>
        <w:autoSpaceDN/>
        <w:spacing w:before="0" w:after="160" w:line="259" w:lineRule="auto"/>
        <w:textAlignment w:val="auto"/>
        <w:rPr>
          <w:rFonts w:ascii="Calibri" w:hAnsi="Calibri" w:cs="Calibri"/>
          <w:lang w:val="en-US"/>
        </w:rPr>
      </w:pPr>
      <w:r w:rsidRPr="00AD1C74">
        <w:rPr>
          <w:noProof/>
        </w:rPr>
        <w:drawing>
          <wp:inline distT="0" distB="0" distL="0" distR="0" wp14:anchorId="50FAD47B" wp14:editId="1E3FEA3A">
            <wp:extent cx="5506872" cy="2749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903" b="8960"/>
                    <a:stretch/>
                  </pic:blipFill>
                  <pic:spPr bwMode="auto">
                    <a:xfrm>
                      <a:off x="0" y="0"/>
                      <a:ext cx="5507821" cy="2750024"/>
                    </a:xfrm>
                    <a:prstGeom prst="rect">
                      <a:avLst/>
                    </a:prstGeom>
                    <a:ln>
                      <a:noFill/>
                    </a:ln>
                    <a:extLst>
                      <a:ext uri="{53640926-AAD7-44D8-BBD7-CCE9431645EC}">
                        <a14:shadowObscured xmlns:a14="http://schemas.microsoft.com/office/drawing/2010/main"/>
                      </a:ext>
                    </a:extLst>
                  </pic:spPr>
                </pic:pic>
              </a:graphicData>
            </a:graphic>
          </wp:inline>
        </w:drawing>
      </w:r>
    </w:p>
    <w:p w14:paraId="5B8F619F" w14:textId="2AD53A41" w:rsidR="009B6957" w:rsidRPr="00AB7D1E" w:rsidRDefault="009B6957" w:rsidP="001037F7">
      <w:pPr>
        <w:pStyle w:val="Style2"/>
        <w:rPr>
          <w:lang w:val="en-US"/>
        </w:rPr>
      </w:pPr>
      <w:bookmarkStart w:id="30" w:name="_Toc56952685"/>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5</w:t>
      </w:r>
      <w:r w:rsidR="00DE594D" w:rsidRPr="00AB7D1E">
        <w:rPr>
          <w:lang w:val="en-US"/>
        </w:rPr>
        <w:fldChar w:fldCharType="end"/>
      </w:r>
      <w:r w:rsidRPr="00AB7D1E">
        <w:rPr>
          <w:lang w:val="en-US"/>
        </w:rPr>
        <w:t>. Croatia’s weekly testing rate</w:t>
      </w:r>
      <w:r w:rsidR="0029338B">
        <w:rPr>
          <w:rStyle w:val="FootnoteReference"/>
          <w:lang w:val="en-US"/>
        </w:rPr>
        <w:footnoteReference w:id="12"/>
      </w:r>
      <w:bookmarkEnd w:id="30"/>
      <w:r w:rsidRPr="00AB7D1E">
        <w:rPr>
          <w:lang w:val="en-US"/>
        </w:rPr>
        <w:t xml:space="preserve"> </w:t>
      </w:r>
      <w:r w:rsidR="001037F7" w:rsidRPr="00AB7D1E">
        <w:rPr>
          <w:lang w:val="en-US"/>
        </w:rPr>
        <w:br/>
      </w:r>
    </w:p>
    <w:p w14:paraId="3CE69D74" w14:textId="03BF12CA" w:rsidR="00587176" w:rsidRPr="00AB7D1E" w:rsidRDefault="000C667A" w:rsidP="000F5E75">
      <w:pPr>
        <w:widowControl w:val="0"/>
        <w:suppressAutoHyphens w:val="0"/>
        <w:autoSpaceDE w:val="0"/>
        <w:autoSpaceDN/>
        <w:adjustRightInd w:val="0"/>
        <w:spacing w:before="0" w:after="240" w:line="240" w:lineRule="auto"/>
        <w:textAlignment w:val="auto"/>
        <w:rPr>
          <w:rFonts w:ascii="Calibri" w:eastAsia="MS Mincho" w:hAnsi="Calibri" w:cs="Arial"/>
          <w:lang w:val="en-US"/>
        </w:rPr>
      </w:pPr>
      <w:r w:rsidRPr="00AB7D1E">
        <w:rPr>
          <w:rFonts w:ascii="Calibri" w:eastAsia="MS Mincho" w:hAnsi="Calibri" w:cs="Arial"/>
          <w:color w:val="000000"/>
          <w:lang w:val="en-US"/>
        </w:rPr>
        <w:lastRenderedPageBreak/>
        <w:t>The outbreak of COVID-19 in Croatia has highlighted the importance of investing in public health preparedness</w:t>
      </w:r>
      <w:r w:rsidRPr="00AB7D1E">
        <w:rPr>
          <w:rFonts w:ascii="Calibri" w:eastAsia="MS Mincho" w:hAnsi="Calibri" w:cs="Calibri"/>
          <w:vertAlign w:val="superscript"/>
          <w:lang w:val="en-US"/>
        </w:rPr>
        <w:footnoteReference w:id="13"/>
      </w:r>
      <w:r w:rsidRPr="00AB7D1E">
        <w:rPr>
          <w:rFonts w:ascii="Calibri" w:eastAsia="MS Mincho" w:hAnsi="Calibri" w:cs="Arial"/>
          <w:color w:val="000000"/>
          <w:lang w:val="en-US"/>
        </w:rPr>
        <w:t xml:space="preserve"> for future outbreaks and building the institutional capacity of health agencies. </w:t>
      </w:r>
    </w:p>
    <w:p w14:paraId="5433E347" w14:textId="7826A436" w:rsidR="008B5EC4" w:rsidRPr="00AB7D1E" w:rsidRDefault="000C667A" w:rsidP="001274D5">
      <w:pPr>
        <w:widowControl w:val="0"/>
        <w:suppressAutoHyphens w:val="0"/>
        <w:autoSpaceDE w:val="0"/>
        <w:autoSpaceDN/>
        <w:adjustRightInd w:val="0"/>
        <w:spacing w:before="0" w:after="240" w:line="240" w:lineRule="auto"/>
        <w:textAlignment w:val="auto"/>
        <w:rPr>
          <w:rFonts w:ascii="Calibri" w:eastAsia="MS Mincho" w:hAnsi="Calibri" w:cs="Calibri"/>
          <w:b/>
          <w:lang w:val="en-US"/>
        </w:rPr>
      </w:pPr>
      <w:r w:rsidRPr="00AB7D1E">
        <w:rPr>
          <w:rFonts w:ascii="Calibri" w:eastAsia="MS Mincho" w:hAnsi="Calibri" w:cs="Arial"/>
          <w:bCs/>
          <w:lang w:val="en-US"/>
        </w:rPr>
        <w:t xml:space="preserve">A focus on public health preparedness is rooted in the Government’s recognition that there is a need to prepare for a </w:t>
      </w:r>
      <w:r w:rsidR="00237878">
        <w:rPr>
          <w:rFonts w:ascii="Calibri" w:eastAsia="MS Mincho" w:hAnsi="Calibri" w:cs="Arial"/>
          <w:bCs/>
          <w:lang w:val="en-US"/>
        </w:rPr>
        <w:t>‘</w:t>
      </w:r>
      <w:r w:rsidRPr="00AB7D1E">
        <w:rPr>
          <w:rFonts w:ascii="Calibri" w:eastAsia="MS Mincho" w:hAnsi="Calibri" w:cs="Arial"/>
          <w:bCs/>
          <w:lang w:val="en-US"/>
        </w:rPr>
        <w:t>new normal</w:t>
      </w:r>
      <w:r w:rsidR="00237878">
        <w:rPr>
          <w:rFonts w:ascii="Calibri" w:eastAsia="MS Mincho" w:hAnsi="Calibri" w:cs="Arial"/>
          <w:bCs/>
          <w:lang w:val="en-US"/>
        </w:rPr>
        <w:t>’</w:t>
      </w:r>
      <w:r w:rsidRPr="00AB7D1E">
        <w:rPr>
          <w:rFonts w:ascii="Calibri" w:eastAsia="MS Mincho" w:hAnsi="Calibri" w:cs="Arial"/>
          <w:bCs/>
          <w:lang w:val="en-US"/>
        </w:rPr>
        <w:t xml:space="preserve">, where health agencies will </w:t>
      </w:r>
      <w:r w:rsidRPr="00AB7D1E">
        <w:rPr>
          <w:rFonts w:ascii="Calibri" w:eastAsia="MS Mincho" w:hAnsi="Calibri" w:cs="Arial"/>
          <w:bCs/>
          <w:color w:val="000000"/>
          <w:lang w:val="en-US"/>
        </w:rPr>
        <w:t>need to play a greater role in adaptive emergency response.</w:t>
      </w:r>
      <w:r w:rsidRPr="00AB7D1E">
        <w:rPr>
          <w:rFonts w:ascii="Calibri" w:eastAsia="MS Mincho" w:hAnsi="Calibri" w:cs="Arial"/>
          <w:b/>
          <w:color w:val="000000"/>
          <w:lang w:val="en-US"/>
        </w:rPr>
        <w:t xml:space="preserve"> </w:t>
      </w:r>
      <w:r w:rsidR="001274D5" w:rsidRPr="00AB7D1E">
        <w:rPr>
          <w:rFonts w:ascii="Calibri" w:eastAsia="MS Mincho" w:hAnsi="Calibri" w:cs="Arial"/>
          <w:color w:val="000000"/>
          <w:lang w:val="en-US"/>
        </w:rPr>
        <w:t>T</w:t>
      </w:r>
      <w:r w:rsidRPr="00AB7D1E">
        <w:rPr>
          <w:rFonts w:ascii="Calibri" w:eastAsia="MS Mincho" w:hAnsi="Calibri" w:cs="Arial"/>
          <w:color w:val="000000"/>
          <w:lang w:val="en-US"/>
        </w:rPr>
        <w:t>he WHO and other epidemiological experts anticipate continued transmission and waves of the virus in the next 12</w:t>
      </w:r>
      <w:r w:rsidRPr="00AB7D1E">
        <w:rPr>
          <w:rFonts w:ascii="Calibri" w:eastAsia="MS Mincho" w:hAnsi="Calibri" w:cs="Calibri"/>
          <w:color w:val="000000"/>
          <w:lang w:val="en-US"/>
        </w:rPr>
        <w:t>–</w:t>
      </w:r>
      <w:r w:rsidRPr="00AB7D1E">
        <w:rPr>
          <w:rFonts w:ascii="Calibri" w:eastAsia="MS Mincho" w:hAnsi="Calibri" w:cs="Arial"/>
          <w:color w:val="000000"/>
          <w:lang w:val="en-US"/>
        </w:rPr>
        <w:t xml:space="preserve">18 months. The peaks are likely to be driven by winter pressures on health systems, the loosening of social distancing measures, and the return of tourists to the country in the summer of 2020. Restoring and strengthening the physical and functional capacity of core public health institutions and the wider health system is critical for ensuring that that future waves of infectious disease can be well managed. Mitigating the number of lives lost and being well positioned to restart economic activity depend on a reduction in disease transmission, strong health </w:t>
      </w:r>
      <w:r w:rsidRPr="00AB7D1E">
        <w:rPr>
          <w:rFonts w:ascii="Calibri" w:eastAsia="MS Mincho" w:hAnsi="Calibri" w:cs="Arial"/>
          <w:lang w:val="en-US"/>
        </w:rPr>
        <w:t>systems, and adequate public health capacity, particularly when the emergency period is not short term or definitive.</w:t>
      </w:r>
    </w:p>
    <w:p w14:paraId="743B03F7" w14:textId="5D0975B2" w:rsidR="00E43AF4" w:rsidRPr="00AB7D1E" w:rsidRDefault="00E43AF4" w:rsidP="00E43AF4">
      <w:pPr>
        <w:pStyle w:val="Heading2"/>
        <w:rPr>
          <w:lang w:val="en-US"/>
        </w:rPr>
      </w:pPr>
      <w:bookmarkStart w:id="31" w:name="_Toc56954031"/>
      <w:r w:rsidRPr="00AB7D1E">
        <w:rPr>
          <w:lang w:val="en-US"/>
        </w:rPr>
        <w:t xml:space="preserve">Project </w:t>
      </w:r>
      <w:r w:rsidR="00FE3BDD" w:rsidRPr="00AB7D1E">
        <w:rPr>
          <w:lang w:val="en-US"/>
        </w:rPr>
        <w:t>d</w:t>
      </w:r>
      <w:r w:rsidR="00264A5B" w:rsidRPr="00AB7D1E">
        <w:rPr>
          <w:lang w:val="en-US"/>
        </w:rPr>
        <w:t xml:space="preserve">evelopment </w:t>
      </w:r>
      <w:r w:rsidR="00FE3BDD" w:rsidRPr="00AB7D1E">
        <w:rPr>
          <w:lang w:val="en-US"/>
        </w:rPr>
        <w:t>o</w:t>
      </w:r>
      <w:r w:rsidR="00264A5B" w:rsidRPr="00AB7D1E">
        <w:rPr>
          <w:lang w:val="en-US"/>
        </w:rPr>
        <w:t>bjective</w:t>
      </w:r>
      <w:r w:rsidR="00586281" w:rsidRPr="00AB7D1E">
        <w:rPr>
          <w:lang w:val="en-US"/>
        </w:rPr>
        <w:t xml:space="preserve"> and project components</w:t>
      </w:r>
      <w:bookmarkEnd w:id="31"/>
    </w:p>
    <w:p w14:paraId="18621747" w14:textId="32DC3388" w:rsidR="00566DD4" w:rsidRPr="00AB7D1E" w:rsidRDefault="008566D2" w:rsidP="00566DD4">
      <w:pPr>
        <w:rPr>
          <w:lang w:val="en-US"/>
        </w:rPr>
      </w:pPr>
      <w:r w:rsidRPr="00AB7D1E">
        <w:rPr>
          <w:lang w:val="en-US"/>
        </w:rPr>
        <w:t>The</w:t>
      </w:r>
      <w:r w:rsidR="007453B4" w:rsidRPr="00AB7D1E">
        <w:rPr>
          <w:lang w:val="en-US"/>
        </w:rPr>
        <w:t xml:space="preserve"> </w:t>
      </w:r>
      <w:r w:rsidR="00FE3BDD" w:rsidRPr="00AB7D1E">
        <w:rPr>
          <w:lang w:val="en-US"/>
        </w:rPr>
        <w:t>p</w:t>
      </w:r>
      <w:r w:rsidRPr="00AB7D1E">
        <w:rPr>
          <w:lang w:val="en-US"/>
        </w:rPr>
        <w:t xml:space="preserve">roject </w:t>
      </w:r>
      <w:r w:rsidR="00FE3BDD" w:rsidRPr="00AB7D1E">
        <w:rPr>
          <w:lang w:val="en-US"/>
        </w:rPr>
        <w:t>d</w:t>
      </w:r>
      <w:r w:rsidRPr="00AB7D1E">
        <w:rPr>
          <w:lang w:val="en-US"/>
        </w:rPr>
        <w:t xml:space="preserve">evelopment </w:t>
      </w:r>
      <w:r w:rsidR="00FE3BDD" w:rsidRPr="00AB7D1E">
        <w:rPr>
          <w:lang w:val="en-US"/>
        </w:rPr>
        <w:t>o</w:t>
      </w:r>
      <w:r w:rsidRPr="00AB7D1E">
        <w:rPr>
          <w:lang w:val="en-US"/>
        </w:rPr>
        <w:t xml:space="preserve">bjective (PDO) is to assist Croatia with earthquake reconstruction efforts in </w:t>
      </w:r>
      <w:r w:rsidR="000404F5" w:rsidRPr="00AB7D1E">
        <w:rPr>
          <w:lang w:val="en-US"/>
        </w:rPr>
        <w:t xml:space="preserve">City of </w:t>
      </w:r>
      <w:r w:rsidRPr="00AB7D1E">
        <w:rPr>
          <w:lang w:val="en-US"/>
        </w:rPr>
        <w:t>Zagreb</w:t>
      </w:r>
      <w:r w:rsidR="000404F5" w:rsidRPr="00AB7D1E">
        <w:rPr>
          <w:lang w:val="en-US"/>
        </w:rPr>
        <w:t xml:space="preserve">, </w:t>
      </w:r>
      <w:r w:rsidR="00D30458" w:rsidRPr="00AB7D1E">
        <w:rPr>
          <w:lang w:val="en-US"/>
        </w:rPr>
        <w:t xml:space="preserve">Zagreb County and </w:t>
      </w:r>
      <w:proofErr w:type="spellStart"/>
      <w:r w:rsidR="00D30458" w:rsidRPr="00AB7D1E">
        <w:rPr>
          <w:lang w:val="en-US"/>
        </w:rPr>
        <w:t>Krapina-Zagorje</w:t>
      </w:r>
      <w:proofErr w:type="spellEnd"/>
      <w:r w:rsidR="00D30458" w:rsidRPr="00AB7D1E">
        <w:rPr>
          <w:lang w:val="en-US"/>
        </w:rPr>
        <w:t xml:space="preserve"> County</w:t>
      </w:r>
      <w:r w:rsidRPr="00AB7D1E">
        <w:rPr>
          <w:lang w:val="en-US"/>
        </w:rPr>
        <w:t>, improve institutional capacity for reconstruction, and strengthen national systems for public health preparedness.</w:t>
      </w:r>
    </w:p>
    <w:p w14:paraId="2F59F1E4" w14:textId="5F45FD83" w:rsidR="00977DE1" w:rsidRPr="00AB7D1E" w:rsidRDefault="00977DE1" w:rsidP="00566DD4">
      <w:pPr>
        <w:rPr>
          <w:lang w:val="en-US"/>
        </w:rPr>
      </w:pPr>
      <w:r w:rsidRPr="00AB7D1E">
        <w:rPr>
          <w:lang w:val="en-US"/>
        </w:rPr>
        <w:t xml:space="preserve">The Project have three (3) components and five (5) subcomponents shown in </w:t>
      </w:r>
      <w:r w:rsidRPr="00AB7D1E">
        <w:rPr>
          <w:lang w:val="en-US"/>
        </w:rPr>
        <w:fldChar w:fldCharType="begin"/>
      </w:r>
      <w:r w:rsidRPr="00AB7D1E">
        <w:rPr>
          <w:lang w:val="en-US"/>
        </w:rPr>
        <w:instrText xml:space="preserve"> REF _Ref45788765 \h </w:instrText>
      </w:r>
      <w:r w:rsidRPr="00AB7D1E">
        <w:rPr>
          <w:lang w:val="en-US"/>
        </w:rPr>
      </w:r>
      <w:r w:rsidRPr="00AB7D1E">
        <w:rPr>
          <w:lang w:val="en-US"/>
        </w:rPr>
        <w:fldChar w:fldCharType="separate"/>
      </w:r>
      <w:r w:rsidR="007D1E1B" w:rsidRPr="00AB7D1E">
        <w:t xml:space="preserve">Table </w:t>
      </w:r>
      <w:r w:rsidR="007D1E1B">
        <w:rPr>
          <w:noProof/>
        </w:rPr>
        <w:t>1</w:t>
      </w:r>
      <w:r w:rsidRPr="00AB7D1E">
        <w:rPr>
          <w:lang w:val="en-US"/>
        </w:rPr>
        <w:fldChar w:fldCharType="end"/>
      </w:r>
      <w:r w:rsidRPr="00AB7D1E">
        <w:rPr>
          <w:lang w:val="en-US"/>
        </w:rPr>
        <w:t>.</w:t>
      </w:r>
    </w:p>
    <w:p w14:paraId="76DDDC6A" w14:textId="092C1F7A" w:rsidR="008566D2" w:rsidRPr="00AB7D1E" w:rsidRDefault="00977DE1" w:rsidP="007D1E1B">
      <w:pPr>
        <w:pStyle w:val="Style1"/>
      </w:pPr>
      <w:bookmarkStart w:id="32" w:name="_Ref45788765"/>
      <w:bookmarkStart w:id="33" w:name="_Toc56952701"/>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w:t>
      </w:r>
      <w:r w:rsidR="00DF4A34" w:rsidRPr="00AB7D1E">
        <w:fldChar w:fldCharType="end"/>
      </w:r>
      <w:bookmarkEnd w:id="32"/>
      <w:r w:rsidRPr="00AB7D1E">
        <w:t xml:space="preserve">. Overview of </w:t>
      </w:r>
      <w:r w:rsidR="00FE3BDD" w:rsidRPr="00AB7D1E">
        <w:t>p</w:t>
      </w:r>
      <w:r w:rsidRPr="00AB7D1E">
        <w:t xml:space="preserve">roject </w:t>
      </w:r>
      <w:r w:rsidR="00FE3BDD" w:rsidRPr="00AB7D1E">
        <w:t>c</w:t>
      </w:r>
      <w:r w:rsidRPr="00AB7D1E">
        <w:t>omponents</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0413C" w:rsidRPr="00AB7D1E" w14:paraId="4C28F7C8" w14:textId="77777777" w:rsidTr="00BC563E">
        <w:tc>
          <w:tcPr>
            <w:tcW w:w="9016" w:type="dxa"/>
            <w:shd w:val="clear" w:color="auto" w:fill="auto"/>
          </w:tcPr>
          <w:p w14:paraId="11CBA295" w14:textId="30226477" w:rsidR="00977DE1" w:rsidRPr="00AB7D1E" w:rsidRDefault="00977DE1" w:rsidP="00035887">
            <w:pPr>
              <w:spacing w:before="0" w:after="0"/>
              <w:rPr>
                <w:lang w:val="en-US"/>
              </w:rPr>
            </w:pPr>
            <w:r w:rsidRPr="00AB7D1E">
              <w:rPr>
                <w:b/>
                <w:bCs/>
                <w:sz w:val="20"/>
                <w:szCs w:val="20"/>
                <w:lang w:val="en-US"/>
              </w:rPr>
              <w:t xml:space="preserve">Component 1: </w:t>
            </w:r>
            <w:bookmarkStart w:id="34" w:name="_Hlk45795116"/>
            <w:r w:rsidRPr="00AB7D1E">
              <w:rPr>
                <w:b/>
                <w:bCs/>
                <w:sz w:val="20"/>
                <w:szCs w:val="20"/>
                <w:lang w:val="en-US"/>
              </w:rPr>
              <w:t>Earthquake Recovery and Reconstruction</w:t>
            </w:r>
            <w:bookmarkEnd w:id="34"/>
          </w:p>
        </w:tc>
      </w:tr>
      <w:tr w:rsidR="0010413C" w:rsidRPr="00AB7D1E" w14:paraId="2B8C8E36" w14:textId="77777777" w:rsidTr="00BC563E">
        <w:tc>
          <w:tcPr>
            <w:tcW w:w="9016" w:type="dxa"/>
            <w:shd w:val="clear" w:color="auto" w:fill="auto"/>
          </w:tcPr>
          <w:p w14:paraId="5AB6A2B3" w14:textId="2F1BDF80" w:rsidR="00977DE1" w:rsidRPr="00AB7D1E" w:rsidRDefault="00977DE1" w:rsidP="00BE60A0">
            <w:pPr>
              <w:pStyle w:val="ListParagraph"/>
              <w:numPr>
                <w:ilvl w:val="0"/>
                <w:numId w:val="20"/>
              </w:numPr>
              <w:spacing w:before="0" w:after="0"/>
              <w:rPr>
                <w:lang w:val="en-US"/>
              </w:rPr>
            </w:pPr>
            <w:r w:rsidRPr="00AB7D1E">
              <w:rPr>
                <w:lang w:val="en-US"/>
              </w:rPr>
              <w:t>Subcomponent 1.1: Immediate Public Safety Interventions</w:t>
            </w:r>
          </w:p>
        </w:tc>
      </w:tr>
      <w:tr w:rsidR="0010413C" w:rsidRPr="00AB7D1E" w14:paraId="7352E076" w14:textId="77777777" w:rsidTr="00BC563E">
        <w:tc>
          <w:tcPr>
            <w:tcW w:w="9016" w:type="dxa"/>
            <w:shd w:val="clear" w:color="auto" w:fill="auto"/>
          </w:tcPr>
          <w:p w14:paraId="4A3877A5" w14:textId="24EB42E3" w:rsidR="00977DE1" w:rsidRPr="00AB7D1E" w:rsidRDefault="00977DE1" w:rsidP="00BE60A0">
            <w:pPr>
              <w:pStyle w:val="ListParagraph"/>
              <w:numPr>
                <w:ilvl w:val="0"/>
                <w:numId w:val="20"/>
              </w:numPr>
              <w:spacing w:before="0" w:after="0"/>
              <w:rPr>
                <w:lang w:val="en-US"/>
              </w:rPr>
            </w:pPr>
            <w:r w:rsidRPr="00AB7D1E">
              <w:rPr>
                <w:lang w:val="en-US"/>
              </w:rPr>
              <w:t>Subcomponent 1.2: Rehabilitation and Reconstruction of Health and Education Facilities</w:t>
            </w:r>
          </w:p>
        </w:tc>
      </w:tr>
      <w:tr w:rsidR="0010413C" w:rsidRPr="00AB7D1E" w14:paraId="5CA42E40" w14:textId="77777777" w:rsidTr="00BC563E">
        <w:tc>
          <w:tcPr>
            <w:tcW w:w="9016" w:type="dxa"/>
            <w:shd w:val="clear" w:color="auto" w:fill="auto"/>
          </w:tcPr>
          <w:p w14:paraId="4D7A01CF" w14:textId="58E60CA1" w:rsidR="00977DE1" w:rsidRPr="00AB7D1E" w:rsidRDefault="00977DE1" w:rsidP="00BE60A0">
            <w:pPr>
              <w:pStyle w:val="ListParagraph"/>
              <w:numPr>
                <w:ilvl w:val="0"/>
                <w:numId w:val="20"/>
              </w:numPr>
              <w:spacing w:before="0" w:after="0"/>
              <w:rPr>
                <w:lang w:val="en-US"/>
              </w:rPr>
            </w:pPr>
            <w:r w:rsidRPr="00AB7D1E">
              <w:rPr>
                <w:lang w:val="en-US"/>
              </w:rPr>
              <w:t>Subcomponent 1.3: Housing Reconstruction Support Program Design</w:t>
            </w:r>
          </w:p>
        </w:tc>
      </w:tr>
      <w:tr w:rsidR="0010413C" w:rsidRPr="00AB7D1E" w14:paraId="0DF4F6D9" w14:textId="77777777" w:rsidTr="00BC563E">
        <w:tc>
          <w:tcPr>
            <w:tcW w:w="9016" w:type="dxa"/>
            <w:shd w:val="clear" w:color="auto" w:fill="CEDBE6" w:themeFill="background2"/>
          </w:tcPr>
          <w:p w14:paraId="218F351A" w14:textId="3E7202C6" w:rsidR="00977DE1" w:rsidRPr="00AB7D1E" w:rsidRDefault="00977DE1" w:rsidP="00035887">
            <w:pPr>
              <w:spacing w:before="0" w:after="0"/>
              <w:rPr>
                <w:lang w:val="en-US"/>
              </w:rPr>
            </w:pPr>
            <w:bookmarkStart w:id="35" w:name="_Hlk48142306"/>
            <w:r w:rsidRPr="00AB7D1E">
              <w:rPr>
                <w:b/>
                <w:lang w:val="en-US"/>
              </w:rPr>
              <w:t xml:space="preserve">Component 2: </w:t>
            </w:r>
            <w:bookmarkStart w:id="36" w:name="_Hlk49092667"/>
            <w:r w:rsidRPr="00AB7D1E">
              <w:rPr>
                <w:b/>
                <w:lang w:val="en-US"/>
              </w:rPr>
              <w:t>Public Health Surveillance and Preparedness</w:t>
            </w:r>
            <w:bookmarkEnd w:id="36"/>
          </w:p>
        </w:tc>
      </w:tr>
      <w:bookmarkEnd w:id="35"/>
      <w:tr w:rsidR="0010413C" w:rsidRPr="00AB7D1E" w14:paraId="09368CF8" w14:textId="77777777" w:rsidTr="00BC563E">
        <w:tc>
          <w:tcPr>
            <w:tcW w:w="9016" w:type="dxa"/>
            <w:shd w:val="clear" w:color="auto" w:fill="CEDBE6" w:themeFill="background2"/>
          </w:tcPr>
          <w:p w14:paraId="09AE927D" w14:textId="3A28B4B6" w:rsidR="00977DE1" w:rsidRPr="00AB7D1E" w:rsidRDefault="00977DE1" w:rsidP="00BE60A0">
            <w:pPr>
              <w:pStyle w:val="ListParagraph"/>
              <w:numPr>
                <w:ilvl w:val="0"/>
                <w:numId w:val="21"/>
              </w:numPr>
              <w:spacing w:before="0" w:after="0"/>
              <w:rPr>
                <w:b/>
                <w:bCs/>
                <w:lang w:val="en-US"/>
              </w:rPr>
            </w:pPr>
            <w:r w:rsidRPr="00AB7D1E">
              <w:rPr>
                <w:b/>
                <w:bCs/>
                <w:lang w:val="en-US"/>
              </w:rPr>
              <w:t xml:space="preserve">Subcomponent 2.1: Case </w:t>
            </w:r>
            <w:r w:rsidR="002B43BC">
              <w:rPr>
                <w:b/>
                <w:bCs/>
                <w:lang w:val="en-US"/>
              </w:rPr>
              <w:t>M</w:t>
            </w:r>
            <w:r w:rsidRPr="00AB7D1E">
              <w:rPr>
                <w:b/>
                <w:bCs/>
                <w:lang w:val="en-US"/>
              </w:rPr>
              <w:t>anagement and Surveillance</w:t>
            </w:r>
          </w:p>
        </w:tc>
      </w:tr>
      <w:tr w:rsidR="0010413C" w:rsidRPr="00AB7D1E" w14:paraId="5AECE8CD" w14:textId="77777777" w:rsidTr="00BC563E">
        <w:tc>
          <w:tcPr>
            <w:tcW w:w="9016" w:type="dxa"/>
            <w:shd w:val="clear" w:color="auto" w:fill="CEDBE6" w:themeFill="background2"/>
          </w:tcPr>
          <w:p w14:paraId="0CCACB7B" w14:textId="45335BA8" w:rsidR="00977DE1" w:rsidRPr="00AB7D1E" w:rsidRDefault="00977DE1" w:rsidP="00BE60A0">
            <w:pPr>
              <w:pStyle w:val="ListParagraph"/>
              <w:numPr>
                <w:ilvl w:val="0"/>
                <w:numId w:val="21"/>
              </w:numPr>
              <w:tabs>
                <w:tab w:val="left" w:pos="1320"/>
              </w:tabs>
              <w:spacing w:before="0" w:after="0"/>
              <w:rPr>
                <w:b/>
                <w:bCs/>
                <w:lang w:val="en-US"/>
              </w:rPr>
            </w:pPr>
            <w:r w:rsidRPr="00AB7D1E">
              <w:rPr>
                <w:b/>
                <w:bCs/>
                <w:lang w:val="en-US"/>
              </w:rPr>
              <w:t>Subcomponent 2.2: Public Health Preparedness</w:t>
            </w:r>
          </w:p>
        </w:tc>
      </w:tr>
      <w:tr w:rsidR="0010413C" w:rsidRPr="00AB7D1E" w14:paraId="56B1CBE9" w14:textId="77777777" w:rsidTr="0010413C">
        <w:tc>
          <w:tcPr>
            <w:tcW w:w="9016" w:type="dxa"/>
          </w:tcPr>
          <w:p w14:paraId="4DABE660" w14:textId="522D946B" w:rsidR="00977DE1" w:rsidRPr="00AB7D1E" w:rsidRDefault="00977DE1" w:rsidP="00035887">
            <w:pPr>
              <w:spacing w:before="0" w:after="0"/>
              <w:rPr>
                <w:lang w:val="en-US"/>
              </w:rPr>
            </w:pPr>
            <w:r w:rsidRPr="00AB7D1E">
              <w:rPr>
                <w:b/>
                <w:bCs/>
                <w:sz w:val="20"/>
                <w:szCs w:val="20"/>
                <w:lang w:val="en-US"/>
              </w:rPr>
              <w:t>Component 3: Project Management</w:t>
            </w:r>
          </w:p>
        </w:tc>
      </w:tr>
    </w:tbl>
    <w:p w14:paraId="2CC9E838" w14:textId="46A980E2" w:rsidR="00035887" w:rsidRPr="00AB7D1E" w:rsidRDefault="0004375C" w:rsidP="000D6D2A">
      <w:pPr>
        <w:rPr>
          <w:b/>
          <w:bCs/>
          <w:lang w:val="en-US"/>
        </w:rPr>
      </w:pPr>
      <w:r w:rsidRPr="00AB7D1E">
        <w:rPr>
          <w:b/>
          <w:bCs/>
          <w:lang w:val="en-US"/>
        </w:rPr>
        <w:t xml:space="preserve">This ESMF covers </w:t>
      </w:r>
      <w:r w:rsidR="00BE2938">
        <w:rPr>
          <w:b/>
          <w:bCs/>
          <w:lang w:val="en-US"/>
        </w:rPr>
        <w:t xml:space="preserve">the </w:t>
      </w:r>
      <w:r w:rsidRPr="00AB7D1E">
        <w:rPr>
          <w:b/>
          <w:bCs/>
          <w:lang w:val="en-US"/>
        </w:rPr>
        <w:t xml:space="preserve">Component </w:t>
      </w:r>
      <w:r w:rsidR="00864616" w:rsidRPr="00AB7D1E">
        <w:rPr>
          <w:b/>
          <w:bCs/>
          <w:lang w:val="en-US"/>
        </w:rPr>
        <w:t>(</w:t>
      </w:r>
      <w:r w:rsidR="00BC563E" w:rsidRPr="00AB7D1E">
        <w:rPr>
          <w:b/>
          <w:bCs/>
          <w:lang w:val="en-US"/>
        </w:rPr>
        <w:t>2</w:t>
      </w:r>
      <w:r w:rsidR="00864616" w:rsidRPr="00AB7D1E">
        <w:rPr>
          <w:b/>
          <w:bCs/>
          <w:lang w:val="en-US"/>
        </w:rPr>
        <w:t xml:space="preserve">) </w:t>
      </w:r>
      <w:r w:rsidR="007617AF" w:rsidRPr="00AB7D1E">
        <w:rPr>
          <w:b/>
          <w:bCs/>
          <w:lang w:val="en-US"/>
        </w:rPr>
        <w:t xml:space="preserve">- </w:t>
      </w:r>
      <w:r w:rsidR="00BC563E" w:rsidRPr="00AB7D1E">
        <w:rPr>
          <w:b/>
          <w:bCs/>
          <w:lang w:val="en-US"/>
        </w:rPr>
        <w:t xml:space="preserve">Public Health Surveillance and Preparedness </w:t>
      </w:r>
      <w:r w:rsidR="007261ED" w:rsidRPr="00AB7D1E">
        <w:rPr>
          <w:b/>
          <w:bCs/>
          <w:lang w:val="en-US"/>
        </w:rPr>
        <w:t xml:space="preserve">and further in document this project component will be </w:t>
      </w:r>
      <w:r w:rsidR="00BE2938" w:rsidRPr="00AB7D1E">
        <w:rPr>
          <w:b/>
          <w:bCs/>
          <w:lang w:val="en-US"/>
        </w:rPr>
        <w:t>analyzed</w:t>
      </w:r>
      <w:r w:rsidR="007261ED" w:rsidRPr="00AB7D1E">
        <w:rPr>
          <w:b/>
          <w:bCs/>
          <w:lang w:val="en-US"/>
        </w:rPr>
        <w:t>.</w:t>
      </w:r>
    </w:p>
    <w:p w14:paraId="4EC5058D" w14:textId="1F6EE8FE" w:rsidR="00BF5B95" w:rsidRPr="00AB7D1E" w:rsidRDefault="00F93676" w:rsidP="008566D2">
      <w:pPr>
        <w:rPr>
          <w:lang w:val="en-US"/>
        </w:rPr>
      </w:pPr>
      <w:r w:rsidRPr="00AB7D1E">
        <w:rPr>
          <w:lang w:val="en-US"/>
        </w:rPr>
        <w:t>Summary</w:t>
      </w:r>
      <w:r w:rsidR="00BF5B95" w:rsidRPr="00AB7D1E">
        <w:rPr>
          <w:lang w:val="en-US"/>
        </w:rPr>
        <w:t xml:space="preserve"> of the subcomponents</w:t>
      </w:r>
      <w:r w:rsidR="007A7636" w:rsidRPr="00AB7D1E">
        <w:rPr>
          <w:lang w:val="en-US"/>
        </w:rPr>
        <w:t xml:space="preserve"> for Component</w:t>
      </w:r>
      <w:r w:rsidR="00F05685" w:rsidRPr="00AB7D1E">
        <w:rPr>
          <w:lang w:val="en-US"/>
        </w:rPr>
        <w:t xml:space="preserve"> 2</w:t>
      </w:r>
      <w:r w:rsidR="00BF5B95" w:rsidRPr="00AB7D1E">
        <w:rPr>
          <w:lang w:val="en-US"/>
        </w:rPr>
        <w:t>:</w:t>
      </w:r>
    </w:p>
    <w:p w14:paraId="79B7DDF5" w14:textId="77777777" w:rsidR="00F05685" w:rsidRPr="00AB7D1E" w:rsidRDefault="00F05685" w:rsidP="00F05685">
      <w:p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i/>
          <w:iCs/>
          <w:color w:val="0D0D0D"/>
          <w:lang w:val="en-US"/>
        </w:rPr>
        <w:t xml:space="preserve">Subcomponent 2.1: Case management and Surveillance </w:t>
      </w:r>
    </w:p>
    <w:p w14:paraId="3CAFC871" w14:textId="42159C2E" w:rsidR="00334566" w:rsidRPr="00AB7D1E" w:rsidRDefault="00F05685" w:rsidP="00F05685">
      <w:pPr>
        <w:suppressAutoHyphens w:val="0"/>
        <w:autoSpaceDN/>
        <w:spacing w:before="0" w:after="240" w:line="240" w:lineRule="auto"/>
        <w:textAlignment w:val="auto"/>
        <w:rPr>
          <w:rFonts w:ascii="Calibri" w:eastAsia="MS Mincho" w:hAnsi="Calibri" w:cs="Arial"/>
          <w:color w:val="0D0D0D"/>
          <w:lang w:val="en-US"/>
        </w:rPr>
      </w:pPr>
      <w:r w:rsidRPr="00AB7D1E">
        <w:rPr>
          <w:rFonts w:ascii="Calibri" w:eastAsia="MS Mincho" w:hAnsi="Calibri" w:cs="Arial"/>
          <w:color w:val="0D0D0D"/>
          <w:lang w:val="en-US"/>
        </w:rPr>
        <w:t xml:space="preserve">This subcomponent will focus on case detection and confirmation, contact tracing, recording and reporting capabilities, and surveillance to strengthen the Government’s capacity to promptly and proactively manage future outbreaks. </w:t>
      </w:r>
      <w:r w:rsidR="00676E0B" w:rsidRPr="00AB7D1E">
        <w:rPr>
          <w:rFonts w:ascii="Calibri" w:eastAsia="MS Mincho" w:hAnsi="Calibri" w:cs="Arial"/>
          <w:color w:val="0D0D0D"/>
          <w:lang w:val="en-US"/>
        </w:rPr>
        <w:t>Also, this component will ensure repair and rehabilitation of public health laboratories.</w:t>
      </w:r>
    </w:p>
    <w:p w14:paraId="70D9F0BB" w14:textId="77777777" w:rsidR="004D6A29" w:rsidRPr="00AB7D1E" w:rsidRDefault="00F05685" w:rsidP="00F05685">
      <w:p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lastRenderedPageBreak/>
        <w:t>This subcomponent would</w:t>
      </w:r>
      <w:r w:rsidR="00334566" w:rsidRPr="00AB7D1E">
        <w:rPr>
          <w:rFonts w:ascii="Calibri" w:eastAsia="MS Mincho" w:hAnsi="Calibri" w:cs="Arial"/>
          <w:b/>
          <w:bCs/>
          <w:color w:val="0D0D0D"/>
          <w:lang w:val="en-US"/>
        </w:rPr>
        <w:t>:</w:t>
      </w:r>
      <w:r w:rsidRPr="00AB7D1E">
        <w:rPr>
          <w:rFonts w:ascii="Calibri" w:eastAsia="MS Mincho" w:hAnsi="Calibri" w:cs="Arial"/>
          <w:b/>
          <w:bCs/>
          <w:color w:val="0D0D0D"/>
          <w:lang w:val="en-US"/>
        </w:rPr>
        <w:t xml:space="preserve"> </w:t>
      </w:r>
    </w:p>
    <w:p w14:paraId="2BB2F437" w14:textId="77777777" w:rsidR="004D6A29" w:rsidRPr="00AB7D1E" w:rsidRDefault="00F05685" w:rsidP="00BE60A0">
      <w:pPr>
        <w:pStyle w:val="ListParagraph"/>
        <w:numPr>
          <w:ilvl w:val="0"/>
          <w:numId w:val="58"/>
        </w:num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t xml:space="preserve">strengthen disease surveillance systems and equipment, public health laboratories, and epidemiological capacity for early detection and confirmation of cases; </w:t>
      </w:r>
    </w:p>
    <w:p w14:paraId="052EADC8" w14:textId="77777777" w:rsidR="004D6A29" w:rsidRPr="00AB7D1E" w:rsidRDefault="00F05685" w:rsidP="00BE60A0">
      <w:pPr>
        <w:pStyle w:val="ListParagraph"/>
        <w:numPr>
          <w:ilvl w:val="0"/>
          <w:numId w:val="58"/>
        </w:num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t>support the repair</w:t>
      </w:r>
      <w:r w:rsidR="00587176" w:rsidRPr="00AB7D1E">
        <w:rPr>
          <w:rFonts w:ascii="Calibri" w:eastAsia="MS Mincho" w:hAnsi="Calibri" w:cs="Arial"/>
          <w:b/>
          <w:bCs/>
          <w:color w:val="0D0D0D"/>
          <w:lang w:val="en-US"/>
        </w:rPr>
        <w:t xml:space="preserve"> and </w:t>
      </w:r>
      <w:r w:rsidRPr="00AB7D1E">
        <w:rPr>
          <w:rFonts w:ascii="Calibri" w:eastAsia="MS Mincho" w:hAnsi="Calibri" w:cs="Arial"/>
          <w:b/>
          <w:bCs/>
          <w:color w:val="0D0D0D"/>
          <w:lang w:val="en-US"/>
        </w:rPr>
        <w:t>rehabilitation</w:t>
      </w:r>
      <w:r w:rsidR="00587176" w:rsidRPr="00AB7D1E">
        <w:rPr>
          <w:rFonts w:ascii="Calibri" w:eastAsia="MS Mincho" w:hAnsi="Calibri" w:cs="Arial"/>
          <w:b/>
          <w:bCs/>
          <w:color w:val="0D0D0D"/>
          <w:lang w:val="en-US"/>
        </w:rPr>
        <w:t xml:space="preserve"> </w:t>
      </w:r>
      <w:r w:rsidRPr="00AB7D1E">
        <w:rPr>
          <w:rFonts w:ascii="Calibri" w:eastAsia="MS Mincho" w:hAnsi="Calibri" w:cs="Arial"/>
          <w:b/>
          <w:bCs/>
          <w:color w:val="0D0D0D"/>
          <w:lang w:val="en-US"/>
        </w:rPr>
        <w:t>of public health laboratories</w:t>
      </w:r>
      <w:r w:rsidR="00147477" w:rsidRPr="00AB7D1E">
        <w:rPr>
          <w:rStyle w:val="FootnoteReference"/>
          <w:rFonts w:ascii="Calibri" w:eastAsia="MS Mincho" w:hAnsi="Calibri" w:cs="Arial"/>
          <w:b/>
          <w:bCs/>
          <w:color w:val="0D0D0D"/>
          <w:lang w:val="en-US"/>
        </w:rPr>
        <w:footnoteReference w:id="14"/>
      </w:r>
      <w:r w:rsidRPr="00AB7D1E">
        <w:rPr>
          <w:rFonts w:ascii="Calibri" w:eastAsia="MS Mincho" w:hAnsi="Calibri" w:cs="Arial"/>
          <w:b/>
          <w:bCs/>
          <w:color w:val="0D0D0D"/>
          <w:lang w:val="en-US"/>
        </w:rPr>
        <w:t>;</w:t>
      </w:r>
    </w:p>
    <w:p w14:paraId="044E720B" w14:textId="77777777" w:rsidR="004D6A29" w:rsidRPr="00AB7D1E" w:rsidRDefault="00F05685" w:rsidP="00BE60A0">
      <w:pPr>
        <w:pStyle w:val="ListParagraph"/>
        <w:numPr>
          <w:ilvl w:val="0"/>
          <w:numId w:val="58"/>
        </w:num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t xml:space="preserve">support the development of systems for active contact </w:t>
      </w:r>
      <w:proofErr w:type="spellStart"/>
      <w:r w:rsidRPr="00AB7D1E">
        <w:rPr>
          <w:rFonts w:ascii="Calibri" w:eastAsia="MS Mincho" w:hAnsi="Calibri" w:cs="Arial"/>
          <w:b/>
          <w:bCs/>
          <w:color w:val="0D0D0D"/>
          <w:lang w:val="en-US"/>
        </w:rPr>
        <w:t>tracing</w:t>
      </w:r>
      <w:proofErr w:type="spellEnd"/>
      <w:r w:rsidRPr="00AB7D1E">
        <w:rPr>
          <w:rFonts w:ascii="Calibri" w:eastAsia="MS Mincho" w:hAnsi="Calibri" w:cs="Arial"/>
          <w:b/>
          <w:bCs/>
          <w:color w:val="0D0D0D"/>
          <w:lang w:val="en-US"/>
        </w:rPr>
        <w:t xml:space="preserve"> and reporting of new cases; and</w:t>
      </w:r>
    </w:p>
    <w:p w14:paraId="657BAD84" w14:textId="590D349D" w:rsidR="00F05685" w:rsidRPr="00AB7D1E" w:rsidRDefault="00F05685" w:rsidP="00BE60A0">
      <w:pPr>
        <w:pStyle w:val="ListParagraph"/>
        <w:numPr>
          <w:ilvl w:val="0"/>
          <w:numId w:val="58"/>
        </w:numPr>
        <w:suppressAutoHyphens w:val="0"/>
        <w:autoSpaceDN/>
        <w:spacing w:before="0" w:after="240" w:line="240" w:lineRule="auto"/>
        <w:textAlignment w:val="auto"/>
        <w:rPr>
          <w:rFonts w:ascii="Calibri" w:eastAsia="MS Mincho" w:hAnsi="Calibri" w:cs="Arial"/>
          <w:b/>
          <w:bCs/>
          <w:color w:val="0D0D0D"/>
          <w:lang w:val="en-US"/>
        </w:rPr>
      </w:pPr>
      <w:r w:rsidRPr="00AB7D1E">
        <w:rPr>
          <w:rFonts w:ascii="Calibri" w:eastAsia="MS Mincho" w:hAnsi="Calibri" w:cs="Arial"/>
          <w:b/>
          <w:bCs/>
          <w:color w:val="0D0D0D"/>
          <w:lang w:val="en-US"/>
        </w:rPr>
        <w:t>support epidemiological and laboratory investigation of selected health conditions.</w:t>
      </w:r>
    </w:p>
    <w:p w14:paraId="757FD67F" w14:textId="389FFFA2" w:rsidR="00F05685" w:rsidRPr="00AB7D1E" w:rsidRDefault="00F05685" w:rsidP="00F05685">
      <w:pPr>
        <w:keepNext/>
        <w:suppressAutoHyphens w:val="0"/>
        <w:autoSpaceDN/>
        <w:spacing w:before="0" w:after="240" w:line="240" w:lineRule="auto"/>
        <w:textAlignment w:val="auto"/>
        <w:rPr>
          <w:rFonts w:ascii="Calibri-Italic" w:hAnsi="Calibri-Italic" w:cs="Calibri-Italic"/>
          <w:b/>
          <w:bCs/>
          <w:i/>
          <w:iCs/>
          <w:color w:val="0D0D0D"/>
          <w:lang w:val="en-US"/>
        </w:rPr>
      </w:pPr>
      <w:r w:rsidRPr="00AB7D1E">
        <w:rPr>
          <w:rFonts w:ascii="Calibri" w:eastAsia="MS Mincho" w:hAnsi="Calibri" w:cs="Arial"/>
          <w:b/>
          <w:bCs/>
          <w:i/>
          <w:iCs/>
          <w:lang w:val="en-US"/>
        </w:rPr>
        <w:t>Subcomponent 2.2: Public Health Preparedness</w:t>
      </w:r>
    </w:p>
    <w:p w14:paraId="22AB34B7" w14:textId="23561FE4" w:rsidR="007124F6" w:rsidRPr="00AB7D1E" w:rsidRDefault="00F05685" w:rsidP="00334566">
      <w:pPr>
        <w:widowControl w:val="0"/>
        <w:suppressAutoHyphens w:val="0"/>
        <w:autoSpaceDE w:val="0"/>
        <w:autoSpaceDN/>
        <w:adjustRightInd w:val="0"/>
        <w:spacing w:before="0" w:after="240" w:line="240" w:lineRule="auto"/>
        <w:textAlignment w:val="auto"/>
        <w:rPr>
          <w:rFonts w:ascii="Calibri" w:eastAsia="MS Mincho" w:hAnsi="Calibri" w:cs="Arial"/>
          <w:lang w:val="en-US"/>
        </w:rPr>
      </w:pPr>
      <w:r w:rsidRPr="00AB7D1E">
        <w:rPr>
          <w:rFonts w:ascii="Calibri" w:eastAsia="MS Mincho" w:hAnsi="Calibri" w:cs="Arial"/>
          <w:lang w:val="en-US"/>
        </w:rPr>
        <w:t>This subcomponent will support the health care system for preparedness planning to provide optimal medical care, maintain essential community services, and minimize risks for patients and health personnel, in part by training health facilities’ staff and frontline workers on risk mitigation measures and providing them with supplies and equipment for future emergencies.</w:t>
      </w:r>
    </w:p>
    <w:p w14:paraId="54C03309" w14:textId="77777777" w:rsidR="004D6A29" w:rsidRPr="00AB7D1E" w:rsidRDefault="00F05685" w:rsidP="007124F6">
      <w:pPr>
        <w:widowControl w:val="0"/>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 xml:space="preserve">This subcomponent will include </w:t>
      </w:r>
    </w:p>
    <w:p w14:paraId="66AFEB47" w14:textId="00CB38FA" w:rsidR="004D6A29"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providing emergency medical vehicles, medical and laboratory equipment and supplies, medicines, technical assistance and training to public health officials and health care workers, all to strengthen capacity of the health system to respond to public health outbreaks;</w:t>
      </w:r>
    </w:p>
    <w:p w14:paraId="122CC7D8" w14:textId="77777777" w:rsidR="004D6A29"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 xml:space="preserve">providing personal protective equipment (PPE) and gear for health care workers and public health rapid response personnel (such as relevant medical specialists, veterinarians, and entomologists); </w:t>
      </w:r>
    </w:p>
    <w:p w14:paraId="03700C8D" w14:textId="77777777" w:rsidR="004D6A29"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providing equipment and supplies for telemedicine to monitor and support patients to support the health system as needed;</w:t>
      </w:r>
    </w:p>
    <w:p w14:paraId="5CAF09E9" w14:textId="77777777" w:rsidR="004D6A29"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repurposing and equipping selected health care facilities to deliver critical medical services and cope with increased demand for services in a public health outbreak;</w:t>
      </w:r>
    </w:p>
    <w:p w14:paraId="0F1675C2" w14:textId="4FC53C81" w:rsidR="00F05685" w:rsidRPr="00AB7D1E" w:rsidRDefault="00F05685" w:rsidP="00BE60A0">
      <w:pPr>
        <w:pStyle w:val="ListParagraph"/>
        <w:widowControl w:val="0"/>
        <w:numPr>
          <w:ilvl w:val="0"/>
          <w:numId w:val="59"/>
        </w:numPr>
        <w:suppressAutoHyphens w:val="0"/>
        <w:autoSpaceDE w:val="0"/>
        <w:autoSpaceDN/>
        <w:adjustRightInd w:val="0"/>
        <w:spacing w:before="0" w:after="240" w:line="240" w:lineRule="auto"/>
        <w:textAlignment w:val="auto"/>
        <w:rPr>
          <w:rFonts w:ascii="Calibri" w:eastAsia="MS Mincho" w:hAnsi="Calibri" w:cs="Arial"/>
          <w:b/>
          <w:bCs/>
          <w:lang w:val="en-US"/>
        </w:rPr>
      </w:pPr>
      <w:r w:rsidRPr="00AB7D1E">
        <w:rPr>
          <w:rFonts w:ascii="Calibri" w:eastAsia="MS Mincho" w:hAnsi="Calibri" w:cs="Arial"/>
          <w:b/>
          <w:bCs/>
          <w:lang w:val="en-US"/>
        </w:rPr>
        <w:t xml:space="preserve">supporting institutional and organizational restructuring of facilities for managing public health emergencies and training of health care </w:t>
      </w:r>
      <w:proofErr w:type="gramStart"/>
      <w:r w:rsidRPr="00AB7D1E">
        <w:rPr>
          <w:rFonts w:ascii="Calibri" w:eastAsia="MS Mincho" w:hAnsi="Calibri" w:cs="Arial"/>
          <w:b/>
          <w:bCs/>
          <w:lang w:val="en-US"/>
        </w:rPr>
        <w:t>staff</w:t>
      </w:r>
      <w:proofErr w:type="gramEnd"/>
      <w:r w:rsidRPr="00AB7D1E">
        <w:rPr>
          <w:rFonts w:ascii="Calibri" w:eastAsia="MS Mincho" w:hAnsi="Calibri" w:cs="Arial"/>
          <w:b/>
          <w:bCs/>
          <w:lang w:val="en-US"/>
        </w:rPr>
        <w:t xml:space="preserve"> accordingly, including sector-wide planning activities for medium- and long-term needs.</w:t>
      </w:r>
    </w:p>
    <w:p w14:paraId="36CB513B" w14:textId="368E9BA8" w:rsidR="00F91005" w:rsidRPr="00AB7D1E" w:rsidRDefault="00F91005" w:rsidP="0091545C">
      <w:pPr>
        <w:rPr>
          <w:lang w:val="en-US"/>
        </w:rPr>
      </w:pPr>
      <w:r w:rsidRPr="00AB7D1E">
        <w:rPr>
          <w:lang w:val="en-US"/>
        </w:rPr>
        <w:t xml:space="preserve">Regarding health sector investments, the proposed </w:t>
      </w:r>
      <w:r w:rsidR="000E3DE7" w:rsidRPr="00AB7D1E">
        <w:rPr>
          <w:lang w:val="en-US"/>
        </w:rPr>
        <w:t>p</w:t>
      </w:r>
      <w:r w:rsidRPr="00AB7D1E">
        <w:rPr>
          <w:lang w:val="en-US"/>
        </w:rPr>
        <w:t>roject</w:t>
      </w:r>
      <w:r w:rsidR="000E3DE7" w:rsidRPr="00AB7D1E">
        <w:rPr>
          <w:lang w:val="en-US"/>
        </w:rPr>
        <w:t xml:space="preserve"> (hereinafter the term project refers to Component 2) </w:t>
      </w:r>
      <w:r w:rsidRPr="00AB7D1E">
        <w:rPr>
          <w:lang w:val="en-US"/>
        </w:rPr>
        <w:t xml:space="preserve">will support investments to respond to critical preparedness needs while considering the importance of improving the efficiency and quality of health care services. The </w:t>
      </w:r>
      <w:r w:rsidR="000E3DE7" w:rsidRPr="00AB7D1E">
        <w:rPr>
          <w:lang w:val="en-US"/>
        </w:rPr>
        <w:t>p</w:t>
      </w:r>
      <w:r w:rsidRPr="00AB7D1E">
        <w:rPr>
          <w:lang w:val="en-US"/>
        </w:rPr>
        <w:t>roject will not seek to create excess secondary and tertiary capacity, such as by increasing the number of permanent acute beds. Rather, it will seek to support the restoration of critical services through the financing of the reconstruction of investments that benefit health outcomes and improve service delivery, in accordance with sector priorities.</w:t>
      </w:r>
    </w:p>
    <w:p w14:paraId="2BACB6B2" w14:textId="52155EEF" w:rsidR="009D5100" w:rsidRPr="00AB7D1E" w:rsidRDefault="009D5100" w:rsidP="00864616">
      <w:pPr>
        <w:rPr>
          <w:b/>
          <w:lang w:val="en-US"/>
        </w:rPr>
      </w:pPr>
      <w:r w:rsidRPr="00AB7D1E">
        <w:rPr>
          <w:b/>
          <w:lang w:val="en-US"/>
        </w:rPr>
        <w:t xml:space="preserve">All construction activities </w:t>
      </w:r>
      <w:r w:rsidR="000E3DE7" w:rsidRPr="00AB7D1E">
        <w:rPr>
          <w:b/>
          <w:lang w:val="en-US"/>
        </w:rPr>
        <w:t xml:space="preserve">(repair and rehabilitation of </w:t>
      </w:r>
      <w:r w:rsidR="008B0DC3" w:rsidRPr="00AB7D1E">
        <w:rPr>
          <w:b/>
          <w:lang w:val="en-US"/>
        </w:rPr>
        <w:t>public</w:t>
      </w:r>
      <w:r w:rsidR="000E3DE7" w:rsidRPr="00AB7D1E">
        <w:rPr>
          <w:b/>
          <w:lang w:val="en-US"/>
        </w:rPr>
        <w:t xml:space="preserve"> </w:t>
      </w:r>
      <w:r w:rsidR="008B0DC3" w:rsidRPr="00AB7D1E">
        <w:rPr>
          <w:b/>
          <w:lang w:val="en-US"/>
        </w:rPr>
        <w:t>health</w:t>
      </w:r>
      <w:r w:rsidR="000E3DE7" w:rsidRPr="00AB7D1E">
        <w:rPr>
          <w:b/>
          <w:lang w:val="en-US"/>
        </w:rPr>
        <w:t xml:space="preserve"> activities) </w:t>
      </w:r>
      <w:r w:rsidRPr="00AB7D1E">
        <w:rPr>
          <w:b/>
          <w:lang w:val="en-US"/>
        </w:rPr>
        <w:t xml:space="preserve">will be </w:t>
      </w:r>
      <w:r w:rsidR="00040E49" w:rsidRPr="00AB7D1E">
        <w:rPr>
          <w:b/>
          <w:lang w:val="en-US"/>
        </w:rPr>
        <w:t>in situ within the bounds of existing building footprints.</w:t>
      </w:r>
    </w:p>
    <w:p w14:paraId="20FA6450" w14:textId="68F5087D" w:rsidR="008B0DC3" w:rsidRPr="00AB7D1E" w:rsidRDefault="008B0DC3" w:rsidP="00864616">
      <w:pPr>
        <w:rPr>
          <w:lang w:val="en-US"/>
        </w:rPr>
      </w:pPr>
      <w:r w:rsidRPr="00AB7D1E">
        <w:rPr>
          <w:lang w:val="en-US"/>
        </w:rPr>
        <w:lastRenderedPageBreak/>
        <w:t>The project promotes the building-back-better approach, which comprises improvements in design standards, construction quality, and functionality. The integration of seismic and climate change consideration into the infrastructure designs of investments will further enhance the resilience of infrastructure to future disaster and climate risks and help protect people’s lives, livelihoods, and assets, contributing to climate change adaptation and mitigation efforts.</w:t>
      </w:r>
    </w:p>
    <w:p w14:paraId="43424116" w14:textId="0233DC9E" w:rsidR="00194031" w:rsidRPr="00AB7D1E" w:rsidRDefault="00194031" w:rsidP="00194031">
      <w:pPr>
        <w:pStyle w:val="Heading2"/>
        <w:rPr>
          <w:lang w:val="en-US"/>
        </w:rPr>
      </w:pPr>
      <w:bookmarkStart w:id="37" w:name="_Toc56954032"/>
      <w:r w:rsidRPr="00AB7D1E">
        <w:rPr>
          <w:lang w:val="en-US"/>
        </w:rPr>
        <w:t>Project beneficiaries</w:t>
      </w:r>
      <w:bookmarkEnd w:id="37"/>
    </w:p>
    <w:p w14:paraId="6ABFFB0B" w14:textId="19C915DD" w:rsidR="00B12FDD" w:rsidRPr="00AB7D1E" w:rsidRDefault="00305D7A" w:rsidP="0098694B">
      <w:pPr>
        <w:rPr>
          <w:lang w:val="en-US"/>
        </w:rPr>
      </w:pPr>
      <w:r w:rsidRPr="00AB7D1E">
        <w:rPr>
          <w:b/>
          <w:bCs/>
          <w:lang w:val="en-US"/>
        </w:rPr>
        <w:t>Direct beneficiaries</w:t>
      </w:r>
      <w:r w:rsidR="00A134A5" w:rsidRPr="00AB7D1E">
        <w:rPr>
          <w:b/>
          <w:bCs/>
          <w:lang w:val="en-US"/>
        </w:rPr>
        <w:t xml:space="preserve"> </w:t>
      </w:r>
      <w:r w:rsidR="00B12FDD" w:rsidRPr="00AB7D1E">
        <w:rPr>
          <w:b/>
          <w:bCs/>
          <w:lang w:val="en-US"/>
        </w:rPr>
        <w:t>include</w:t>
      </w:r>
      <w:r w:rsidR="00310CE6" w:rsidRPr="00AB7D1E">
        <w:rPr>
          <w:b/>
          <w:bCs/>
          <w:lang w:val="en-US"/>
        </w:rPr>
        <w:t>:</w:t>
      </w:r>
      <w:r w:rsidR="00B12FDD" w:rsidRPr="00AB7D1E">
        <w:rPr>
          <w:b/>
          <w:bCs/>
          <w:lang w:val="en-US"/>
        </w:rPr>
        <w:t xml:space="preserve"> </w:t>
      </w:r>
      <w:r w:rsidR="00B12FDD" w:rsidRPr="00AB7D1E">
        <w:rPr>
          <w:lang w:val="en-US"/>
        </w:rPr>
        <w:t xml:space="preserve">health care workers of the facilities to be rehabilitated/equipped, staff of the public health laboratories; medical staff and patients of selected hospitals and intensive care units; front-line health workers; general public impacted by the implementation of “social distancing measures” and targeted by public health communication campaigns, patients/people with existing medical needs, businesses and employers; </w:t>
      </w:r>
      <w:r w:rsidR="0098694B" w:rsidRPr="00AB7D1E">
        <w:rPr>
          <w:lang w:val="en-US"/>
        </w:rPr>
        <w:t>Ministry of Health government officials; the Civil Protection Headquarters of the Republic of Croatia and county; local civil protection teams; the Civil Protection Headquarters of the City of Zagreb.</w:t>
      </w:r>
    </w:p>
    <w:p w14:paraId="2E0FAD2A" w14:textId="21C7C800" w:rsidR="00567B4D" w:rsidRPr="00AB7D1E" w:rsidRDefault="00310CE6" w:rsidP="00365C51">
      <w:pPr>
        <w:rPr>
          <w:lang w:val="en-US"/>
        </w:rPr>
      </w:pPr>
      <w:r w:rsidRPr="00AB7D1E">
        <w:rPr>
          <w:b/>
          <w:bCs/>
          <w:lang w:val="en-US"/>
        </w:rPr>
        <w:t xml:space="preserve">Indirect beneficiaries include: </w:t>
      </w:r>
      <w:r w:rsidRPr="00AB7D1E">
        <w:rPr>
          <w:lang w:val="en-US"/>
        </w:rPr>
        <w:t xml:space="preserve">the entire population of Croatia because the public health preparedness interventions financed by this </w:t>
      </w:r>
      <w:r w:rsidR="006508C6" w:rsidRPr="00AB7D1E">
        <w:rPr>
          <w:lang w:val="en-US"/>
        </w:rPr>
        <w:t>p</w:t>
      </w:r>
      <w:r w:rsidRPr="00AB7D1E">
        <w:rPr>
          <w:lang w:val="en-US"/>
        </w:rPr>
        <w:t>roject are aimed at monitoring and halting the spread of the virus, while preparing for future waves of infection.</w:t>
      </w:r>
    </w:p>
    <w:p w14:paraId="37A4F6DC" w14:textId="1B906B27" w:rsidR="00567B4D" w:rsidRPr="00AB7D1E" w:rsidRDefault="001E161C" w:rsidP="00567B4D">
      <w:pPr>
        <w:pStyle w:val="Heading2"/>
        <w:rPr>
          <w:lang w:val="en-US"/>
        </w:rPr>
      </w:pPr>
      <w:bookmarkStart w:id="38" w:name="_Toc56954033"/>
      <w:r w:rsidRPr="00AB7D1E">
        <w:rPr>
          <w:lang w:val="en-US"/>
        </w:rPr>
        <w:t>Results Chain</w:t>
      </w:r>
      <w:bookmarkEnd w:id="38"/>
    </w:p>
    <w:p w14:paraId="4D099312" w14:textId="1EBB2749" w:rsidR="000A5AE2" w:rsidRPr="00AB7D1E" w:rsidRDefault="004E4D82" w:rsidP="00260B52">
      <w:pPr>
        <w:pStyle w:val="Caption"/>
        <w:jc w:val="left"/>
        <w:rPr>
          <w:color w:val="FF0000"/>
          <w:lang w:val="en-US"/>
        </w:rPr>
      </w:pPr>
      <w:r w:rsidRPr="00AB7D1E">
        <w:rPr>
          <w:i w:val="0"/>
          <w:iCs w:val="0"/>
          <w:noProof/>
          <w:color w:val="auto"/>
          <w:sz w:val="22"/>
          <w:szCs w:val="22"/>
          <w:lang w:val="en-US" w:eastAsia="hr-HR"/>
        </w:rPr>
        <mc:AlternateContent>
          <mc:Choice Requires="wps">
            <w:drawing>
              <wp:anchor distT="0" distB="0" distL="114300" distR="114300" simplePos="0" relativeHeight="251660288" behindDoc="0" locked="0" layoutInCell="1" allowOverlap="1" wp14:anchorId="7FE965C3" wp14:editId="1C5F374D">
                <wp:simplePos x="0" y="0"/>
                <wp:positionH relativeFrom="column">
                  <wp:posOffset>-108585</wp:posOffset>
                </wp:positionH>
                <wp:positionV relativeFrom="paragraph">
                  <wp:posOffset>1857624</wp:posOffset>
                </wp:positionV>
                <wp:extent cx="3384109" cy="1698432"/>
                <wp:effectExtent l="19050" t="19050" r="26035" b="16510"/>
                <wp:wrapNone/>
                <wp:docPr id="1" name="Rectangle 1"/>
                <wp:cNvGraphicFramePr/>
                <a:graphic xmlns:a="http://schemas.openxmlformats.org/drawingml/2006/main">
                  <a:graphicData uri="http://schemas.microsoft.com/office/word/2010/wordprocessingShape">
                    <wps:wsp>
                      <wps:cNvSpPr/>
                      <wps:spPr>
                        <a:xfrm>
                          <a:off x="0" y="0"/>
                          <a:ext cx="3384109" cy="1698432"/>
                        </a:xfrm>
                        <a:prstGeom prst="rect">
                          <a:avLst/>
                        </a:prstGeom>
                        <a:noFill/>
                        <a:ln w="38100">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F58DFCF" id="Rectangle 1" o:spid="_x0000_s1026" style="position:absolute;margin-left:-8.55pt;margin-top:146.25pt;width:266.45pt;height:1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" filled="f" strokecolor="#c00000" strokeweight="3pt">
                <v:stroke dashstyle="3 1"/>
              </v:rect>
            </w:pict>
          </mc:Fallback>
        </mc:AlternateContent>
      </w:r>
      <w:r w:rsidRPr="00AB7D1E">
        <w:rPr>
          <w:noProof/>
          <w:lang w:val="en-US" w:eastAsia="hr-HR"/>
        </w:rPr>
        <w:drawing>
          <wp:anchor distT="0" distB="0" distL="114300" distR="114300" simplePos="0" relativeHeight="251679744" behindDoc="0" locked="0" layoutInCell="1" allowOverlap="1" wp14:anchorId="377EB3F8" wp14:editId="21AB06DD">
            <wp:simplePos x="0" y="0"/>
            <wp:positionH relativeFrom="column">
              <wp:posOffset>55245</wp:posOffset>
            </wp:positionH>
            <wp:positionV relativeFrom="paragraph">
              <wp:posOffset>1834763</wp:posOffset>
            </wp:positionV>
            <wp:extent cx="763270" cy="2387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5E1" w:rsidRPr="00AB7D1E">
        <w:rPr>
          <w:noProof/>
          <w:lang w:val="en-US" w:eastAsia="hr-HR"/>
        </w:rPr>
        <w:drawing>
          <wp:inline distT="0" distB="0" distL="0" distR="0" wp14:anchorId="7AE9F45C" wp14:editId="58725505">
            <wp:extent cx="5017273" cy="393668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6577" cy="3959673"/>
                    </a:xfrm>
                    <a:prstGeom prst="rect">
                      <a:avLst/>
                    </a:prstGeom>
                  </pic:spPr>
                </pic:pic>
              </a:graphicData>
            </a:graphic>
          </wp:inline>
        </w:drawing>
      </w:r>
    </w:p>
    <w:p w14:paraId="39F52967" w14:textId="6CC81CEB" w:rsidR="00920BED" w:rsidRDefault="006508C6" w:rsidP="004E4D82">
      <w:pPr>
        <w:pStyle w:val="Style2"/>
        <w:rPr>
          <w:lang w:val="en-US"/>
        </w:rPr>
      </w:pPr>
      <w:bookmarkStart w:id="39" w:name="_Toc56952686"/>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6</w:t>
      </w:r>
      <w:r w:rsidR="00DE594D" w:rsidRPr="00AB7D1E">
        <w:rPr>
          <w:lang w:val="en-US"/>
        </w:rPr>
        <w:fldChar w:fldCharType="end"/>
      </w:r>
      <w:r w:rsidRPr="00AB7D1E">
        <w:rPr>
          <w:lang w:val="en-US"/>
        </w:rPr>
        <w:t>. Project Results Chain</w:t>
      </w:r>
      <w:bookmarkEnd w:id="39"/>
    </w:p>
    <w:p w14:paraId="00396BF2" w14:textId="77777777" w:rsidR="00920BED" w:rsidRDefault="00920BED">
      <w:pPr>
        <w:suppressAutoHyphens w:val="0"/>
        <w:spacing w:before="0" w:after="160" w:line="256" w:lineRule="auto"/>
        <w:jc w:val="left"/>
        <w:rPr>
          <w:i/>
          <w:color w:val="373545" w:themeColor="text2"/>
          <w:sz w:val="20"/>
          <w:lang w:val="en-US"/>
        </w:rPr>
      </w:pPr>
      <w:r>
        <w:rPr>
          <w:lang w:val="en-US"/>
        </w:rPr>
        <w:br w:type="page"/>
      </w:r>
    </w:p>
    <w:p w14:paraId="35644131" w14:textId="3BF9521A" w:rsidR="00A7742B" w:rsidRPr="00A7742B" w:rsidRDefault="00A7742B" w:rsidP="00A7742B">
      <w:pPr>
        <w:pStyle w:val="Heading2"/>
        <w:rPr>
          <w:lang w:val="en-US"/>
        </w:rPr>
      </w:pPr>
      <w:bookmarkStart w:id="40" w:name="_Toc56954034"/>
      <w:r>
        <w:rPr>
          <w:lang w:val="en-US"/>
        </w:rPr>
        <w:lastRenderedPageBreak/>
        <w:t xml:space="preserve">World Bank Group (IFC) </w:t>
      </w:r>
      <w:r w:rsidR="00E43AF4" w:rsidRPr="00AB7D1E">
        <w:rPr>
          <w:lang w:val="en-US"/>
        </w:rPr>
        <w:t>Exclusion</w:t>
      </w:r>
      <w:r>
        <w:rPr>
          <w:lang w:val="en-US"/>
        </w:rPr>
        <w:t xml:space="preserve"> List</w:t>
      </w:r>
      <w:bookmarkEnd w:id="40"/>
    </w:p>
    <w:p w14:paraId="2B855A3F" w14:textId="7653A323" w:rsidR="00A7742B" w:rsidRDefault="007E0374" w:rsidP="007E0374">
      <w:pPr>
        <w:pStyle w:val="ListParagraph"/>
        <w:ind w:left="576"/>
        <w:rPr>
          <w:lang w:val="en-US"/>
        </w:rPr>
      </w:pPr>
      <w:r>
        <w:rPr>
          <w:lang w:val="en-US"/>
        </w:rPr>
        <w:t>As a part of the general WB Group Exclusion List, t</w:t>
      </w:r>
      <w:r w:rsidR="00A7742B">
        <w:rPr>
          <w:lang w:val="en-US"/>
        </w:rPr>
        <w:t>he following activities</w:t>
      </w:r>
      <w:r>
        <w:rPr>
          <w:lang w:val="en-US"/>
        </w:rPr>
        <w:t xml:space="preserve"> cannot be financed under the Project:</w:t>
      </w:r>
    </w:p>
    <w:p w14:paraId="1274C92D" w14:textId="2810E747" w:rsidR="00B63EC3" w:rsidRPr="00AB7D1E" w:rsidRDefault="00B63EC3" w:rsidP="00BE60A0">
      <w:pPr>
        <w:pStyle w:val="ListParagraph"/>
        <w:numPr>
          <w:ilvl w:val="0"/>
          <w:numId w:val="22"/>
        </w:numPr>
        <w:rPr>
          <w:lang w:val="en-US"/>
        </w:rPr>
      </w:pPr>
      <w:r w:rsidRPr="00AB7D1E">
        <w:rPr>
          <w:lang w:val="en-US"/>
        </w:rPr>
        <w:t>Activities that may cause long term, permanent and/or irreversible (e.g. loss of major natural habitat) adverse impacts</w:t>
      </w:r>
      <w:r w:rsidR="0009425F" w:rsidRPr="00AB7D1E">
        <w:rPr>
          <w:lang w:val="en-US"/>
        </w:rPr>
        <w:t>;</w:t>
      </w:r>
      <w:r w:rsidRPr="00AB7D1E">
        <w:rPr>
          <w:lang w:val="en-US"/>
        </w:rPr>
        <w:t xml:space="preserve"> </w:t>
      </w:r>
    </w:p>
    <w:p w14:paraId="1830EBFE" w14:textId="18B5DD04" w:rsidR="00B63EC3" w:rsidRPr="00AB7D1E" w:rsidRDefault="00B63EC3" w:rsidP="00BE60A0">
      <w:pPr>
        <w:pStyle w:val="ListParagraph"/>
        <w:numPr>
          <w:ilvl w:val="0"/>
          <w:numId w:val="22"/>
        </w:numPr>
        <w:rPr>
          <w:lang w:val="en-US"/>
        </w:rPr>
      </w:pPr>
      <w:r w:rsidRPr="00AB7D1E">
        <w:rPr>
          <w:lang w:val="en-US"/>
        </w:rPr>
        <w:t>Activities that have a high probability of causing serious adverse effects to human health and/or the environment not related to treatment of COVID-19 cases</w:t>
      </w:r>
      <w:r w:rsidR="0009425F" w:rsidRPr="00AB7D1E">
        <w:rPr>
          <w:lang w:val="en-US"/>
        </w:rPr>
        <w:t>;</w:t>
      </w:r>
    </w:p>
    <w:p w14:paraId="218EF7C8" w14:textId="13EC9D5A" w:rsidR="00B63EC3" w:rsidRPr="00AB7D1E" w:rsidRDefault="00B63EC3" w:rsidP="00BE60A0">
      <w:pPr>
        <w:pStyle w:val="ListParagraph"/>
        <w:numPr>
          <w:ilvl w:val="0"/>
          <w:numId w:val="22"/>
        </w:numPr>
        <w:rPr>
          <w:lang w:val="en-US"/>
        </w:rPr>
      </w:pPr>
      <w:r w:rsidRPr="00AB7D1E">
        <w:rPr>
          <w:lang w:val="en-US"/>
        </w:rPr>
        <w:t>Activities that may have significant adverse social impacts and may give rise to significant social conflict</w:t>
      </w:r>
      <w:r w:rsidR="0009425F" w:rsidRPr="00AB7D1E">
        <w:rPr>
          <w:lang w:val="en-US"/>
        </w:rPr>
        <w:t>;</w:t>
      </w:r>
    </w:p>
    <w:p w14:paraId="1278F8F3" w14:textId="775D3054" w:rsidR="00B63EC3" w:rsidRPr="00AB7D1E" w:rsidRDefault="00B63EC3" w:rsidP="00BE60A0">
      <w:pPr>
        <w:pStyle w:val="ListParagraph"/>
        <w:numPr>
          <w:ilvl w:val="0"/>
          <w:numId w:val="22"/>
        </w:numPr>
        <w:rPr>
          <w:lang w:val="en-US"/>
        </w:rPr>
      </w:pPr>
      <w:r w:rsidRPr="00AB7D1E">
        <w:rPr>
          <w:lang w:val="en-US"/>
        </w:rPr>
        <w:t>Activities that may affect lands or rights of vulnerable minorities</w:t>
      </w:r>
      <w:r w:rsidR="0009425F" w:rsidRPr="00AB7D1E">
        <w:rPr>
          <w:lang w:val="en-US"/>
        </w:rPr>
        <w:t>;</w:t>
      </w:r>
    </w:p>
    <w:p w14:paraId="77AB7827" w14:textId="77777777" w:rsidR="00DC6082" w:rsidRPr="00AB7D1E" w:rsidRDefault="00C93194" w:rsidP="00BE60A0">
      <w:pPr>
        <w:pStyle w:val="ListParagraph"/>
        <w:numPr>
          <w:ilvl w:val="0"/>
          <w:numId w:val="22"/>
        </w:numPr>
        <w:rPr>
          <w:lang w:val="en-US"/>
        </w:rPr>
      </w:pPr>
      <w:r w:rsidRPr="00AB7D1E">
        <w:rPr>
          <w:lang w:val="en-US"/>
        </w:rPr>
        <w:t xml:space="preserve">There will be no land acquisition or involuntary resettlement under the Project. </w:t>
      </w:r>
    </w:p>
    <w:p w14:paraId="231DFE74" w14:textId="19A029EE" w:rsidR="00C93194" w:rsidRPr="00AB7D1E" w:rsidRDefault="00C93194" w:rsidP="00BE60A0">
      <w:pPr>
        <w:pStyle w:val="ListParagraph"/>
        <w:numPr>
          <w:ilvl w:val="0"/>
          <w:numId w:val="22"/>
        </w:numPr>
        <w:rPr>
          <w:lang w:val="en-US"/>
        </w:rPr>
      </w:pPr>
      <w:r w:rsidRPr="00AB7D1E">
        <w:rPr>
          <w:lang w:val="en-US"/>
        </w:rPr>
        <w:t>All buildings addressed will be reconstructed in situ within the bounds of existing building footprints</w:t>
      </w:r>
      <w:r w:rsidR="0009425F" w:rsidRPr="00AB7D1E">
        <w:rPr>
          <w:lang w:val="en-US"/>
        </w:rPr>
        <w:t>;</w:t>
      </w:r>
    </w:p>
    <w:p w14:paraId="3A0F9F9C" w14:textId="1A38F1EF" w:rsidR="0091545C" w:rsidRPr="00AB7D1E" w:rsidRDefault="0091545C" w:rsidP="00BE60A0">
      <w:pPr>
        <w:pStyle w:val="ListParagraph"/>
        <w:numPr>
          <w:ilvl w:val="0"/>
          <w:numId w:val="22"/>
        </w:numPr>
        <w:rPr>
          <w:lang w:val="en-US"/>
        </w:rPr>
      </w:pPr>
      <w:r w:rsidRPr="00AB7D1E">
        <w:rPr>
          <w:lang w:val="en-US"/>
        </w:rPr>
        <w:t>Any buildings that require immediate repairs but that are additionally determined to be at risk of partial or total collapse due to structural damage will be excluded from this subcomponent</w:t>
      </w:r>
      <w:r w:rsidR="00375FD0" w:rsidRPr="00AB7D1E">
        <w:rPr>
          <w:lang w:val="en-US"/>
        </w:rPr>
        <w:t>;</w:t>
      </w:r>
    </w:p>
    <w:p w14:paraId="15A630D9" w14:textId="169C43E6" w:rsidR="00DA294C" w:rsidRPr="00AB7D1E" w:rsidRDefault="00DA294C" w:rsidP="00BE60A0">
      <w:pPr>
        <w:pStyle w:val="ListParagraph"/>
        <w:numPr>
          <w:ilvl w:val="0"/>
          <w:numId w:val="22"/>
        </w:numPr>
        <w:rPr>
          <w:lang w:val="en-US"/>
        </w:rPr>
      </w:pPr>
      <w:r w:rsidRPr="00AB7D1E">
        <w:rPr>
          <w:lang w:val="en-US"/>
        </w:rPr>
        <w:t>Health facilities with asbestos insulation, pipe lagging, etc. will be excluded from financing under the project;</w:t>
      </w:r>
    </w:p>
    <w:p w14:paraId="0C22668F" w14:textId="04DD2991" w:rsidR="00B2339B" w:rsidRPr="00547E72" w:rsidRDefault="00547E72" w:rsidP="00BE60A0">
      <w:pPr>
        <w:pStyle w:val="ListParagraph"/>
        <w:numPr>
          <w:ilvl w:val="0"/>
          <w:numId w:val="22"/>
        </w:numPr>
        <w:rPr>
          <w:lang w:val="en-US"/>
        </w:rPr>
      </w:pPr>
      <w:r w:rsidRPr="00547E72">
        <w:rPr>
          <w:lang w:val="en-US"/>
        </w:rPr>
        <w:t>Buildings that protected as an individual cultural heritage will not be financed under this project;</w:t>
      </w:r>
    </w:p>
    <w:p w14:paraId="38232430" w14:textId="596F891A" w:rsidR="00B63EC3" w:rsidRPr="00AB7D1E" w:rsidRDefault="00B63EC3" w:rsidP="00BE60A0">
      <w:pPr>
        <w:pStyle w:val="ListParagraph"/>
        <w:numPr>
          <w:ilvl w:val="0"/>
          <w:numId w:val="22"/>
        </w:numPr>
        <w:suppressAutoHyphens w:val="0"/>
        <w:rPr>
          <w:lang w:val="en-US"/>
        </w:rPr>
      </w:pPr>
      <w:r w:rsidRPr="00AB7D1E">
        <w:rPr>
          <w:lang w:val="en-US"/>
        </w:rPr>
        <w:t>Activities that may involve adverse impacts on cultural heritage</w:t>
      </w:r>
      <w:r w:rsidR="0009425F" w:rsidRPr="00AB7D1E">
        <w:rPr>
          <w:lang w:val="en-US"/>
        </w:rPr>
        <w:t>;</w:t>
      </w:r>
    </w:p>
    <w:p w14:paraId="503EFBC0" w14:textId="719A1441" w:rsidR="003578BE" w:rsidRPr="0012405A" w:rsidRDefault="0009425F" w:rsidP="00BE60A0">
      <w:pPr>
        <w:pStyle w:val="ListParagraph"/>
        <w:numPr>
          <w:ilvl w:val="0"/>
          <w:numId w:val="22"/>
        </w:numPr>
        <w:suppressAutoHyphens w:val="0"/>
        <w:rPr>
          <w:lang w:val="en-US"/>
        </w:rPr>
      </w:pPr>
      <w:r w:rsidRPr="00AB7D1E">
        <w:rPr>
          <w:lang w:val="en-US"/>
        </w:rPr>
        <w:t>Reconstruction of private housing.</w:t>
      </w:r>
    </w:p>
    <w:p w14:paraId="7DBBD34A" w14:textId="07E00002" w:rsidR="00A1459F" w:rsidRDefault="003578BE" w:rsidP="00A1459F">
      <w:pPr>
        <w:pStyle w:val="Heading2"/>
        <w:rPr>
          <w:lang w:val="en-US"/>
        </w:rPr>
      </w:pPr>
      <w:bookmarkStart w:id="41" w:name="_Ref51591056"/>
      <w:bookmarkStart w:id="42" w:name="_Toc56954035"/>
      <w:r>
        <w:rPr>
          <w:lang w:val="en-US"/>
        </w:rPr>
        <w:t>Risk Rating</w:t>
      </w:r>
      <w:bookmarkEnd w:id="41"/>
      <w:bookmarkEnd w:id="42"/>
      <w:r>
        <w:rPr>
          <w:lang w:val="en-US"/>
        </w:rPr>
        <w:t xml:space="preserve"> </w:t>
      </w:r>
    </w:p>
    <w:p w14:paraId="376D0719" w14:textId="528D6266" w:rsidR="00A1459F" w:rsidRPr="0012405A" w:rsidRDefault="00A1459F" w:rsidP="00A1459F">
      <w:pPr>
        <w:rPr>
          <w:rFonts w:cstheme="minorHAnsi"/>
          <w:lang w:val="en-US"/>
        </w:rPr>
      </w:pPr>
      <w:r w:rsidRPr="0012405A">
        <w:rPr>
          <w:rFonts w:cstheme="minorHAnsi"/>
          <w:lang w:val="en-US"/>
        </w:rPr>
        <w:t xml:space="preserve">The </w:t>
      </w:r>
      <w:r w:rsidR="00CD1C15" w:rsidRPr="0012405A">
        <w:rPr>
          <w:rFonts w:cstheme="minorHAnsi"/>
          <w:lang w:val="en-US"/>
        </w:rPr>
        <w:t>P</w:t>
      </w:r>
      <w:r w:rsidRPr="0012405A">
        <w:rPr>
          <w:rFonts w:cstheme="minorHAnsi"/>
          <w:lang w:val="en-US"/>
        </w:rPr>
        <w:t>roject supports activities with low to substantial risk</w:t>
      </w:r>
      <w:r w:rsidR="00CD1C15" w:rsidRPr="0012405A">
        <w:rPr>
          <w:rFonts w:cstheme="minorHAnsi"/>
          <w:lang w:val="en-US"/>
        </w:rPr>
        <w:t xml:space="preserve"> while high risk is excluded. </w:t>
      </w:r>
    </w:p>
    <w:p w14:paraId="7A4BBD0E" w14:textId="06636D00" w:rsidR="00CD1C15" w:rsidRDefault="00CD1C15" w:rsidP="00A1459F">
      <w:pPr>
        <w:rPr>
          <w:rFonts w:cstheme="minorHAnsi"/>
          <w:u w:val="single"/>
          <w:lang w:val="en-US"/>
        </w:rPr>
      </w:pPr>
      <w:r w:rsidRPr="0012405A">
        <w:rPr>
          <w:rFonts w:cstheme="minorHAnsi"/>
          <w:u w:val="single"/>
          <w:lang w:val="en-US"/>
        </w:rPr>
        <w:t>High risk activities</w:t>
      </w:r>
      <w:r w:rsidR="003353F2" w:rsidRPr="0012405A">
        <w:rPr>
          <w:rFonts w:cstheme="minorHAnsi"/>
          <w:u w:val="single"/>
          <w:lang w:val="en-US"/>
        </w:rPr>
        <w:t xml:space="preserve"> – nature and </w:t>
      </w:r>
      <w:r w:rsidR="00583DD3" w:rsidRPr="0012405A">
        <w:rPr>
          <w:rFonts w:cstheme="minorHAnsi"/>
          <w:u w:val="single"/>
          <w:lang w:val="en-US"/>
        </w:rPr>
        <w:t>magnitude</w:t>
      </w:r>
      <w:r w:rsidR="003353F2" w:rsidRPr="0012405A">
        <w:rPr>
          <w:rFonts w:cstheme="minorHAnsi"/>
          <w:u w:val="single"/>
          <w:lang w:val="en-US"/>
        </w:rPr>
        <w:t xml:space="preserve"> of potential impact</w:t>
      </w:r>
    </w:p>
    <w:p w14:paraId="1B08527A"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wide range of significant adverse risks and impacts </w:t>
      </w:r>
    </w:p>
    <w:p w14:paraId="2950DD07"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long term, permanent and/or irreversible, impossible to avoid entirely </w:t>
      </w:r>
    </w:p>
    <w:p w14:paraId="1E3C0CB1"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some cannot be mitigated or require complex, unproven mitigation, sophisticated social analysis </w:t>
      </w:r>
    </w:p>
    <w:p w14:paraId="00BFB028"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high in magnitude and/or in spatial extent (large to very large area or population); </w:t>
      </w:r>
    </w:p>
    <w:p w14:paraId="54D59771"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significant adverse cumulative or transboundary impacts; </w:t>
      </w:r>
    </w:p>
    <w:p w14:paraId="211FAAA3"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high probability of serious adverse effects to human health and/or the environment </w:t>
      </w:r>
    </w:p>
    <w:p w14:paraId="56E1F353" w14:textId="4FF172CF"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high value and sensitivity (e.g. protected and internationally recognized areas) </w:t>
      </w:r>
    </w:p>
    <w:p w14:paraId="35409543"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high value, sensitive lands or rights of Indigenous Peoples and other vulnerable minorities </w:t>
      </w:r>
    </w:p>
    <w:p w14:paraId="09AB0A94"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intensive or complex involuntary resettlement or land acquisition </w:t>
      </w:r>
    </w:p>
    <w:p w14:paraId="01C17E13"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impacts on cultural heritage or densely populated urban areas </w:t>
      </w:r>
    </w:p>
    <w:p w14:paraId="770E5C1E" w14:textId="77777777"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920BED">
        <w:rPr>
          <w:rFonts w:cstheme="minorHAnsi"/>
          <w:color w:val="000000"/>
          <w:lang w:val="en-US"/>
        </w:rPr>
        <w:t xml:space="preserve">may give rise to significant social conflict, harm or human security risks </w:t>
      </w:r>
    </w:p>
    <w:p w14:paraId="2F595911" w14:textId="7CF0D419" w:rsidR="00920BED" w:rsidRPr="00920BED" w:rsidRDefault="00920BED" w:rsidP="00BE60A0">
      <w:pPr>
        <w:pStyle w:val="ListParagraph"/>
        <w:numPr>
          <w:ilvl w:val="1"/>
          <w:numId w:val="92"/>
        </w:numPr>
        <w:suppressAutoHyphens w:val="0"/>
        <w:autoSpaceDE w:val="0"/>
        <w:adjustRightInd w:val="0"/>
        <w:ind w:left="426"/>
        <w:jc w:val="left"/>
        <w:textAlignment w:val="auto"/>
        <w:rPr>
          <w:rFonts w:cstheme="minorHAnsi"/>
          <w:color w:val="000000"/>
          <w:lang w:val="en-US"/>
        </w:rPr>
      </w:pPr>
      <w:r w:rsidRPr="0012405A">
        <w:rPr>
          <w:rFonts w:cstheme="minorHAnsi"/>
          <w:color w:val="000000"/>
          <w:lang w:val="en-US"/>
        </w:rPr>
        <w:lastRenderedPageBreak/>
        <w:t>a history of unrest in area or sector, concerns about use of security forces</w:t>
      </w:r>
    </w:p>
    <w:p w14:paraId="4958C527" w14:textId="0CA968C7" w:rsidR="00B20D85" w:rsidRDefault="00B20D85" w:rsidP="00BB0FF6">
      <w:pPr>
        <w:rPr>
          <w:rFonts w:cstheme="minorHAnsi"/>
          <w:u w:val="single"/>
          <w:lang w:val="en-US"/>
        </w:rPr>
      </w:pPr>
      <w:r w:rsidRPr="0012405A">
        <w:rPr>
          <w:rFonts w:cstheme="minorHAnsi"/>
          <w:u w:val="single"/>
          <w:lang w:val="en-US"/>
        </w:rPr>
        <w:t>Substantial risk activities – – nature and magnitude of potential impact</w:t>
      </w:r>
    </w:p>
    <w:p w14:paraId="59B153D0" w14:textId="7777777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some significant risks and impacts </w:t>
      </w:r>
    </w:p>
    <w:p w14:paraId="02E92FC7" w14:textId="1C32EB48"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mostly temporary, predictable and/or reversible </w:t>
      </w:r>
    </w:p>
    <w:p w14:paraId="46DA9745" w14:textId="00337ED6"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possibility of avoiding or reversing but with substantial investment and time </w:t>
      </w:r>
    </w:p>
    <w:p w14:paraId="4AEA11D4" w14:textId="4F8BE3B0"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may give rise to limited degree of social conflict, harm, human security risk; </w:t>
      </w:r>
    </w:p>
    <w:p w14:paraId="10BAC1BE" w14:textId="631E9608"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medium in magnitude and/or in spatial extent (medium to large area and population) </w:t>
      </w:r>
    </w:p>
    <w:p w14:paraId="67A753B0" w14:textId="5ADE243E"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less severe, more readily avoided/mitigated cumulative and/or transboundary impacts </w:t>
      </w:r>
    </w:p>
    <w:p w14:paraId="19427396" w14:textId="711192BB"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medium to low probability of serious adverse effects to human health and/or the environment (with known and reliable mechanisms to prevent or minimize) </w:t>
      </w:r>
    </w:p>
    <w:p w14:paraId="25590382" w14:textId="3A034809"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lower effects on areas of high value or sensitivity </w:t>
      </w:r>
    </w:p>
    <w:p w14:paraId="7BF9B218" w14:textId="3BC37021" w:rsidR="00920BED" w:rsidRPr="00920BED"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more readily available and reliable mitigatory and/or compensatory measures</w:t>
      </w:r>
    </w:p>
    <w:p w14:paraId="1DE84461" w14:textId="18179F4F" w:rsidR="001E3E9C" w:rsidRDefault="00347D45" w:rsidP="00263194">
      <w:pPr>
        <w:rPr>
          <w:rFonts w:cstheme="minorHAnsi"/>
          <w:u w:val="single"/>
          <w:lang w:val="en-US"/>
        </w:rPr>
      </w:pPr>
      <w:r w:rsidRPr="0012405A">
        <w:rPr>
          <w:rFonts w:cstheme="minorHAnsi"/>
          <w:u w:val="single"/>
          <w:lang w:val="en-US"/>
        </w:rPr>
        <w:t>Moderate risk activities – – nature and magnitude of potential impact</w:t>
      </w:r>
    </w:p>
    <w:p w14:paraId="5B35C3E3" w14:textId="2398DD1A"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risks and impacts not likely to be significant </w:t>
      </w:r>
    </w:p>
    <w:p w14:paraId="38A8C963" w14:textId="1D317025"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not complex and/or large </w:t>
      </w:r>
    </w:p>
    <w:p w14:paraId="3E42A059" w14:textId="211E03B3"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predictable and expected to be temporary and/or reversible; </w:t>
      </w:r>
    </w:p>
    <w:p w14:paraId="1D0E57D1" w14:textId="411236E4"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low in magnitude; </w:t>
      </w:r>
    </w:p>
    <w:p w14:paraId="4A4BAC77" w14:textId="48A14FEE"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site-specific, without likelihood of impacts beyond the project footprint; </w:t>
      </w:r>
    </w:p>
    <w:p w14:paraId="54242C44" w14:textId="152FD31D"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low probability of serious adverse effects to human health and/or the environment </w:t>
      </w:r>
    </w:p>
    <w:p w14:paraId="0AC32125" w14:textId="5A9E9A9E"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routine safety precautions are expected to be </w:t>
      </w:r>
      <w:proofErr w:type="gramStart"/>
      <w:r w:rsidRPr="0012405A">
        <w:rPr>
          <w:rFonts w:cstheme="minorHAnsi"/>
          <w:color w:val="000000"/>
          <w:lang w:val="en-US"/>
        </w:rPr>
        <w:t>sufficient</w:t>
      </w:r>
      <w:proofErr w:type="gramEnd"/>
      <w:r w:rsidRPr="0012405A">
        <w:rPr>
          <w:rFonts w:cstheme="minorHAnsi"/>
          <w:color w:val="000000"/>
          <w:lang w:val="en-US"/>
        </w:rPr>
        <w:t xml:space="preserve"> to prevent accidents </w:t>
      </w:r>
    </w:p>
    <w:p w14:paraId="7ADB4641" w14:textId="08951FB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easily mitigated in a predictable manner </w:t>
      </w:r>
    </w:p>
    <w:p w14:paraId="7A40B990" w14:textId="62FB4353" w:rsidR="008A3A20" w:rsidRDefault="008A3A20" w:rsidP="00263194">
      <w:pPr>
        <w:rPr>
          <w:rFonts w:cstheme="minorHAnsi"/>
          <w:u w:val="single"/>
          <w:lang w:val="en-US"/>
        </w:rPr>
      </w:pPr>
      <w:r w:rsidRPr="0012405A">
        <w:rPr>
          <w:rFonts w:cstheme="minorHAnsi"/>
          <w:u w:val="single"/>
          <w:lang w:val="en-US"/>
        </w:rPr>
        <w:t>Low risk activities – – nature and magnitude of potential impact</w:t>
      </w:r>
    </w:p>
    <w:p w14:paraId="5839C737" w14:textId="7777777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minimal or negligible risks to and impacts on human populations and/or the environment </w:t>
      </w:r>
    </w:p>
    <w:p w14:paraId="3B9C5E40" w14:textId="7777777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few or no adverse risks and impacts and issues </w:t>
      </w:r>
    </w:p>
    <w:p w14:paraId="78D88BD9" w14:textId="77777777" w:rsidR="00920BED" w:rsidRPr="0012405A" w:rsidRDefault="00920BED" w:rsidP="00BE60A0">
      <w:pPr>
        <w:pStyle w:val="ListParagraph"/>
        <w:numPr>
          <w:ilvl w:val="1"/>
          <w:numId w:val="92"/>
        </w:numPr>
        <w:suppressAutoHyphens w:val="0"/>
        <w:autoSpaceDE w:val="0"/>
        <w:adjustRightInd w:val="0"/>
        <w:ind w:left="426"/>
        <w:textAlignment w:val="auto"/>
        <w:rPr>
          <w:rFonts w:cstheme="minorHAnsi"/>
          <w:color w:val="000000"/>
          <w:lang w:val="en-US"/>
        </w:rPr>
      </w:pPr>
      <w:r w:rsidRPr="0012405A">
        <w:rPr>
          <w:rFonts w:cstheme="minorHAnsi"/>
          <w:color w:val="000000"/>
          <w:lang w:val="en-US"/>
        </w:rPr>
        <w:t xml:space="preserve">no further assessment after screening </w:t>
      </w:r>
    </w:p>
    <w:p w14:paraId="7622C8E1" w14:textId="2679F26E" w:rsidR="008D0965" w:rsidRPr="0012405A" w:rsidRDefault="001B1345" w:rsidP="00263194">
      <w:pPr>
        <w:suppressAutoHyphens w:val="0"/>
        <w:rPr>
          <w:rFonts w:cstheme="minorHAnsi"/>
          <w:lang w:val="en-US"/>
        </w:rPr>
      </w:pPr>
      <w:r w:rsidRPr="0012405A">
        <w:rPr>
          <w:rFonts w:cstheme="minorHAnsi"/>
          <w:lang w:val="en-US"/>
        </w:rPr>
        <w:t xml:space="preserve">In addition to the nature and magnitude of impact, the risk is also </w:t>
      </w:r>
      <w:r w:rsidR="008D0965" w:rsidRPr="0012405A">
        <w:rPr>
          <w:rFonts w:cstheme="minorHAnsi"/>
          <w:lang w:val="en-US"/>
        </w:rPr>
        <w:t>set against:</w:t>
      </w:r>
    </w:p>
    <w:p w14:paraId="48854744" w14:textId="77777777" w:rsidR="00920BED" w:rsidRPr="00920BED" w:rsidRDefault="008D0965" w:rsidP="00BE60A0">
      <w:pPr>
        <w:pStyle w:val="ListParagraph"/>
        <w:numPr>
          <w:ilvl w:val="0"/>
          <w:numId w:val="93"/>
        </w:numPr>
        <w:suppressAutoHyphens w:val="0"/>
        <w:autoSpaceDE w:val="0"/>
        <w:adjustRightInd w:val="0"/>
        <w:ind w:left="714" w:hanging="357"/>
        <w:textAlignment w:val="auto"/>
        <w:rPr>
          <w:rFonts w:cstheme="minorHAnsi"/>
          <w:color w:val="000000"/>
          <w:lang w:val="en-US"/>
        </w:rPr>
      </w:pPr>
      <w:r w:rsidRPr="00920BED">
        <w:rPr>
          <w:lang w:val="en-US"/>
        </w:rPr>
        <w:t>Project type (</w:t>
      </w:r>
      <w:r w:rsidR="002518AD" w:rsidRPr="00920BED">
        <w:rPr>
          <w:lang w:val="en-US"/>
        </w:rPr>
        <w:t xml:space="preserve">size, location, physical considerations, infrastructure </w:t>
      </w:r>
      <w:r w:rsidR="00002F0C" w:rsidRPr="00920BED">
        <w:rPr>
          <w:lang w:val="en-US"/>
        </w:rPr>
        <w:t>complexity</w:t>
      </w:r>
      <w:r w:rsidR="002518AD" w:rsidRPr="00920BED">
        <w:rPr>
          <w:lang w:val="en-US"/>
        </w:rPr>
        <w:t xml:space="preserve"> (e.g. </w:t>
      </w:r>
      <w:r w:rsidR="00002F0C" w:rsidRPr="00920BED">
        <w:rPr>
          <w:lang w:val="en-US"/>
        </w:rPr>
        <w:t>roads</w:t>
      </w:r>
      <w:r w:rsidR="002518AD" w:rsidRPr="00920BED">
        <w:rPr>
          <w:lang w:val="en-US"/>
        </w:rPr>
        <w:t>, airports, dams, etc.)</w:t>
      </w:r>
      <w:r w:rsidR="009C2EF3" w:rsidRPr="00920BED">
        <w:rPr>
          <w:lang w:val="en-US"/>
        </w:rPr>
        <w:t>;</w:t>
      </w:r>
    </w:p>
    <w:p w14:paraId="3F931152" w14:textId="1CDB26EE" w:rsidR="00920BED" w:rsidRDefault="009C2EF3" w:rsidP="00BE60A0">
      <w:pPr>
        <w:pStyle w:val="ListParagraph"/>
        <w:numPr>
          <w:ilvl w:val="0"/>
          <w:numId w:val="93"/>
        </w:numPr>
        <w:suppressAutoHyphens w:val="0"/>
        <w:autoSpaceDE w:val="0"/>
        <w:adjustRightInd w:val="0"/>
        <w:ind w:left="714" w:hanging="357"/>
        <w:textAlignment w:val="auto"/>
        <w:rPr>
          <w:rFonts w:cstheme="minorHAnsi"/>
          <w:color w:val="000000"/>
          <w:lang w:val="en-US"/>
        </w:rPr>
      </w:pPr>
      <w:r w:rsidRPr="00920BED">
        <w:rPr>
          <w:rFonts w:cstheme="minorHAnsi"/>
          <w:color w:val="000000"/>
          <w:lang w:val="en-US"/>
        </w:rPr>
        <w:t>Borrowers capacity, including the institutional and regulatory framework;</w:t>
      </w:r>
    </w:p>
    <w:p w14:paraId="1689BE32" w14:textId="43BEEC69" w:rsidR="0098223F" w:rsidRPr="00263194" w:rsidRDefault="00B7352F" w:rsidP="00BE60A0">
      <w:pPr>
        <w:pStyle w:val="ListParagraph"/>
        <w:numPr>
          <w:ilvl w:val="0"/>
          <w:numId w:val="93"/>
        </w:numPr>
        <w:suppressAutoHyphens w:val="0"/>
        <w:autoSpaceDE w:val="0"/>
        <w:adjustRightInd w:val="0"/>
        <w:ind w:left="714" w:hanging="357"/>
        <w:textAlignment w:val="auto"/>
        <w:rPr>
          <w:rFonts w:cstheme="minorHAnsi"/>
          <w:color w:val="000000"/>
          <w:lang w:val="en-US"/>
        </w:rPr>
      </w:pPr>
      <w:r w:rsidRPr="00920BED">
        <w:rPr>
          <w:rFonts w:cstheme="minorHAnsi"/>
          <w:color w:val="000000"/>
          <w:lang w:val="en-US"/>
        </w:rPr>
        <w:t xml:space="preserve">Context risks relevant to E&amp;S </w:t>
      </w:r>
      <w:r w:rsidR="009216D4" w:rsidRPr="00920BED">
        <w:rPr>
          <w:rFonts w:cstheme="minorHAnsi"/>
          <w:color w:val="000000"/>
          <w:lang w:val="en-US"/>
        </w:rPr>
        <w:t xml:space="preserve">impact and </w:t>
      </w:r>
      <w:r w:rsidRPr="00920BED">
        <w:rPr>
          <w:rFonts w:cstheme="minorHAnsi"/>
          <w:color w:val="000000"/>
          <w:lang w:val="en-US"/>
        </w:rPr>
        <w:t xml:space="preserve">management. </w:t>
      </w:r>
    </w:p>
    <w:p w14:paraId="09EFD8E8" w14:textId="6E12EA6C" w:rsidR="00E43AF4" w:rsidRPr="00AB7D1E" w:rsidRDefault="00075A6F" w:rsidP="00E43AF4">
      <w:pPr>
        <w:pStyle w:val="Heading1"/>
        <w:rPr>
          <w:lang w:val="en-US"/>
        </w:rPr>
      </w:pPr>
      <w:bookmarkStart w:id="43" w:name="_Toc56954036"/>
      <w:r w:rsidRPr="00AB7D1E">
        <w:rPr>
          <w:caps w:val="0"/>
          <w:lang w:val="en-US"/>
        </w:rPr>
        <w:lastRenderedPageBreak/>
        <w:t>ENVIRONMENTAL AND SOCIAL BASELINE INFORMATION</w:t>
      </w:r>
      <w:bookmarkEnd w:id="43"/>
    </w:p>
    <w:p w14:paraId="7C3B1945" w14:textId="790F2267" w:rsidR="00E43AF4" w:rsidRPr="00AB7D1E" w:rsidRDefault="00E43AF4" w:rsidP="00E43AF4">
      <w:pPr>
        <w:pStyle w:val="Heading2"/>
        <w:rPr>
          <w:lang w:val="en-US"/>
        </w:rPr>
      </w:pPr>
      <w:bookmarkStart w:id="44" w:name="_Toc56954037"/>
      <w:r w:rsidRPr="00AB7D1E">
        <w:rPr>
          <w:lang w:val="en-US"/>
        </w:rPr>
        <w:t>Environmental baseline and relevant potential issues</w:t>
      </w:r>
      <w:bookmarkEnd w:id="44"/>
    </w:p>
    <w:p w14:paraId="73E84D7A" w14:textId="2D154D46" w:rsidR="00775AAB" w:rsidRPr="00AB7D1E" w:rsidRDefault="00775AAB" w:rsidP="00775AAB">
      <w:pPr>
        <w:pStyle w:val="Heading3"/>
        <w:rPr>
          <w:lang w:val="en-US"/>
        </w:rPr>
      </w:pPr>
      <w:bookmarkStart w:id="45" w:name="_Toc56954038"/>
      <w:r w:rsidRPr="00AB7D1E">
        <w:rPr>
          <w:lang w:val="en-US"/>
        </w:rPr>
        <w:t>Air emissions and air quality</w:t>
      </w:r>
      <w:bookmarkEnd w:id="45"/>
    </w:p>
    <w:p w14:paraId="78AC8FD8" w14:textId="60D4E6F8" w:rsidR="000C56C9" w:rsidRPr="00AB7D1E" w:rsidRDefault="000C56C9" w:rsidP="00245CEF">
      <w:pPr>
        <w:rPr>
          <w:lang w:val="en-US"/>
        </w:rPr>
      </w:pPr>
      <w:r w:rsidRPr="00AB7D1E">
        <w:rPr>
          <w:lang w:val="en-US"/>
        </w:rPr>
        <w:t>Emissions of almost all pollutants show a general declining trend between 1990 and 2018 NOx emissions decreased by 53</w:t>
      </w:r>
      <w:r w:rsidR="007C5DB7" w:rsidRPr="00AB7D1E">
        <w:rPr>
          <w:lang w:val="en-US"/>
        </w:rPr>
        <w:t>,</w:t>
      </w:r>
      <w:r w:rsidRPr="00AB7D1E">
        <w:rPr>
          <w:lang w:val="en-US"/>
        </w:rPr>
        <w:t>3%, SO2 by 93</w:t>
      </w:r>
      <w:r w:rsidR="007C5DB7" w:rsidRPr="00AB7D1E">
        <w:rPr>
          <w:lang w:val="en-US"/>
        </w:rPr>
        <w:t>,</w:t>
      </w:r>
      <w:r w:rsidRPr="00AB7D1E">
        <w:rPr>
          <w:lang w:val="en-US"/>
        </w:rPr>
        <w:t>9%, NH3 by 33</w:t>
      </w:r>
      <w:r w:rsidR="007C5DB7" w:rsidRPr="00AB7D1E">
        <w:rPr>
          <w:lang w:val="en-US"/>
        </w:rPr>
        <w:t>,</w:t>
      </w:r>
      <w:r w:rsidRPr="00AB7D1E">
        <w:rPr>
          <w:lang w:val="en-US"/>
        </w:rPr>
        <w:t>7%, NMVOC by 57</w:t>
      </w:r>
      <w:r w:rsidR="007C5DB7" w:rsidRPr="00AB7D1E">
        <w:rPr>
          <w:lang w:val="en-US"/>
        </w:rPr>
        <w:t>,</w:t>
      </w:r>
      <w:r w:rsidRPr="00AB7D1E">
        <w:rPr>
          <w:lang w:val="en-US"/>
        </w:rPr>
        <w:t>8%, CO by 57</w:t>
      </w:r>
      <w:r w:rsidR="007C5DB7" w:rsidRPr="00AB7D1E">
        <w:rPr>
          <w:lang w:val="en-US"/>
        </w:rPr>
        <w:t>,</w:t>
      </w:r>
      <w:r w:rsidRPr="00AB7D1E">
        <w:rPr>
          <w:lang w:val="en-US"/>
        </w:rPr>
        <w:t>6%, PM</w:t>
      </w:r>
      <w:r w:rsidRPr="00AB7D1E">
        <w:rPr>
          <w:vertAlign w:val="subscript"/>
          <w:lang w:val="en-US"/>
        </w:rPr>
        <w:t>2</w:t>
      </w:r>
      <w:r w:rsidR="007C5DB7" w:rsidRPr="00AB7D1E">
        <w:rPr>
          <w:vertAlign w:val="subscript"/>
          <w:lang w:val="en-US"/>
        </w:rPr>
        <w:t>,</w:t>
      </w:r>
      <w:r w:rsidRPr="00AB7D1E">
        <w:rPr>
          <w:vertAlign w:val="subscript"/>
          <w:lang w:val="en-US"/>
        </w:rPr>
        <w:t xml:space="preserve">5 </w:t>
      </w:r>
      <w:r w:rsidRPr="00AB7D1E">
        <w:rPr>
          <w:lang w:val="en-US"/>
        </w:rPr>
        <w:t>by 25</w:t>
      </w:r>
      <w:r w:rsidR="007C5DB7" w:rsidRPr="00AB7D1E">
        <w:rPr>
          <w:lang w:val="en-US"/>
        </w:rPr>
        <w:t>,</w:t>
      </w:r>
      <w:r w:rsidRPr="00AB7D1E">
        <w:rPr>
          <w:lang w:val="en-US"/>
        </w:rPr>
        <w:t>8%, PM</w:t>
      </w:r>
      <w:r w:rsidRPr="00AB7D1E">
        <w:rPr>
          <w:vertAlign w:val="subscript"/>
          <w:lang w:val="en-US"/>
        </w:rPr>
        <w:t>10</w:t>
      </w:r>
      <w:r w:rsidRPr="00AB7D1E">
        <w:rPr>
          <w:lang w:val="en-US"/>
        </w:rPr>
        <w:t xml:space="preserve"> by 37</w:t>
      </w:r>
      <w:r w:rsidR="007C5DB7" w:rsidRPr="00AB7D1E">
        <w:rPr>
          <w:lang w:val="en-US"/>
        </w:rPr>
        <w:t>,</w:t>
      </w:r>
      <w:r w:rsidRPr="00AB7D1E">
        <w:rPr>
          <w:lang w:val="en-US"/>
        </w:rPr>
        <w:t>8 %%, TSP by 13</w:t>
      </w:r>
      <w:r w:rsidR="007C5DB7" w:rsidRPr="00AB7D1E">
        <w:rPr>
          <w:lang w:val="en-US"/>
        </w:rPr>
        <w:t>,</w:t>
      </w:r>
      <w:r w:rsidRPr="00AB7D1E">
        <w:rPr>
          <w:lang w:val="en-US"/>
        </w:rPr>
        <w:t>7 %, BC by 28</w:t>
      </w:r>
      <w:r w:rsidR="007C5DB7" w:rsidRPr="00AB7D1E">
        <w:rPr>
          <w:lang w:val="en-US"/>
        </w:rPr>
        <w:t>,</w:t>
      </w:r>
      <w:r w:rsidRPr="00AB7D1E">
        <w:rPr>
          <w:lang w:val="en-US"/>
        </w:rPr>
        <w:t>2%, heavy metals: Pb by 98</w:t>
      </w:r>
      <w:r w:rsidR="007C5DB7" w:rsidRPr="00AB7D1E">
        <w:rPr>
          <w:lang w:val="en-US"/>
        </w:rPr>
        <w:t>,</w:t>
      </w:r>
      <w:r w:rsidRPr="00AB7D1E">
        <w:rPr>
          <w:lang w:val="en-US"/>
        </w:rPr>
        <w:t>4%, Cd by 24</w:t>
      </w:r>
      <w:r w:rsidR="007C5DB7" w:rsidRPr="00AB7D1E">
        <w:rPr>
          <w:lang w:val="en-US"/>
        </w:rPr>
        <w:t>,</w:t>
      </w:r>
      <w:r w:rsidRPr="00AB7D1E">
        <w:rPr>
          <w:lang w:val="en-US"/>
        </w:rPr>
        <w:t>9%, Hg by 64</w:t>
      </w:r>
      <w:r w:rsidR="007C5DB7" w:rsidRPr="00AB7D1E">
        <w:rPr>
          <w:lang w:val="en-US"/>
        </w:rPr>
        <w:t>,</w:t>
      </w:r>
      <w:r w:rsidRPr="00AB7D1E">
        <w:rPr>
          <w:lang w:val="en-US"/>
        </w:rPr>
        <w:t>4%, As by 93</w:t>
      </w:r>
      <w:r w:rsidR="007C5DB7" w:rsidRPr="00AB7D1E">
        <w:rPr>
          <w:lang w:val="en-US"/>
        </w:rPr>
        <w:t>,</w:t>
      </w:r>
      <w:r w:rsidRPr="00AB7D1E">
        <w:rPr>
          <w:lang w:val="en-US"/>
        </w:rPr>
        <w:t>6%, Cr by 61</w:t>
      </w:r>
      <w:r w:rsidR="007C5DB7" w:rsidRPr="00AB7D1E">
        <w:rPr>
          <w:lang w:val="en-US"/>
        </w:rPr>
        <w:t>,</w:t>
      </w:r>
      <w:r w:rsidRPr="00AB7D1E">
        <w:rPr>
          <w:lang w:val="en-US"/>
        </w:rPr>
        <w:t>8%, Ni by 79</w:t>
      </w:r>
      <w:r w:rsidR="007C5DB7" w:rsidRPr="00AB7D1E">
        <w:rPr>
          <w:lang w:val="en-US"/>
        </w:rPr>
        <w:t>,</w:t>
      </w:r>
      <w:r w:rsidRPr="00AB7D1E">
        <w:rPr>
          <w:lang w:val="en-US"/>
        </w:rPr>
        <w:t>6%, Se by 17</w:t>
      </w:r>
      <w:r w:rsidR="007C5DB7" w:rsidRPr="00AB7D1E">
        <w:rPr>
          <w:lang w:val="en-US"/>
        </w:rPr>
        <w:t>,</w:t>
      </w:r>
      <w:r w:rsidRPr="00AB7D1E">
        <w:rPr>
          <w:lang w:val="en-US"/>
        </w:rPr>
        <w:t>8% and Zn by 13</w:t>
      </w:r>
      <w:r w:rsidR="007C5DB7" w:rsidRPr="00AB7D1E">
        <w:rPr>
          <w:lang w:val="en-US"/>
        </w:rPr>
        <w:t>,</w:t>
      </w:r>
      <w:r w:rsidRPr="00AB7D1E">
        <w:rPr>
          <w:lang w:val="en-US"/>
        </w:rPr>
        <w:t>2% while Cu emissions increased by 25</w:t>
      </w:r>
      <w:r w:rsidR="007C5DB7" w:rsidRPr="00AB7D1E">
        <w:rPr>
          <w:lang w:val="en-US"/>
        </w:rPr>
        <w:t>,</w:t>
      </w:r>
      <w:r w:rsidRPr="00AB7D1E">
        <w:rPr>
          <w:lang w:val="en-US"/>
        </w:rPr>
        <w:t>9%</w:t>
      </w:r>
      <w:r w:rsidR="002C2604" w:rsidRPr="00AB7D1E">
        <w:rPr>
          <w:lang w:val="en-US"/>
        </w:rPr>
        <w:t>.</w:t>
      </w:r>
      <w:r w:rsidRPr="00AB7D1E">
        <w:rPr>
          <w:lang w:val="en-US"/>
        </w:rPr>
        <w:t xml:space="preserve"> PCDD / PCDF emissions decreased by 42</w:t>
      </w:r>
      <w:r w:rsidR="007C5DB7" w:rsidRPr="00AB7D1E">
        <w:rPr>
          <w:lang w:val="en-US"/>
        </w:rPr>
        <w:t>,</w:t>
      </w:r>
      <w:r w:rsidRPr="00AB7D1E">
        <w:rPr>
          <w:lang w:val="en-US"/>
        </w:rPr>
        <w:t>7%, PCBs by 14</w:t>
      </w:r>
      <w:r w:rsidR="007C5DB7" w:rsidRPr="00AB7D1E">
        <w:rPr>
          <w:lang w:val="en-US"/>
        </w:rPr>
        <w:t>,</w:t>
      </w:r>
      <w:r w:rsidRPr="00AB7D1E">
        <w:rPr>
          <w:lang w:val="en-US"/>
        </w:rPr>
        <w:t>7%, HCBs by 92% and PAHs by 35</w:t>
      </w:r>
      <w:r w:rsidR="007C5DB7" w:rsidRPr="00AB7D1E">
        <w:rPr>
          <w:lang w:val="en-US"/>
        </w:rPr>
        <w:t>,</w:t>
      </w:r>
      <w:r w:rsidRPr="00AB7D1E">
        <w:rPr>
          <w:lang w:val="en-US"/>
        </w:rPr>
        <w:t>8%.</w:t>
      </w:r>
      <w:r w:rsidR="00683CCC" w:rsidRPr="00AB7D1E">
        <w:rPr>
          <w:rStyle w:val="FootnoteReference"/>
          <w:sz w:val="18"/>
          <w:szCs w:val="18"/>
          <w:lang w:val="en-US"/>
        </w:rPr>
        <w:footnoteReference w:id="15"/>
      </w:r>
    </w:p>
    <w:p w14:paraId="5B7EC455" w14:textId="78221E67" w:rsidR="003B6FB8" w:rsidRPr="00AB7D1E" w:rsidRDefault="003B6FB8" w:rsidP="003B6FB8">
      <w:pPr>
        <w:rPr>
          <w:lang w:val="en-US"/>
        </w:rPr>
      </w:pPr>
      <w:r w:rsidRPr="00AB7D1E">
        <w:rPr>
          <w:lang w:val="en-US"/>
        </w:rPr>
        <w:t xml:space="preserve">The reason for this declining trend is stricter regulation on air pollutant concentrations and emission limit values, as well as the use of </w:t>
      </w:r>
      <w:r w:rsidR="00483B4B" w:rsidRPr="00AB7D1E">
        <w:rPr>
          <w:lang w:val="en-US"/>
        </w:rPr>
        <w:t>better-quality</w:t>
      </w:r>
      <w:r w:rsidRPr="00AB7D1E">
        <w:rPr>
          <w:lang w:val="en-US"/>
        </w:rPr>
        <w:t xml:space="preserve"> fuel with lower </w:t>
      </w:r>
      <w:proofErr w:type="spellStart"/>
      <w:r w:rsidR="00483B4B" w:rsidRPr="00AB7D1E">
        <w:rPr>
          <w:lang w:val="en-US"/>
        </w:rPr>
        <w:t>sulphur</w:t>
      </w:r>
      <w:proofErr w:type="spellEnd"/>
      <w:r w:rsidRPr="00AB7D1E">
        <w:rPr>
          <w:lang w:val="en-US"/>
        </w:rPr>
        <w:t xml:space="preserve"> content, gasification and connection to the heating network, the use of low-</w:t>
      </w:r>
      <w:proofErr w:type="spellStart"/>
      <w:r w:rsidR="00483B4B" w:rsidRPr="00AB7D1E">
        <w:rPr>
          <w:lang w:val="en-US"/>
        </w:rPr>
        <w:t>sulphur</w:t>
      </w:r>
      <w:proofErr w:type="spellEnd"/>
      <w:r w:rsidRPr="00AB7D1E">
        <w:rPr>
          <w:lang w:val="en-US"/>
        </w:rPr>
        <w:t xml:space="preserve"> coal, and to a lesser extent the development of public transport and bicycle paths. Furthermore, due to the reduction of </w:t>
      </w:r>
      <w:proofErr w:type="spellStart"/>
      <w:r w:rsidR="00FF04DF" w:rsidRPr="00AB7D1E">
        <w:rPr>
          <w:lang w:val="en-US"/>
        </w:rPr>
        <w:t>sulphur</w:t>
      </w:r>
      <w:proofErr w:type="spellEnd"/>
      <w:r w:rsidRPr="00AB7D1E">
        <w:rPr>
          <w:lang w:val="en-US"/>
        </w:rPr>
        <w:t xml:space="preserve"> emissions, </w:t>
      </w:r>
      <w:proofErr w:type="spellStart"/>
      <w:r w:rsidR="00FF04DF" w:rsidRPr="00AB7D1E">
        <w:rPr>
          <w:lang w:val="en-US"/>
        </w:rPr>
        <w:t>sulphur</w:t>
      </w:r>
      <w:proofErr w:type="spellEnd"/>
      <w:r w:rsidRPr="00AB7D1E">
        <w:rPr>
          <w:lang w:val="en-US"/>
        </w:rPr>
        <w:t xml:space="preserve"> deposition, i.e. acidification, was significantly reduced.</w:t>
      </w:r>
    </w:p>
    <w:p w14:paraId="78A716A7" w14:textId="6031286C" w:rsidR="003B6FB8" w:rsidRPr="00AB7D1E" w:rsidRDefault="003B6FB8" w:rsidP="003B6FB8">
      <w:pPr>
        <w:rPr>
          <w:lang w:val="en-US"/>
        </w:rPr>
      </w:pPr>
      <w:r w:rsidRPr="00AB7D1E">
        <w:rPr>
          <w:lang w:val="en-US"/>
        </w:rPr>
        <w:t>Emissions of the three main pollutants SO2, NOx, NMVOC in 2018 are below, and NH3 emissions are above the prescribed emission quotas set for 2010 and for years after, in accordance with the Gothenburg Protocol</w:t>
      </w:r>
      <w:r w:rsidR="001B3DD2" w:rsidRPr="00AB7D1E">
        <w:rPr>
          <w:rStyle w:val="FootnoteReference"/>
          <w:lang w:val="en-US"/>
        </w:rPr>
        <w:footnoteReference w:id="16"/>
      </w:r>
      <w:r w:rsidRPr="00AB7D1E">
        <w:rPr>
          <w:lang w:val="en-US"/>
        </w:rPr>
        <w:t>.</w:t>
      </w:r>
    </w:p>
    <w:p w14:paraId="72E17CEE" w14:textId="14A84A05" w:rsidR="008622F8" w:rsidRPr="00AB7D1E" w:rsidRDefault="003761C4" w:rsidP="007D1E1B">
      <w:pPr>
        <w:pStyle w:val="Style1"/>
      </w:pPr>
      <w:bookmarkStart w:id="46" w:name="_Toc56952702"/>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w:t>
      </w:r>
      <w:r w:rsidR="00DF4A34" w:rsidRPr="00AB7D1E">
        <w:fldChar w:fldCharType="end"/>
      </w:r>
      <w:r w:rsidRPr="00AB7D1E">
        <w:t>. Trend of total emissions of the Republic of Croatia by pollutant</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92"/>
        <w:gridCol w:w="415"/>
        <w:gridCol w:w="596"/>
        <w:gridCol w:w="596"/>
        <w:gridCol w:w="596"/>
        <w:gridCol w:w="596"/>
        <w:gridCol w:w="596"/>
        <w:gridCol w:w="596"/>
        <w:gridCol w:w="596"/>
        <w:gridCol w:w="596"/>
        <w:gridCol w:w="571"/>
        <w:gridCol w:w="787"/>
        <w:gridCol w:w="813"/>
        <w:gridCol w:w="870"/>
      </w:tblGrid>
      <w:tr w:rsidR="003761C4" w:rsidRPr="00AB7D1E" w14:paraId="795FA1FE" w14:textId="77777777" w:rsidTr="004B059E">
        <w:trPr>
          <w:trHeight w:val="20"/>
          <w:tblHeader/>
        </w:trPr>
        <w:tc>
          <w:tcPr>
            <w:tcW w:w="394" w:type="pct"/>
            <w:shd w:val="clear" w:color="auto" w:fill="CEDBE6" w:themeFill="background2"/>
            <w:vAlign w:val="center"/>
          </w:tcPr>
          <w:p w14:paraId="0B9A124A" w14:textId="0096F8BE" w:rsidR="003761C4" w:rsidRPr="00AB7D1E" w:rsidRDefault="00471E34" w:rsidP="00A44286">
            <w:pPr>
              <w:pStyle w:val="TableParagraph"/>
              <w:spacing w:before="140" w:line="273" w:lineRule="auto"/>
              <w:ind w:left="147" w:right="98" w:hanging="37"/>
              <w:jc w:val="both"/>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Pollutant</w:t>
            </w:r>
          </w:p>
        </w:tc>
        <w:tc>
          <w:tcPr>
            <w:tcW w:w="234" w:type="pct"/>
            <w:shd w:val="clear" w:color="auto" w:fill="CEDBE6" w:themeFill="background2"/>
            <w:vAlign w:val="center"/>
          </w:tcPr>
          <w:p w14:paraId="43B82233" w14:textId="6859CEA3" w:rsidR="003761C4" w:rsidRPr="00AB7D1E" w:rsidRDefault="00471E34" w:rsidP="00A44286">
            <w:pPr>
              <w:pStyle w:val="TableParagraph"/>
              <w:spacing w:line="273" w:lineRule="auto"/>
              <w:ind w:left="128" w:right="17" w:hanging="87"/>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Unit</w:t>
            </w:r>
          </w:p>
        </w:tc>
        <w:tc>
          <w:tcPr>
            <w:tcW w:w="334" w:type="pct"/>
            <w:shd w:val="clear" w:color="auto" w:fill="CEDBE6" w:themeFill="background2"/>
            <w:vAlign w:val="center"/>
          </w:tcPr>
          <w:p w14:paraId="746F3C87" w14:textId="6B781976" w:rsidR="003761C4" w:rsidRPr="00AB7D1E" w:rsidRDefault="003761C4" w:rsidP="00A44286">
            <w:pPr>
              <w:pStyle w:val="TableParagraph"/>
              <w:spacing w:before="142"/>
              <w:ind w:left="139"/>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1990</w:t>
            </w:r>
          </w:p>
        </w:tc>
        <w:tc>
          <w:tcPr>
            <w:tcW w:w="334" w:type="pct"/>
            <w:shd w:val="clear" w:color="auto" w:fill="CEDBE6" w:themeFill="background2"/>
            <w:vAlign w:val="center"/>
          </w:tcPr>
          <w:p w14:paraId="329B587F" w14:textId="7975B0F6" w:rsidR="003761C4" w:rsidRPr="00AB7D1E" w:rsidRDefault="003761C4" w:rsidP="00A44286">
            <w:pPr>
              <w:pStyle w:val="TableParagraph"/>
              <w:spacing w:before="142"/>
              <w:ind w:left="140"/>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1995</w:t>
            </w:r>
          </w:p>
        </w:tc>
        <w:tc>
          <w:tcPr>
            <w:tcW w:w="334" w:type="pct"/>
            <w:shd w:val="clear" w:color="auto" w:fill="CEDBE6" w:themeFill="background2"/>
            <w:vAlign w:val="center"/>
          </w:tcPr>
          <w:p w14:paraId="4639B0B0" w14:textId="3312B931" w:rsidR="003761C4" w:rsidRPr="00AB7D1E" w:rsidRDefault="003761C4" w:rsidP="00A44286">
            <w:pPr>
              <w:pStyle w:val="TableParagraph"/>
              <w:spacing w:before="142"/>
              <w:ind w:left="140"/>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2000</w:t>
            </w:r>
          </w:p>
        </w:tc>
        <w:tc>
          <w:tcPr>
            <w:tcW w:w="334" w:type="pct"/>
            <w:shd w:val="clear" w:color="auto" w:fill="CEDBE6" w:themeFill="background2"/>
            <w:vAlign w:val="center"/>
          </w:tcPr>
          <w:p w14:paraId="5723D18E" w14:textId="70574EF6" w:rsidR="003761C4" w:rsidRPr="00AB7D1E" w:rsidRDefault="003761C4" w:rsidP="00A44286">
            <w:pPr>
              <w:pStyle w:val="TableParagraph"/>
              <w:spacing w:before="142"/>
              <w:ind w:left="140"/>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2005</w:t>
            </w:r>
          </w:p>
        </w:tc>
        <w:tc>
          <w:tcPr>
            <w:tcW w:w="334" w:type="pct"/>
            <w:shd w:val="clear" w:color="auto" w:fill="CEDBE6" w:themeFill="background2"/>
            <w:vAlign w:val="center"/>
          </w:tcPr>
          <w:p w14:paraId="55F73930" w14:textId="607D1C1E" w:rsidR="003761C4" w:rsidRPr="00AB7D1E" w:rsidRDefault="003761C4" w:rsidP="00A44286">
            <w:pPr>
              <w:pStyle w:val="TableParagraph"/>
              <w:spacing w:before="142"/>
              <w:ind w:left="141"/>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2010</w:t>
            </w:r>
          </w:p>
        </w:tc>
        <w:tc>
          <w:tcPr>
            <w:tcW w:w="334" w:type="pct"/>
            <w:shd w:val="clear" w:color="auto" w:fill="CEDBE6" w:themeFill="background2"/>
            <w:vAlign w:val="center"/>
          </w:tcPr>
          <w:p w14:paraId="764C144C" w14:textId="3AAC8257" w:rsidR="003761C4" w:rsidRPr="00AB7D1E" w:rsidRDefault="003761C4" w:rsidP="00A44286">
            <w:pPr>
              <w:pStyle w:val="TableParagraph"/>
              <w:spacing w:before="142"/>
              <w:ind w:left="141"/>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2015</w:t>
            </w:r>
          </w:p>
        </w:tc>
        <w:tc>
          <w:tcPr>
            <w:tcW w:w="334" w:type="pct"/>
            <w:shd w:val="clear" w:color="auto" w:fill="CEDBE6" w:themeFill="background2"/>
            <w:vAlign w:val="center"/>
          </w:tcPr>
          <w:p w14:paraId="0A5946F7" w14:textId="07111C79" w:rsidR="003761C4" w:rsidRPr="00AB7D1E" w:rsidRDefault="003761C4" w:rsidP="00A44286">
            <w:pPr>
              <w:pStyle w:val="TableParagraph"/>
              <w:spacing w:before="142"/>
              <w:ind w:left="142"/>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2016</w:t>
            </w:r>
          </w:p>
        </w:tc>
        <w:tc>
          <w:tcPr>
            <w:tcW w:w="334" w:type="pct"/>
            <w:shd w:val="clear" w:color="auto" w:fill="CEDBE6" w:themeFill="background2"/>
            <w:vAlign w:val="center"/>
          </w:tcPr>
          <w:p w14:paraId="210E48AD" w14:textId="367E11C5" w:rsidR="003761C4" w:rsidRPr="00AB7D1E" w:rsidRDefault="003761C4" w:rsidP="00A44286">
            <w:pPr>
              <w:pStyle w:val="TableParagraph"/>
              <w:spacing w:before="142"/>
              <w:ind w:left="142"/>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2017</w:t>
            </w:r>
          </w:p>
        </w:tc>
        <w:tc>
          <w:tcPr>
            <w:tcW w:w="320" w:type="pct"/>
            <w:shd w:val="clear" w:color="auto" w:fill="CEDBE6" w:themeFill="background2"/>
            <w:vAlign w:val="center"/>
          </w:tcPr>
          <w:p w14:paraId="6EF19F46" w14:textId="1D7C74CE" w:rsidR="003761C4" w:rsidRPr="00AB7D1E" w:rsidRDefault="003761C4" w:rsidP="00A44286">
            <w:pPr>
              <w:pStyle w:val="TableParagraph"/>
              <w:spacing w:before="142"/>
              <w:ind w:left="142"/>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2018</w:t>
            </w:r>
          </w:p>
        </w:tc>
        <w:tc>
          <w:tcPr>
            <w:tcW w:w="440" w:type="pct"/>
            <w:shd w:val="clear" w:color="auto" w:fill="CEDBE6" w:themeFill="background2"/>
            <w:vAlign w:val="center"/>
          </w:tcPr>
          <w:p w14:paraId="0C4C1016" w14:textId="0994AA5F" w:rsidR="003761C4" w:rsidRPr="00AB7D1E" w:rsidRDefault="00471E34" w:rsidP="00471E34">
            <w:pPr>
              <w:pStyle w:val="TableParagraph"/>
              <w:spacing w:before="41" w:line="273" w:lineRule="auto"/>
              <w:ind w:left="32" w:right="19" w:firstLine="13"/>
              <w:jc w:val="center"/>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Sh</w:t>
            </w:r>
            <w:r w:rsidR="00903BE1" w:rsidRPr="00AB7D1E">
              <w:rPr>
                <w:rFonts w:asciiTheme="minorHAnsi" w:hAnsiTheme="minorHAnsi" w:cstheme="minorHAnsi"/>
                <w:b/>
                <w:bCs/>
                <w:sz w:val="15"/>
                <w:szCs w:val="15"/>
                <w:lang w:val="en-US"/>
              </w:rPr>
              <w:t>a</w:t>
            </w:r>
            <w:r w:rsidRPr="00AB7D1E">
              <w:rPr>
                <w:rFonts w:asciiTheme="minorHAnsi" w:hAnsiTheme="minorHAnsi" w:cstheme="minorHAnsi"/>
                <w:b/>
                <w:bCs/>
                <w:sz w:val="15"/>
                <w:szCs w:val="15"/>
                <w:lang w:val="en-US"/>
              </w:rPr>
              <w:t>r</w:t>
            </w:r>
            <w:r w:rsidR="00903BE1" w:rsidRPr="00AB7D1E">
              <w:rPr>
                <w:rFonts w:asciiTheme="minorHAnsi" w:hAnsiTheme="minorHAnsi" w:cstheme="minorHAnsi"/>
                <w:b/>
                <w:bCs/>
                <w:sz w:val="15"/>
                <w:szCs w:val="15"/>
                <w:lang w:val="en-US"/>
              </w:rPr>
              <w:t>e</w:t>
            </w:r>
            <w:r w:rsidRPr="00AB7D1E">
              <w:rPr>
                <w:rFonts w:asciiTheme="minorHAnsi" w:hAnsiTheme="minorHAnsi" w:cstheme="minorHAnsi"/>
                <w:b/>
                <w:bCs/>
                <w:sz w:val="15"/>
                <w:szCs w:val="15"/>
                <w:lang w:val="en-US"/>
              </w:rPr>
              <w:t xml:space="preserve"> of change in period</w:t>
            </w:r>
            <w:r w:rsidR="003761C4" w:rsidRPr="00AB7D1E">
              <w:rPr>
                <w:rFonts w:asciiTheme="minorHAnsi" w:hAnsiTheme="minorHAnsi" w:cstheme="minorHAnsi"/>
                <w:b/>
                <w:bCs/>
                <w:spacing w:val="2"/>
                <w:sz w:val="15"/>
                <w:szCs w:val="15"/>
                <w:lang w:val="en-US"/>
              </w:rPr>
              <w:t xml:space="preserve"> </w:t>
            </w:r>
            <w:r w:rsidR="003761C4" w:rsidRPr="00AB7D1E">
              <w:rPr>
                <w:rFonts w:asciiTheme="minorHAnsi" w:hAnsiTheme="minorHAnsi" w:cstheme="minorHAnsi"/>
                <w:b/>
                <w:bCs/>
                <w:spacing w:val="-6"/>
                <w:sz w:val="15"/>
                <w:szCs w:val="15"/>
                <w:lang w:val="en-US"/>
              </w:rPr>
              <w:t>1990</w:t>
            </w:r>
            <w:r w:rsidRPr="00AB7D1E">
              <w:rPr>
                <w:rFonts w:asciiTheme="minorHAnsi" w:hAnsiTheme="minorHAnsi" w:cstheme="minorHAnsi"/>
                <w:b/>
                <w:bCs/>
                <w:spacing w:val="-6"/>
                <w:sz w:val="15"/>
                <w:szCs w:val="15"/>
                <w:lang w:val="en-US"/>
              </w:rPr>
              <w:t xml:space="preserve"> - </w:t>
            </w:r>
            <w:r w:rsidR="003761C4" w:rsidRPr="00AB7D1E">
              <w:rPr>
                <w:rFonts w:asciiTheme="minorHAnsi" w:hAnsiTheme="minorHAnsi" w:cstheme="minorHAnsi"/>
                <w:b/>
                <w:bCs/>
                <w:sz w:val="15"/>
                <w:szCs w:val="15"/>
                <w:lang w:val="en-US"/>
              </w:rPr>
              <w:t>2018</w:t>
            </w:r>
          </w:p>
        </w:tc>
        <w:tc>
          <w:tcPr>
            <w:tcW w:w="454" w:type="pct"/>
            <w:shd w:val="clear" w:color="auto" w:fill="CEDBE6" w:themeFill="background2"/>
            <w:vAlign w:val="center"/>
          </w:tcPr>
          <w:p w14:paraId="0E232DD9" w14:textId="4A99CC31" w:rsidR="003761C4" w:rsidRPr="00AB7D1E" w:rsidRDefault="00471E34" w:rsidP="00471E34">
            <w:pPr>
              <w:pStyle w:val="TableParagraph"/>
              <w:spacing w:before="41" w:line="273" w:lineRule="auto"/>
              <w:ind w:left="44" w:right="32" w:firstLine="13"/>
              <w:jc w:val="center"/>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Sh</w:t>
            </w:r>
            <w:r w:rsidR="00903BE1" w:rsidRPr="00AB7D1E">
              <w:rPr>
                <w:rFonts w:asciiTheme="minorHAnsi" w:hAnsiTheme="minorHAnsi" w:cstheme="minorHAnsi"/>
                <w:b/>
                <w:bCs/>
                <w:sz w:val="15"/>
                <w:szCs w:val="15"/>
                <w:lang w:val="en-US"/>
              </w:rPr>
              <w:t>a</w:t>
            </w:r>
            <w:r w:rsidRPr="00AB7D1E">
              <w:rPr>
                <w:rFonts w:asciiTheme="minorHAnsi" w:hAnsiTheme="minorHAnsi" w:cstheme="minorHAnsi"/>
                <w:b/>
                <w:bCs/>
                <w:sz w:val="15"/>
                <w:szCs w:val="15"/>
                <w:lang w:val="en-US"/>
              </w:rPr>
              <w:t>r</w:t>
            </w:r>
            <w:r w:rsidR="00903BE1" w:rsidRPr="00AB7D1E">
              <w:rPr>
                <w:rFonts w:asciiTheme="minorHAnsi" w:hAnsiTheme="minorHAnsi" w:cstheme="minorHAnsi"/>
                <w:b/>
                <w:bCs/>
                <w:sz w:val="15"/>
                <w:szCs w:val="15"/>
                <w:lang w:val="en-US"/>
              </w:rPr>
              <w:t>e</w:t>
            </w:r>
            <w:r w:rsidRPr="00AB7D1E">
              <w:rPr>
                <w:rFonts w:asciiTheme="minorHAnsi" w:hAnsiTheme="minorHAnsi" w:cstheme="minorHAnsi"/>
                <w:b/>
                <w:bCs/>
                <w:sz w:val="15"/>
                <w:szCs w:val="15"/>
                <w:lang w:val="en-US"/>
              </w:rPr>
              <w:t xml:space="preserve"> of change in period</w:t>
            </w:r>
            <w:r w:rsidR="003761C4" w:rsidRPr="00AB7D1E">
              <w:rPr>
                <w:rFonts w:asciiTheme="minorHAnsi" w:hAnsiTheme="minorHAnsi" w:cstheme="minorHAnsi"/>
                <w:b/>
                <w:bCs/>
                <w:spacing w:val="2"/>
                <w:sz w:val="15"/>
                <w:szCs w:val="15"/>
                <w:lang w:val="en-US"/>
              </w:rPr>
              <w:t xml:space="preserve"> </w:t>
            </w:r>
            <w:r w:rsidR="003761C4" w:rsidRPr="00AB7D1E">
              <w:rPr>
                <w:rFonts w:asciiTheme="minorHAnsi" w:hAnsiTheme="minorHAnsi" w:cstheme="minorHAnsi"/>
                <w:b/>
                <w:bCs/>
                <w:spacing w:val="-6"/>
                <w:sz w:val="15"/>
                <w:szCs w:val="15"/>
                <w:lang w:val="en-US"/>
              </w:rPr>
              <w:t>2017</w:t>
            </w:r>
            <w:r w:rsidRPr="00AB7D1E">
              <w:rPr>
                <w:rFonts w:asciiTheme="minorHAnsi" w:hAnsiTheme="minorHAnsi" w:cstheme="minorHAnsi"/>
                <w:b/>
                <w:bCs/>
                <w:spacing w:val="-6"/>
                <w:sz w:val="15"/>
                <w:szCs w:val="15"/>
                <w:lang w:val="en-US"/>
              </w:rPr>
              <w:t xml:space="preserve"> - </w:t>
            </w:r>
            <w:r w:rsidR="003761C4" w:rsidRPr="00AB7D1E">
              <w:rPr>
                <w:rFonts w:asciiTheme="minorHAnsi" w:hAnsiTheme="minorHAnsi" w:cstheme="minorHAnsi"/>
                <w:b/>
                <w:bCs/>
                <w:sz w:val="15"/>
                <w:szCs w:val="15"/>
                <w:lang w:val="en-US"/>
              </w:rPr>
              <w:t>2018</w:t>
            </w:r>
          </w:p>
        </w:tc>
        <w:tc>
          <w:tcPr>
            <w:tcW w:w="490" w:type="pct"/>
            <w:shd w:val="clear" w:color="auto" w:fill="CEDBE6" w:themeFill="background2"/>
            <w:vAlign w:val="center"/>
          </w:tcPr>
          <w:p w14:paraId="573723A7" w14:textId="590C0EEB" w:rsidR="003761C4" w:rsidRPr="00AB7D1E" w:rsidRDefault="00471E34" w:rsidP="002C2604">
            <w:pPr>
              <w:pStyle w:val="TableParagraph"/>
              <w:spacing w:before="41" w:line="274" w:lineRule="auto"/>
              <w:ind w:left="28"/>
              <w:rPr>
                <w:rFonts w:asciiTheme="minorHAnsi" w:hAnsiTheme="minorHAnsi" w:cstheme="minorHAnsi"/>
                <w:b/>
                <w:bCs/>
                <w:sz w:val="15"/>
                <w:szCs w:val="15"/>
                <w:lang w:val="en-US"/>
              </w:rPr>
            </w:pPr>
            <w:r w:rsidRPr="00AB7D1E">
              <w:rPr>
                <w:rFonts w:asciiTheme="minorHAnsi" w:hAnsiTheme="minorHAnsi" w:cstheme="minorHAnsi"/>
                <w:b/>
                <w:bCs/>
                <w:sz w:val="15"/>
                <w:szCs w:val="15"/>
                <w:lang w:val="en-US"/>
              </w:rPr>
              <w:t xml:space="preserve">Emission quota in </w:t>
            </w:r>
            <w:proofErr w:type="gramStart"/>
            <w:r w:rsidRPr="00AB7D1E">
              <w:rPr>
                <w:rFonts w:asciiTheme="minorHAnsi" w:hAnsiTheme="minorHAnsi" w:cstheme="minorHAnsi"/>
                <w:b/>
                <w:bCs/>
                <w:sz w:val="15"/>
                <w:szCs w:val="15"/>
                <w:lang w:val="en-US"/>
              </w:rPr>
              <w:t xml:space="preserve">period </w:t>
            </w:r>
            <w:r w:rsidR="003761C4" w:rsidRPr="00AB7D1E">
              <w:rPr>
                <w:rFonts w:asciiTheme="minorHAnsi" w:hAnsiTheme="minorHAnsi" w:cstheme="minorHAnsi"/>
                <w:b/>
                <w:bCs/>
                <w:sz w:val="15"/>
                <w:szCs w:val="15"/>
                <w:lang w:val="en-US"/>
              </w:rPr>
              <w:t xml:space="preserve"> 2010</w:t>
            </w:r>
            <w:proofErr w:type="gramEnd"/>
            <w:r w:rsidR="003761C4" w:rsidRPr="00AB7D1E">
              <w:rPr>
                <w:rFonts w:asciiTheme="minorHAnsi" w:hAnsiTheme="minorHAnsi" w:cstheme="minorHAnsi"/>
                <w:b/>
                <w:bCs/>
                <w:sz w:val="15"/>
                <w:szCs w:val="15"/>
                <w:lang w:val="en-US"/>
              </w:rPr>
              <w:t xml:space="preserve"> </w:t>
            </w:r>
            <w:r w:rsidRPr="00AB7D1E">
              <w:rPr>
                <w:rFonts w:asciiTheme="minorHAnsi" w:hAnsiTheme="minorHAnsi" w:cstheme="minorHAnsi"/>
                <w:b/>
                <w:bCs/>
                <w:sz w:val="15"/>
                <w:szCs w:val="15"/>
                <w:lang w:val="en-US"/>
              </w:rPr>
              <w:t xml:space="preserve">- </w:t>
            </w:r>
            <w:r w:rsidR="003761C4" w:rsidRPr="00AB7D1E">
              <w:rPr>
                <w:rFonts w:asciiTheme="minorHAnsi" w:hAnsiTheme="minorHAnsi" w:cstheme="minorHAnsi"/>
                <w:b/>
                <w:bCs/>
                <w:sz w:val="15"/>
                <w:szCs w:val="15"/>
                <w:lang w:val="en-US"/>
              </w:rPr>
              <w:t>2020</w:t>
            </w:r>
          </w:p>
        </w:tc>
      </w:tr>
      <w:tr w:rsidR="003761C4" w:rsidRPr="00AB7D1E" w14:paraId="04FB659B" w14:textId="77777777" w:rsidTr="004B059E">
        <w:trPr>
          <w:trHeight w:val="20"/>
        </w:trPr>
        <w:tc>
          <w:tcPr>
            <w:tcW w:w="394" w:type="pct"/>
            <w:shd w:val="clear" w:color="auto" w:fill="D9E1F3"/>
          </w:tcPr>
          <w:p w14:paraId="64D695CA"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NOx</w:t>
            </w:r>
          </w:p>
        </w:tc>
        <w:tc>
          <w:tcPr>
            <w:tcW w:w="234" w:type="pct"/>
            <w:shd w:val="clear" w:color="auto" w:fill="D9E1F3"/>
          </w:tcPr>
          <w:p w14:paraId="173D64CA"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shd w:val="clear" w:color="auto" w:fill="D9E1F3"/>
          </w:tcPr>
          <w:p w14:paraId="29505D45"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108,2</w:t>
            </w:r>
          </w:p>
        </w:tc>
        <w:tc>
          <w:tcPr>
            <w:tcW w:w="334" w:type="pct"/>
            <w:shd w:val="clear" w:color="auto" w:fill="D9E1F3"/>
          </w:tcPr>
          <w:p w14:paraId="0B16E946"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80,2</w:t>
            </w:r>
          </w:p>
        </w:tc>
        <w:tc>
          <w:tcPr>
            <w:tcW w:w="334" w:type="pct"/>
            <w:shd w:val="clear" w:color="auto" w:fill="D9E1F3"/>
          </w:tcPr>
          <w:p w14:paraId="08FFE7A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87,0</w:t>
            </w:r>
          </w:p>
        </w:tc>
        <w:tc>
          <w:tcPr>
            <w:tcW w:w="334" w:type="pct"/>
            <w:shd w:val="clear" w:color="auto" w:fill="D9E1F3"/>
          </w:tcPr>
          <w:p w14:paraId="5C67384D"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85,7</w:t>
            </w:r>
          </w:p>
        </w:tc>
        <w:tc>
          <w:tcPr>
            <w:tcW w:w="334" w:type="pct"/>
            <w:shd w:val="clear" w:color="auto" w:fill="D9E1F3"/>
          </w:tcPr>
          <w:p w14:paraId="7EE7D01D"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69,3</w:t>
            </w:r>
          </w:p>
        </w:tc>
        <w:tc>
          <w:tcPr>
            <w:tcW w:w="334" w:type="pct"/>
            <w:shd w:val="clear" w:color="auto" w:fill="D9E1F3"/>
          </w:tcPr>
          <w:p w14:paraId="1E27E930"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55,5</w:t>
            </w:r>
          </w:p>
        </w:tc>
        <w:tc>
          <w:tcPr>
            <w:tcW w:w="334" w:type="pct"/>
            <w:shd w:val="clear" w:color="auto" w:fill="D9E1F3"/>
          </w:tcPr>
          <w:p w14:paraId="7C29ABA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54,6</w:t>
            </w:r>
          </w:p>
        </w:tc>
        <w:tc>
          <w:tcPr>
            <w:tcW w:w="334" w:type="pct"/>
            <w:shd w:val="clear" w:color="auto" w:fill="D9E1F3"/>
          </w:tcPr>
          <w:p w14:paraId="65AA2D7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54,7</w:t>
            </w:r>
          </w:p>
        </w:tc>
        <w:tc>
          <w:tcPr>
            <w:tcW w:w="320" w:type="pct"/>
            <w:shd w:val="clear" w:color="auto" w:fill="D9E1F3"/>
          </w:tcPr>
          <w:p w14:paraId="4C9FBA66"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50,5</w:t>
            </w:r>
          </w:p>
        </w:tc>
        <w:tc>
          <w:tcPr>
            <w:tcW w:w="440" w:type="pct"/>
            <w:shd w:val="clear" w:color="auto" w:fill="D9E1F3"/>
          </w:tcPr>
          <w:p w14:paraId="26BEB86B"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-53,3%</w:t>
            </w:r>
          </w:p>
        </w:tc>
        <w:tc>
          <w:tcPr>
            <w:tcW w:w="454" w:type="pct"/>
            <w:shd w:val="clear" w:color="auto" w:fill="D9E1F3"/>
          </w:tcPr>
          <w:p w14:paraId="7DB5A0C8"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-7,6%</w:t>
            </w:r>
          </w:p>
        </w:tc>
        <w:tc>
          <w:tcPr>
            <w:tcW w:w="490" w:type="pct"/>
            <w:shd w:val="clear" w:color="auto" w:fill="D9E1F3"/>
          </w:tcPr>
          <w:p w14:paraId="3BE61689" w14:textId="77777777" w:rsidR="003761C4" w:rsidRPr="00AB7D1E" w:rsidRDefault="003761C4" w:rsidP="00A44286">
            <w:pPr>
              <w:pStyle w:val="TableParagraph"/>
              <w:spacing w:before="9" w:line="165" w:lineRule="exact"/>
              <w:ind w:left="252" w:right="247"/>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87</w:t>
            </w:r>
          </w:p>
        </w:tc>
      </w:tr>
      <w:tr w:rsidR="003761C4" w:rsidRPr="00AB7D1E" w14:paraId="027343A9" w14:textId="77777777" w:rsidTr="004B059E">
        <w:trPr>
          <w:trHeight w:val="20"/>
        </w:trPr>
        <w:tc>
          <w:tcPr>
            <w:tcW w:w="394" w:type="pct"/>
          </w:tcPr>
          <w:p w14:paraId="3B75AB0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NMHOS</w:t>
            </w:r>
          </w:p>
        </w:tc>
        <w:tc>
          <w:tcPr>
            <w:tcW w:w="234" w:type="pct"/>
          </w:tcPr>
          <w:p w14:paraId="2C2DE19D"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tcPr>
          <w:p w14:paraId="773509DE"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170,8</w:t>
            </w:r>
          </w:p>
        </w:tc>
        <w:tc>
          <w:tcPr>
            <w:tcW w:w="334" w:type="pct"/>
          </w:tcPr>
          <w:p w14:paraId="48C86E9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120,1</w:t>
            </w:r>
          </w:p>
        </w:tc>
        <w:tc>
          <w:tcPr>
            <w:tcW w:w="334" w:type="pct"/>
          </w:tcPr>
          <w:p w14:paraId="4C46F10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101,2</w:t>
            </w:r>
          </w:p>
        </w:tc>
        <w:tc>
          <w:tcPr>
            <w:tcW w:w="334" w:type="pct"/>
          </w:tcPr>
          <w:p w14:paraId="58990AB5"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114,3</w:t>
            </w:r>
          </w:p>
        </w:tc>
        <w:tc>
          <w:tcPr>
            <w:tcW w:w="334" w:type="pct"/>
          </w:tcPr>
          <w:p w14:paraId="023C9CF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92,5</w:t>
            </w:r>
          </w:p>
        </w:tc>
        <w:tc>
          <w:tcPr>
            <w:tcW w:w="334" w:type="pct"/>
          </w:tcPr>
          <w:p w14:paraId="6A5DA58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71,8</w:t>
            </w:r>
          </w:p>
        </w:tc>
        <w:tc>
          <w:tcPr>
            <w:tcW w:w="334" w:type="pct"/>
          </w:tcPr>
          <w:p w14:paraId="25A5614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73,5</w:t>
            </w:r>
          </w:p>
        </w:tc>
        <w:tc>
          <w:tcPr>
            <w:tcW w:w="334" w:type="pct"/>
          </w:tcPr>
          <w:p w14:paraId="5490C039"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70,8</w:t>
            </w:r>
          </w:p>
        </w:tc>
        <w:tc>
          <w:tcPr>
            <w:tcW w:w="320" w:type="pct"/>
          </w:tcPr>
          <w:p w14:paraId="502B1AB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72,2</w:t>
            </w:r>
          </w:p>
        </w:tc>
        <w:tc>
          <w:tcPr>
            <w:tcW w:w="440" w:type="pct"/>
          </w:tcPr>
          <w:p w14:paraId="20AD517A"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-57,8%</w:t>
            </w:r>
          </w:p>
        </w:tc>
        <w:tc>
          <w:tcPr>
            <w:tcW w:w="454" w:type="pct"/>
          </w:tcPr>
          <w:p w14:paraId="341B6B1F"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2,0%</w:t>
            </w:r>
          </w:p>
        </w:tc>
        <w:tc>
          <w:tcPr>
            <w:tcW w:w="490" w:type="pct"/>
          </w:tcPr>
          <w:p w14:paraId="1AE947C6" w14:textId="77777777" w:rsidR="003761C4" w:rsidRPr="00AB7D1E" w:rsidRDefault="003761C4" w:rsidP="00A44286">
            <w:pPr>
              <w:pStyle w:val="TableParagraph"/>
              <w:spacing w:before="9" w:line="165" w:lineRule="exact"/>
              <w:ind w:left="252" w:right="247"/>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90</w:t>
            </w:r>
          </w:p>
        </w:tc>
      </w:tr>
      <w:tr w:rsidR="003761C4" w:rsidRPr="00AB7D1E" w14:paraId="5C505F13" w14:textId="77777777" w:rsidTr="004B059E">
        <w:trPr>
          <w:trHeight w:val="20"/>
        </w:trPr>
        <w:tc>
          <w:tcPr>
            <w:tcW w:w="394" w:type="pct"/>
            <w:shd w:val="clear" w:color="auto" w:fill="D9E1F3"/>
          </w:tcPr>
          <w:p w14:paraId="1AF75DDF"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SO2</w:t>
            </w:r>
          </w:p>
        </w:tc>
        <w:tc>
          <w:tcPr>
            <w:tcW w:w="234" w:type="pct"/>
            <w:shd w:val="clear" w:color="auto" w:fill="D9E1F3"/>
          </w:tcPr>
          <w:p w14:paraId="1ED905B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shd w:val="clear" w:color="auto" w:fill="D9E1F3"/>
          </w:tcPr>
          <w:p w14:paraId="06BBFAF8"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168,5</w:t>
            </w:r>
          </w:p>
        </w:tc>
        <w:tc>
          <w:tcPr>
            <w:tcW w:w="334" w:type="pct"/>
            <w:shd w:val="clear" w:color="auto" w:fill="D9E1F3"/>
          </w:tcPr>
          <w:p w14:paraId="7497C140"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77,4</w:t>
            </w:r>
          </w:p>
        </w:tc>
        <w:tc>
          <w:tcPr>
            <w:tcW w:w="334" w:type="pct"/>
            <w:shd w:val="clear" w:color="auto" w:fill="D9E1F3"/>
          </w:tcPr>
          <w:p w14:paraId="7CDDA730"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60,5</w:t>
            </w:r>
          </w:p>
        </w:tc>
        <w:tc>
          <w:tcPr>
            <w:tcW w:w="334" w:type="pct"/>
            <w:shd w:val="clear" w:color="auto" w:fill="D9E1F3"/>
          </w:tcPr>
          <w:p w14:paraId="5E63CED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58,6</w:t>
            </w:r>
          </w:p>
        </w:tc>
        <w:tc>
          <w:tcPr>
            <w:tcW w:w="334" w:type="pct"/>
            <w:shd w:val="clear" w:color="auto" w:fill="D9E1F3"/>
          </w:tcPr>
          <w:p w14:paraId="3603691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35,2</w:t>
            </w:r>
          </w:p>
        </w:tc>
        <w:tc>
          <w:tcPr>
            <w:tcW w:w="334" w:type="pct"/>
            <w:shd w:val="clear" w:color="auto" w:fill="D9E1F3"/>
          </w:tcPr>
          <w:p w14:paraId="3BE4A1A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15,8</w:t>
            </w:r>
          </w:p>
        </w:tc>
        <w:tc>
          <w:tcPr>
            <w:tcW w:w="334" w:type="pct"/>
            <w:shd w:val="clear" w:color="auto" w:fill="D9E1F3"/>
          </w:tcPr>
          <w:p w14:paraId="4D196F6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14,8</w:t>
            </w:r>
          </w:p>
        </w:tc>
        <w:tc>
          <w:tcPr>
            <w:tcW w:w="334" w:type="pct"/>
            <w:shd w:val="clear" w:color="auto" w:fill="D9E1F3"/>
          </w:tcPr>
          <w:p w14:paraId="63D2F0E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12,7</w:t>
            </w:r>
          </w:p>
        </w:tc>
        <w:tc>
          <w:tcPr>
            <w:tcW w:w="320" w:type="pct"/>
            <w:shd w:val="clear" w:color="auto" w:fill="D9E1F3"/>
          </w:tcPr>
          <w:p w14:paraId="2E70696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10,3</w:t>
            </w:r>
          </w:p>
        </w:tc>
        <w:tc>
          <w:tcPr>
            <w:tcW w:w="440" w:type="pct"/>
            <w:shd w:val="clear" w:color="auto" w:fill="D9E1F3"/>
          </w:tcPr>
          <w:p w14:paraId="2988FAC0"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-93,9%</w:t>
            </w:r>
          </w:p>
        </w:tc>
        <w:tc>
          <w:tcPr>
            <w:tcW w:w="454" w:type="pct"/>
            <w:shd w:val="clear" w:color="auto" w:fill="D9E1F3"/>
          </w:tcPr>
          <w:p w14:paraId="0708592B" w14:textId="77777777" w:rsidR="003761C4" w:rsidRPr="00AB7D1E" w:rsidRDefault="003761C4" w:rsidP="00A44286">
            <w:pPr>
              <w:pStyle w:val="TableParagraph"/>
              <w:spacing w:before="9" w:line="165" w:lineRule="exact"/>
              <w:ind w:left="204"/>
              <w:rPr>
                <w:rFonts w:asciiTheme="minorHAnsi" w:hAnsiTheme="minorHAnsi" w:cstheme="minorHAnsi"/>
                <w:sz w:val="15"/>
                <w:szCs w:val="15"/>
                <w:lang w:val="en-US"/>
              </w:rPr>
            </w:pPr>
            <w:r w:rsidRPr="00AB7D1E">
              <w:rPr>
                <w:rFonts w:asciiTheme="minorHAnsi" w:hAnsiTheme="minorHAnsi" w:cstheme="minorHAnsi"/>
                <w:sz w:val="15"/>
                <w:szCs w:val="15"/>
                <w:lang w:val="en-US"/>
              </w:rPr>
              <w:t>-18,7%</w:t>
            </w:r>
          </w:p>
        </w:tc>
        <w:tc>
          <w:tcPr>
            <w:tcW w:w="490" w:type="pct"/>
            <w:shd w:val="clear" w:color="auto" w:fill="D9E1F3"/>
          </w:tcPr>
          <w:p w14:paraId="665169AF" w14:textId="77777777" w:rsidR="003761C4" w:rsidRPr="00AB7D1E" w:rsidRDefault="003761C4" w:rsidP="00A44286">
            <w:pPr>
              <w:pStyle w:val="TableParagraph"/>
              <w:spacing w:before="9" w:line="165" w:lineRule="exact"/>
              <w:ind w:left="252" w:right="247"/>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70</w:t>
            </w:r>
          </w:p>
        </w:tc>
      </w:tr>
      <w:tr w:rsidR="003761C4" w:rsidRPr="00AB7D1E" w14:paraId="59960DD0" w14:textId="77777777" w:rsidTr="004B059E">
        <w:trPr>
          <w:trHeight w:val="20"/>
        </w:trPr>
        <w:tc>
          <w:tcPr>
            <w:tcW w:w="394" w:type="pct"/>
          </w:tcPr>
          <w:p w14:paraId="125C4973"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NH3</w:t>
            </w:r>
          </w:p>
        </w:tc>
        <w:tc>
          <w:tcPr>
            <w:tcW w:w="234" w:type="pct"/>
          </w:tcPr>
          <w:p w14:paraId="797A89AE"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tcPr>
          <w:p w14:paraId="6D00CE4C"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53,8</w:t>
            </w:r>
          </w:p>
        </w:tc>
        <w:tc>
          <w:tcPr>
            <w:tcW w:w="334" w:type="pct"/>
          </w:tcPr>
          <w:p w14:paraId="52F71DA3"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40,4</w:t>
            </w:r>
          </w:p>
        </w:tc>
        <w:tc>
          <w:tcPr>
            <w:tcW w:w="334" w:type="pct"/>
          </w:tcPr>
          <w:p w14:paraId="6D38E2EF"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41,1</w:t>
            </w:r>
          </w:p>
        </w:tc>
        <w:tc>
          <w:tcPr>
            <w:tcW w:w="334" w:type="pct"/>
          </w:tcPr>
          <w:p w14:paraId="3A66DA2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42,9</w:t>
            </w:r>
          </w:p>
        </w:tc>
        <w:tc>
          <w:tcPr>
            <w:tcW w:w="334" w:type="pct"/>
          </w:tcPr>
          <w:p w14:paraId="16CC7A7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38,7</w:t>
            </w:r>
          </w:p>
        </w:tc>
        <w:tc>
          <w:tcPr>
            <w:tcW w:w="334" w:type="pct"/>
          </w:tcPr>
          <w:p w14:paraId="3D82EEB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33,9</w:t>
            </w:r>
          </w:p>
        </w:tc>
        <w:tc>
          <w:tcPr>
            <w:tcW w:w="334" w:type="pct"/>
          </w:tcPr>
          <w:p w14:paraId="630CA0E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32,0</w:t>
            </w:r>
          </w:p>
        </w:tc>
        <w:tc>
          <w:tcPr>
            <w:tcW w:w="334" w:type="pct"/>
          </w:tcPr>
          <w:p w14:paraId="768556C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35,2</w:t>
            </w:r>
          </w:p>
        </w:tc>
        <w:tc>
          <w:tcPr>
            <w:tcW w:w="320" w:type="pct"/>
          </w:tcPr>
          <w:p w14:paraId="745F8F4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35,7</w:t>
            </w:r>
          </w:p>
        </w:tc>
        <w:tc>
          <w:tcPr>
            <w:tcW w:w="440" w:type="pct"/>
          </w:tcPr>
          <w:p w14:paraId="11084F11"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-33,7%</w:t>
            </w:r>
          </w:p>
        </w:tc>
        <w:tc>
          <w:tcPr>
            <w:tcW w:w="454" w:type="pct"/>
          </w:tcPr>
          <w:p w14:paraId="06CE028A"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1,4%</w:t>
            </w:r>
          </w:p>
        </w:tc>
        <w:tc>
          <w:tcPr>
            <w:tcW w:w="490" w:type="pct"/>
          </w:tcPr>
          <w:p w14:paraId="284426ED" w14:textId="77777777" w:rsidR="003761C4" w:rsidRPr="00AB7D1E" w:rsidRDefault="003761C4" w:rsidP="00A44286">
            <w:pPr>
              <w:pStyle w:val="TableParagraph"/>
              <w:spacing w:before="9" w:line="165" w:lineRule="exact"/>
              <w:ind w:left="252" w:right="247"/>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30</w:t>
            </w:r>
          </w:p>
        </w:tc>
      </w:tr>
      <w:tr w:rsidR="003761C4" w:rsidRPr="00AB7D1E" w14:paraId="066CAEA7" w14:textId="77777777" w:rsidTr="004B059E">
        <w:trPr>
          <w:trHeight w:val="20"/>
        </w:trPr>
        <w:tc>
          <w:tcPr>
            <w:tcW w:w="394" w:type="pct"/>
            <w:shd w:val="clear" w:color="auto" w:fill="D9E1F3"/>
          </w:tcPr>
          <w:p w14:paraId="6C9CDBD9"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PM2,5</w:t>
            </w:r>
          </w:p>
        </w:tc>
        <w:tc>
          <w:tcPr>
            <w:tcW w:w="234" w:type="pct"/>
            <w:shd w:val="clear" w:color="auto" w:fill="D9E1F3"/>
          </w:tcPr>
          <w:p w14:paraId="58AAF443"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shd w:val="clear" w:color="auto" w:fill="D9E1F3"/>
          </w:tcPr>
          <w:p w14:paraId="3169A5DA"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38,7</w:t>
            </w:r>
          </w:p>
        </w:tc>
        <w:tc>
          <w:tcPr>
            <w:tcW w:w="334" w:type="pct"/>
            <w:shd w:val="clear" w:color="auto" w:fill="D9E1F3"/>
          </w:tcPr>
          <w:p w14:paraId="3D0C6B2C"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36,2</w:t>
            </w:r>
          </w:p>
        </w:tc>
        <w:tc>
          <w:tcPr>
            <w:tcW w:w="334" w:type="pct"/>
            <w:shd w:val="clear" w:color="auto" w:fill="D9E1F3"/>
          </w:tcPr>
          <w:p w14:paraId="20783BB2"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33,9</w:t>
            </w:r>
          </w:p>
        </w:tc>
        <w:tc>
          <w:tcPr>
            <w:tcW w:w="334" w:type="pct"/>
            <w:shd w:val="clear" w:color="auto" w:fill="D9E1F3"/>
          </w:tcPr>
          <w:p w14:paraId="3F96E4C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41,8</w:t>
            </w:r>
          </w:p>
        </w:tc>
        <w:tc>
          <w:tcPr>
            <w:tcW w:w="334" w:type="pct"/>
            <w:shd w:val="clear" w:color="auto" w:fill="D9E1F3"/>
          </w:tcPr>
          <w:p w14:paraId="1AD4246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37,3</w:t>
            </w:r>
          </w:p>
        </w:tc>
        <w:tc>
          <w:tcPr>
            <w:tcW w:w="334" w:type="pct"/>
            <w:shd w:val="clear" w:color="auto" w:fill="D9E1F3"/>
          </w:tcPr>
          <w:p w14:paraId="57844E8A"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32,1</w:t>
            </w:r>
          </w:p>
        </w:tc>
        <w:tc>
          <w:tcPr>
            <w:tcW w:w="334" w:type="pct"/>
            <w:shd w:val="clear" w:color="auto" w:fill="D9E1F3"/>
          </w:tcPr>
          <w:p w14:paraId="09C5F1E8"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30,7</w:t>
            </w:r>
          </w:p>
        </w:tc>
        <w:tc>
          <w:tcPr>
            <w:tcW w:w="334" w:type="pct"/>
            <w:shd w:val="clear" w:color="auto" w:fill="D9E1F3"/>
          </w:tcPr>
          <w:p w14:paraId="09DE08B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29,6</w:t>
            </w:r>
          </w:p>
        </w:tc>
        <w:tc>
          <w:tcPr>
            <w:tcW w:w="320" w:type="pct"/>
            <w:shd w:val="clear" w:color="auto" w:fill="D9E1F3"/>
          </w:tcPr>
          <w:p w14:paraId="2601B14C"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28,7</w:t>
            </w:r>
          </w:p>
        </w:tc>
        <w:tc>
          <w:tcPr>
            <w:tcW w:w="440" w:type="pct"/>
            <w:shd w:val="clear" w:color="auto" w:fill="D9E1F3"/>
          </w:tcPr>
          <w:p w14:paraId="29FB6F67"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-25,8%</w:t>
            </w:r>
          </w:p>
        </w:tc>
        <w:tc>
          <w:tcPr>
            <w:tcW w:w="454" w:type="pct"/>
            <w:shd w:val="clear" w:color="auto" w:fill="D9E1F3"/>
          </w:tcPr>
          <w:p w14:paraId="2DED7E23"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-3,0%</w:t>
            </w:r>
          </w:p>
        </w:tc>
        <w:tc>
          <w:tcPr>
            <w:tcW w:w="490" w:type="pct"/>
            <w:shd w:val="clear" w:color="auto" w:fill="D9E1F3"/>
          </w:tcPr>
          <w:p w14:paraId="0B0CD5A4"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E3F1E76" w14:textId="77777777" w:rsidTr="004B059E">
        <w:trPr>
          <w:trHeight w:val="20"/>
        </w:trPr>
        <w:tc>
          <w:tcPr>
            <w:tcW w:w="394" w:type="pct"/>
          </w:tcPr>
          <w:p w14:paraId="1274E761"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PM10</w:t>
            </w:r>
          </w:p>
        </w:tc>
        <w:tc>
          <w:tcPr>
            <w:tcW w:w="234" w:type="pct"/>
          </w:tcPr>
          <w:p w14:paraId="29DD3C3F"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tcPr>
          <w:p w14:paraId="275D05B8"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50,8</w:t>
            </w:r>
          </w:p>
        </w:tc>
        <w:tc>
          <w:tcPr>
            <w:tcW w:w="334" w:type="pct"/>
          </w:tcPr>
          <w:p w14:paraId="36B12C9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45,3</w:t>
            </w:r>
          </w:p>
        </w:tc>
        <w:tc>
          <w:tcPr>
            <w:tcW w:w="334" w:type="pct"/>
          </w:tcPr>
          <w:p w14:paraId="4608D1B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41,9</w:t>
            </w:r>
          </w:p>
        </w:tc>
        <w:tc>
          <w:tcPr>
            <w:tcW w:w="334" w:type="pct"/>
          </w:tcPr>
          <w:p w14:paraId="5B62DF3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52,9</w:t>
            </w:r>
          </w:p>
        </w:tc>
        <w:tc>
          <w:tcPr>
            <w:tcW w:w="334" w:type="pct"/>
          </w:tcPr>
          <w:p w14:paraId="7B19B9C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46,8</w:t>
            </w:r>
          </w:p>
        </w:tc>
        <w:tc>
          <w:tcPr>
            <w:tcW w:w="334" w:type="pct"/>
          </w:tcPr>
          <w:p w14:paraId="24F9437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41,0</w:t>
            </w:r>
          </w:p>
        </w:tc>
        <w:tc>
          <w:tcPr>
            <w:tcW w:w="334" w:type="pct"/>
          </w:tcPr>
          <w:p w14:paraId="099CFD6D"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39,5</w:t>
            </w:r>
          </w:p>
        </w:tc>
        <w:tc>
          <w:tcPr>
            <w:tcW w:w="334" w:type="pct"/>
          </w:tcPr>
          <w:p w14:paraId="66B2FAFD"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38,6</w:t>
            </w:r>
          </w:p>
        </w:tc>
        <w:tc>
          <w:tcPr>
            <w:tcW w:w="320" w:type="pct"/>
          </w:tcPr>
          <w:p w14:paraId="7B53A52E"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37,8</w:t>
            </w:r>
          </w:p>
        </w:tc>
        <w:tc>
          <w:tcPr>
            <w:tcW w:w="440" w:type="pct"/>
          </w:tcPr>
          <w:p w14:paraId="52F4DDC8"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-25,6%</w:t>
            </w:r>
          </w:p>
        </w:tc>
        <w:tc>
          <w:tcPr>
            <w:tcW w:w="454" w:type="pct"/>
          </w:tcPr>
          <w:p w14:paraId="16ED161A"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-2,2%</w:t>
            </w:r>
          </w:p>
        </w:tc>
        <w:tc>
          <w:tcPr>
            <w:tcW w:w="490" w:type="pct"/>
          </w:tcPr>
          <w:p w14:paraId="2075B21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6944FBB8" w14:textId="77777777" w:rsidTr="004B059E">
        <w:trPr>
          <w:trHeight w:val="20"/>
        </w:trPr>
        <w:tc>
          <w:tcPr>
            <w:tcW w:w="394" w:type="pct"/>
            <w:shd w:val="clear" w:color="auto" w:fill="D9E1F3"/>
          </w:tcPr>
          <w:p w14:paraId="36806E7B"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TSP</w:t>
            </w:r>
          </w:p>
        </w:tc>
        <w:tc>
          <w:tcPr>
            <w:tcW w:w="234" w:type="pct"/>
            <w:shd w:val="clear" w:color="auto" w:fill="D9E1F3"/>
          </w:tcPr>
          <w:p w14:paraId="781B47D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shd w:val="clear" w:color="auto" w:fill="D9E1F3"/>
          </w:tcPr>
          <w:p w14:paraId="499EDC51"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59,8</w:t>
            </w:r>
          </w:p>
        </w:tc>
        <w:tc>
          <w:tcPr>
            <w:tcW w:w="334" w:type="pct"/>
            <w:shd w:val="clear" w:color="auto" w:fill="D9E1F3"/>
          </w:tcPr>
          <w:p w14:paraId="6E76DCAD"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53,5</w:t>
            </w:r>
          </w:p>
        </w:tc>
        <w:tc>
          <w:tcPr>
            <w:tcW w:w="334" w:type="pct"/>
            <w:shd w:val="clear" w:color="auto" w:fill="D9E1F3"/>
          </w:tcPr>
          <w:p w14:paraId="60FCBD1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52,1</w:t>
            </w:r>
          </w:p>
        </w:tc>
        <w:tc>
          <w:tcPr>
            <w:tcW w:w="334" w:type="pct"/>
            <w:shd w:val="clear" w:color="auto" w:fill="D9E1F3"/>
          </w:tcPr>
          <w:p w14:paraId="5AEF69C8"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72,3</w:t>
            </w:r>
          </w:p>
        </w:tc>
        <w:tc>
          <w:tcPr>
            <w:tcW w:w="334" w:type="pct"/>
            <w:shd w:val="clear" w:color="auto" w:fill="D9E1F3"/>
          </w:tcPr>
          <w:p w14:paraId="2DBA079B"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62,3</w:t>
            </w:r>
          </w:p>
        </w:tc>
        <w:tc>
          <w:tcPr>
            <w:tcW w:w="334" w:type="pct"/>
            <w:shd w:val="clear" w:color="auto" w:fill="D9E1F3"/>
          </w:tcPr>
          <w:p w14:paraId="54C2990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54,3</w:t>
            </w:r>
          </w:p>
        </w:tc>
        <w:tc>
          <w:tcPr>
            <w:tcW w:w="334" w:type="pct"/>
            <w:shd w:val="clear" w:color="auto" w:fill="D9E1F3"/>
          </w:tcPr>
          <w:p w14:paraId="4874911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52,3</w:t>
            </w:r>
          </w:p>
        </w:tc>
        <w:tc>
          <w:tcPr>
            <w:tcW w:w="334" w:type="pct"/>
            <w:shd w:val="clear" w:color="auto" w:fill="D9E1F3"/>
          </w:tcPr>
          <w:p w14:paraId="3AEEA4AD"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52,1</w:t>
            </w:r>
          </w:p>
        </w:tc>
        <w:tc>
          <w:tcPr>
            <w:tcW w:w="320" w:type="pct"/>
            <w:shd w:val="clear" w:color="auto" w:fill="D9E1F3"/>
          </w:tcPr>
          <w:p w14:paraId="703056B6"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51,6</w:t>
            </w:r>
          </w:p>
        </w:tc>
        <w:tc>
          <w:tcPr>
            <w:tcW w:w="440" w:type="pct"/>
            <w:shd w:val="clear" w:color="auto" w:fill="D9E1F3"/>
          </w:tcPr>
          <w:p w14:paraId="097B8A78"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-13,7%</w:t>
            </w:r>
          </w:p>
        </w:tc>
        <w:tc>
          <w:tcPr>
            <w:tcW w:w="454" w:type="pct"/>
            <w:shd w:val="clear" w:color="auto" w:fill="D9E1F3"/>
          </w:tcPr>
          <w:p w14:paraId="637BC4EE"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490" w:type="pct"/>
            <w:shd w:val="clear" w:color="auto" w:fill="D9E1F3"/>
          </w:tcPr>
          <w:p w14:paraId="1E3EC62A"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6C5E30E" w14:textId="77777777" w:rsidTr="004B059E">
        <w:trPr>
          <w:trHeight w:val="20"/>
        </w:trPr>
        <w:tc>
          <w:tcPr>
            <w:tcW w:w="394" w:type="pct"/>
          </w:tcPr>
          <w:p w14:paraId="1679A01B"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BC</w:t>
            </w:r>
          </w:p>
        </w:tc>
        <w:tc>
          <w:tcPr>
            <w:tcW w:w="234" w:type="pct"/>
          </w:tcPr>
          <w:p w14:paraId="52FFF29D"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tcPr>
          <w:p w14:paraId="400B63D3"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5,4</w:t>
            </w:r>
          </w:p>
        </w:tc>
        <w:tc>
          <w:tcPr>
            <w:tcW w:w="334" w:type="pct"/>
          </w:tcPr>
          <w:p w14:paraId="100179FC"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5,0</w:t>
            </w:r>
          </w:p>
        </w:tc>
        <w:tc>
          <w:tcPr>
            <w:tcW w:w="334" w:type="pct"/>
          </w:tcPr>
          <w:p w14:paraId="23B17457"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4,8</w:t>
            </w:r>
          </w:p>
        </w:tc>
        <w:tc>
          <w:tcPr>
            <w:tcW w:w="334" w:type="pct"/>
          </w:tcPr>
          <w:p w14:paraId="69C9057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5,8</w:t>
            </w:r>
          </w:p>
        </w:tc>
        <w:tc>
          <w:tcPr>
            <w:tcW w:w="334" w:type="pct"/>
          </w:tcPr>
          <w:p w14:paraId="5FE4B57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w:t>
            </w:r>
          </w:p>
        </w:tc>
        <w:tc>
          <w:tcPr>
            <w:tcW w:w="334" w:type="pct"/>
          </w:tcPr>
          <w:p w14:paraId="6411CE3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w:t>
            </w:r>
          </w:p>
        </w:tc>
        <w:tc>
          <w:tcPr>
            <w:tcW w:w="334" w:type="pct"/>
          </w:tcPr>
          <w:p w14:paraId="1A214B8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w:t>
            </w:r>
          </w:p>
        </w:tc>
        <w:tc>
          <w:tcPr>
            <w:tcW w:w="334" w:type="pct"/>
          </w:tcPr>
          <w:p w14:paraId="0A5C612E"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w:t>
            </w:r>
          </w:p>
        </w:tc>
        <w:tc>
          <w:tcPr>
            <w:tcW w:w="320" w:type="pct"/>
          </w:tcPr>
          <w:p w14:paraId="1508C5F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3,9</w:t>
            </w:r>
          </w:p>
        </w:tc>
        <w:tc>
          <w:tcPr>
            <w:tcW w:w="440" w:type="pct"/>
          </w:tcPr>
          <w:p w14:paraId="0C9FDE5E"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-28,2%</w:t>
            </w:r>
          </w:p>
        </w:tc>
        <w:tc>
          <w:tcPr>
            <w:tcW w:w="454" w:type="pct"/>
          </w:tcPr>
          <w:p w14:paraId="6C2267C1"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-4,1%</w:t>
            </w:r>
          </w:p>
        </w:tc>
        <w:tc>
          <w:tcPr>
            <w:tcW w:w="490" w:type="pct"/>
          </w:tcPr>
          <w:p w14:paraId="7EF34C5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68F563E0" w14:textId="77777777" w:rsidTr="004B059E">
        <w:trPr>
          <w:trHeight w:val="20"/>
        </w:trPr>
        <w:tc>
          <w:tcPr>
            <w:tcW w:w="394" w:type="pct"/>
            <w:shd w:val="clear" w:color="auto" w:fill="D9E1F3"/>
          </w:tcPr>
          <w:p w14:paraId="00A46462"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CO</w:t>
            </w:r>
          </w:p>
        </w:tc>
        <w:tc>
          <w:tcPr>
            <w:tcW w:w="234" w:type="pct"/>
            <w:shd w:val="clear" w:color="auto" w:fill="D9E1F3"/>
          </w:tcPr>
          <w:p w14:paraId="3DABC457"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proofErr w:type="spellStart"/>
            <w:r w:rsidRPr="00AB7D1E">
              <w:rPr>
                <w:rFonts w:asciiTheme="minorHAnsi" w:hAnsiTheme="minorHAnsi" w:cstheme="minorHAnsi"/>
                <w:sz w:val="15"/>
                <w:szCs w:val="15"/>
                <w:lang w:val="en-US"/>
              </w:rPr>
              <w:t>kt</w:t>
            </w:r>
            <w:proofErr w:type="spellEnd"/>
          </w:p>
        </w:tc>
        <w:tc>
          <w:tcPr>
            <w:tcW w:w="334" w:type="pct"/>
            <w:shd w:val="clear" w:color="auto" w:fill="D9E1F3"/>
          </w:tcPr>
          <w:p w14:paraId="0198150D"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554,1</w:t>
            </w:r>
          </w:p>
        </w:tc>
        <w:tc>
          <w:tcPr>
            <w:tcW w:w="334" w:type="pct"/>
            <w:shd w:val="clear" w:color="auto" w:fill="D9E1F3"/>
          </w:tcPr>
          <w:p w14:paraId="426C51B0"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444,3</w:t>
            </w:r>
          </w:p>
        </w:tc>
        <w:tc>
          <w:tcPr>
            <w:tcW w:w="334" w:type="pct"/>
            <w:shd w:val="clear" w:color="auto" w:fill="D9E1F3"/>
          </w:tcPr>
          <w:p w14:paraId="5086AF18"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453,5</w:t>
            </w:r>
          </w:p>
        </w:tc>
        <w:tc>
          <w:tcPr>
            <w:tcW w:w="334" w:type="pct"/>
            <w:shd w:val="clear" w:color="auto" w:fill="D9E1F3"/>
          </w:tcPr>
          <w:p w14:paraId="59F80F13"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416,5</w:t>
            </w:r>
          </w:p>
        </w:tc>
        <w:tc>
          <w:tcPr>
            <w:tcW w:w="334" w:type="pct"/>
            <w:shd w:val="clear" w:color="auto" w:fill="D9E1F3"/>
          </w:tcPr>
          <w:p w14:paraId="1C672033"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328,0</w:t>
            </w:r>
          </w:p>
        </w:tc>
        <w:tc>
          <w:tcPr>
            <w:tcW w:w="334" w:type="pct"/>
            <w:shd w:val="clear" w:color="auto" w:fill="D9E1F3"/>
          </w:tcPr>
          <w:p w14:paraId="3B4B054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267,5</w:t>
            </w:r>
          </w:p>
        </w:tc>
        <w:tc>
          <w:tcPr>
            <w:tcW w:w="334" w:type="pct"/>
            <w:shd w:val="clear" w:color="auto" w:fill="D9E1F3"/>
          </w:tcPr>
          <w:p w14:paraId="4815D92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258,3</w:t>
            </w:r>
          </w:p>
        </w:tc>
        <w:tc>
          <w:tcPr>
            <w:tcW w:w="334" w:type="pct"/>
            <w:shd w:val="clear" w:color="auto" w:fill="D9E1F3"/>
          </w:tcPr>
          <w:p w14:paraId="0938394F"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252,5</w:t>
            </w:r>
          </w:p>
        </w:tc>
        <w:tc>
          <w:tcPr>
            <w:tcW w:w="320" w:type="pct"/>
            <w:shd w:val="clear" w:color="auto" w:fill="D9E1F3"/>
          </w:tcPr>
          <w:p w14:paraId="4CFB4F82"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234,8</w:t>
            </w:r>
          </w:p>
        </w:tc>
        <w:tc>
          <w:tcPr>
            <w:tcW w:w="440" w:type="pct"/>
            <w:shd w:val="clear" w:color="auto" w:fill="D9E1F3"/>
          </w:tcPr>
          <w:p w14:paraId="602616D3"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-57,6%</w:t>
            </w:r>
          </w:p>
        </w:tc>
        <w:tc>
          <w:tcPr>
            <w:tcW w:w="454" w:type="pct"/>
            <w:shd w:val="clear" w:color="auto" w:fill="D9E1F3"/>
          </w:tcPr>
          <w:p w14:paraId="30468C5F"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-7,0%</w:t>
            </w:r>
          </w:p>
        </w:tc>
        <w:tc>
          <w:tcPr>
            <w:tcW w:w="490" w:type="pct"/>
            <w:shd w:val="clear" w:color="auto" w:fill="D9E1F3"/>
          </w:tcPr>
          <w:p w14:paraId="1D83EBA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165FDB36" w14:textId="77777777" w:rsidTr="004B059E">
        <w:trPr>
          <w:trHeight w:val="20"/>
        </w:trPr>
        <w:tc>
          <w:tcPr>
            <w:tcW w:w="394" w:type="pct"/>
          </w:tcPr>
          <w:p w14:paraId="29057745"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Pb</w:t>
            </w:r>
          </w:p>
        </w:tc>
        <w:tc>
          <w:tcPr>
            <w:tcW w:w="234" w:type="pct"/>
          </w:tcPr>
          <w:p w14:paraId="51BD655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69E48055"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523,4</w:t>
            </w:r>
          </w:p>
        </w:tc>
        <w:tc>
          <w:tcPr>
            <w:tcW w:w="334" w:type="pct"/>
          </w:tcPr>
          <w:p w14:paraId="7E1C27A6"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263,6</w:t>
            </w:r>
          </w:p>
        </w:tc>
        <w:tc>
          <w:tcPr>
            <w:tcW w:w="334" w:type="pct"/>
          </w:tcPr>
          <w:p w14:paraId="192A054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145,3</w:t>
            </w:r>
          </w:p>
        </w:tc>
        <w:tc>
          <w:tcPr>
            <w:tcW w:w="334" w:type="pct"/>
          </w:tcPr>
          <w:p w14:paraId="7C19B6A1"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13,7</w:t>
            </w:r>
          </w:p>
        </w:tc>
        <w:tc>
          <w:tcPr>
            <w:tcW w:w="334" w:type="pct"/>
          </w:tcPr>
          <w:p w14:paraId="01803B0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8,1</w:t>
            </w:r>
          </w:p>
        </w:tc>
        <w:tc>
          <w:tcPr>
            <w:tcW w:w="334" w:type="pct"/>
          </w:tcPr>
          <w:p w14:paraId="2F65047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7,9</w:t>
            </w:r>
          </w:p>
        </w:tc>
        <w:tc>
          <w:tcPr>
            <w:tcW w:w="334" w:type="pct"/>
          </w:tcPr>
          <w:p w14:paraId="5168EDF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8,0</w:t>
            </w:r>
          </w:p>
        </w:tc>
        <w:tc>
          <w:tcPr>
            <w:tcW w:w="334" w:type="pct"/>
          </w:tcPr>
          <w:p w14:paraId="417D4268"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8,1</w:t>
            </w:r>
          </w:p>
        </w:tc>
        <w:tc>
          <w:tcPr>
            <w:tcW w:w="320" w:type="pct"/>
          </w:tcPr>
          <w:p w14:paraId="7D6957B6"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8,4</w:t>
            </w:r>
          </w:p>
        </w:tc>
        <w:tc>
          <w:tcPr>
            <w:tcW w:w="440" w:type="pct"/>
          </w:tcPr>
          <w:p w14:paraId="4D56C958"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-98,4%</w:t>
            </w:r>
          </w:p>
        </w:tc>
        <w:tc>
          <w:tcPr>
            <w:tcW w:w="454" w:type="pct"/>
          </w:tcPr>
          <w:p w14:paraId="157701EC"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4,3%</w:t>
            </w:r>
          </w:p>
        </w:tc>
        <w:tc>
          <w:tcPr>
            <w:tcW w:w="490" w:type="pct"/>
          </w:tcPr>
          <w:p w14:paraId="1191831E"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1E752D9F" w14:textId="77777777" w:rsidTr="004B059E">
        <w:trPr>
          <w:trHeight w:val="20"/>
        </w:trPr>
        <w:tc>
          <w:tcPr>
            <w:tcW w:w="394" w:type="pct"/>
            <w:shd w:val="clear" w:color="auto" w:fill="D9E1F3"/>
          </w:tcPr>
          <w:p w14:paraId="76695AC4"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Cd</w:t>
            </w:r>
          </w:p>
        </w:tc>
        <w:tc>
          <w:tcPr>
            <w:tcW w:w="234" w:type="pct"/>
            <w:shd w:val="clear" w:color="auto" w:fill="D9E1F3"/>
          </w:tcPr>
          <w:p w14:paraId="42CBFB3A"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shd w:val="clear" w:color="auto" w:fill="D9E1F3"/>
          </w:tcPr>
          <w:p w14:paraId="2671BACF"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334" w:type="pct"/>
            <w:shd w:val="clear" w:color="auto" w:fill="D9E1F3"/>
          </w:tcPr>
          <w:p w14:paraId="74186FC3"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334" w:type="pct"/>
            <w:shd w:val="clear" w:color="auto" w:fill="D9E1F3"/>
          </w:tcPr>
          <w:p w14:paraId="68848080"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0,9</w:t>
            </w:r>
          </w:p>
        </w:tc>
        <w:tc>
          <w:tcPr>
            <w:tcW w:w="334" w:type="pct"/>
            <w:shd w:val="clear" w:color="auto" w:fill="D9E1F3"/>
          </w:tcPr>
          <w:p w14:paraId="3E42A7A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1,0</w:t>
            </w:r>
          </w:p>
        </w:tc>
        <w:tc>
          <w:tcPr>
            <w:tcW w:w="334" w:type="pct"/>
            <w:shd w:val="clear" w:color="auto" w:fill="D9E1F3"/>
          </w:tcPr>
          <w:p w14:paraId="1E26CD3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0,9</w:t>
            </w:r>
          </w:p>
        </w:tc>
        <w:tc>
          <w:tcPr>
            <w:tcW w:w="334" w:type="pct"/>
            <w:shd w:val="clear" w:color="auto" w:fill="D9E1F3"/>
          </w:tcPr>
          <w:p w14:paraId="519BBA7B"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0,9</w:t>
            </w:r>
          </w:p>
        </w:tc>
        <w:tc>
          <w:tcPr>
            <w:tcW w:w="334" w:type="pct"/>
            <w:shd w:val="clear" w:color="auto" w:fill="D9E1F3"/>
          </w:tcPr>
          <w:p w14:paraId="5E4DD20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334" w:type="pct"/>
            <w:shd w:val="clear" w:color="auto" w:fill="D9E1F3"/>
          </w:tcPr>
          <w:p w14:paraId="6A8046F7"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320" w:type="pct"/>
            <w:shd w:val="clear" w:color="auto" w:fill="D9E1F3"/>
          </w:tcPr>
          <w:p w14:paraId="562F5070"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440" w:type="pct"/>
            <w:shd w:val="clear" w:color="auto" w:fill="D9E1F3"/>
          </w:tcPr>
          <w:p w14:paraId="702DC94D"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-24,9%</w:t>
            </w:r>
          </w:p>
        </w:tc>
        <w:tc>
          <w:tcPr>
            <w:tcW w:w="454" w:type="pct"/>
            <w:shd w:val="clear" w:color="auto" w:fill="D9E1F3"/>
          </w:tcPr>
          <w:p w14:paraId="27908F67"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4,1%</w:t>
            </w:r>
          </w:p>
        </w:tc>
        <w:tc>
          <w:tcPr>
            <w:tcW w:w="490" w:type="pct"/>
            <w:shd w:val="clear" w:color="auto" w:fill="D9E1F3"/>
          </w:tcPr>
          <w:p w14:paraId="6FDA22C7"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2AC47351" w14:textId="77777777" w:rsidTr="004B059E">
        <w:trPr>
          <w:trHeight w:val="20"/>
        </w:trPr>
        <w:tc>
          <w:tcPr>
            <w:tcW w:w="394" w:type="pct"/>
          </w:tcPr>
          <w:p w14:paraId="1063F40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Hg</w:t>
            </w:r>
          </w:p>
        </w:tc>
        <w:tc>
          <w:tcPr>
            <w:tcW w:w="234" w:type="pct"/>
          </w:tcPr>
          <w:p w14:paraId="659533B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27ECD8E8"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334" w:type="pct"/>
          </w:tcPr>
          <w:p w14:paraId="4449FA52"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0,3</w:t>
            </w:r>
          </w:p>
        </w:tc>
        <w:tc>
          <w:tcPr>
            <w:tcW w:w="334" w:type="pct"/>
          </w:tcPr>
          <w:p w14:paraId="651504E9"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tcPr>
          <w:p w14:paraId="726A58C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0,6</w:t>
            </w:r>
          </w:p>
        </w:tc>
        <w:tc>
          <w:tcPr>
            <w:tcW w:w="334" w:type="pct"/>
          </w:tcPr>
          <w:p w14:paraId="74DCA6FA"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tcPr>
          <w:p w14:paraId="4FFEB92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tcPr>
          <w:p w14:paraId="7A131D5B"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tcPr>
          <w:p w14:paraId="4A5A31B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20" w:type="pct"/>
          </w:tcPr>
          <w:p w14:paraId="0132AE93"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440" w:type="pct"/>
          </w:tcPr>
          <w:p w14:paraId="105FF680"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-64,4%</w:t>
            </w:r>
          </w:p>
        </w:tc>
        <w:tc>
          <w:tcPr>
            <w:tcW w:w="454" w:type="pct"/>
          </w:tcPr>
          <w:p w14:paraId="4C804FB6"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-3,7%</w:t>
            </w:r>
          </w:p>
        </w:tc>
        <w:tc>
          <w:tcPr>
            <w:tcW w:w="490" w:type="pct"/>
          </w:tcPr>
          <w:p w14:paraId="717EDBD5"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31DD7808" w14:textId="77777777" w:rsidTr="004B059E">
        <w:trPr>
          <w:trHeight w:val="20"/>
        </w:trPr>
        <w:tc>
          <w:tcPr>
            <w:tcW w:w="394" w:type="pct"/>
            <w:shd w:val="clear" w:color="auto" w:fill="D9E1F3"/>
          </w:tcPr>
          <w:p w14:paraId="4D88A47F"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As</w:t>
            </w:r>
          </w:p>
        </w:tc>
        <w:tc>
          <w:tcPr>
            <w:tcW w:w="234" w:type="pct"/>
            <w:shd w:val="clear" w:color="auto" w:fill="D9E1F3"/>
          </w:tcPr>
          <w:p w14:paraId="0E1B6D3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shd w:val="clear" w:color="auto" w:fill="D9E1F3"/>
          </w:tcPr>
          <w:p w14:paraId="4D39789F"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8,6</w:t>
            </w:r>
          </w:p>
        </w:tc>
        <w:tc>
          <w:tcPr>
            <w:tcW w:w="334" w:type="pct"/>
            <w:shd w:val="clear" w:color="auto" w:fill="D9E1F3"/>
          </w:tcPr>
          <w:p w14:paraId="30D55AF5"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1,2</w:t>
            </w:r>
          </w:p>
        </w:tc>
        <w:tc>
          <w:tcPr>
            <w:tcW w:w="334" w:type="pct"/>
            <w:shd w:val="clear" w:color="auto" w:fill="D9E1F3"/>
          </w:tcPr>
          <w:p w14:paraId="040F31C3"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334" w:type="pct"/>
            <w:shd w:val="clear" w:color="auto" w:fill="D9E1F3"/>
          </w:tcPr>
          <w:p w14:paraId="55F4C7A0"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1,1</w:t>
            </w:r>
          </w:p>
        </w:tc>
        <w:tc>
          <w:tcPr>
            <w:tcW w:w="334" w:type="pct"/>
            <w:shd w:val="clear" w:color="auto" w:fill="D9E1F3"/>
          </w:tcPr>
          <w:p w14:paraId="2A9B3166"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334" w:type="pct"/>
            <w:shd w:val="clear" w:color="auto" w:fill="D9E1F3"/>
          </w:tcPr>
          <w:p w14:paraId="1EC2DB9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shd w:val="clear" w:color="auto" w:fill="D9E1F3"/>
          </w:tcPr>
          <w:p w14:paraId="346EF8E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204FE04F"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20" w:type="pct"/>
            <w:shd w:val="clear" w:color="auto" w:fill="D9E1F3"/>
          </w:tcPr>
          <w:p w14:paraId="335CEC20"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0,6</w:t>
            </w:r>
          </w:p>
        </w:tc>
        <w:tc>
          <w:tcPr>
            <w:tcW w:w="440" w:type="pct"/>
            <w:shd w:val="clear" w:color="auto" w:fill="D9E1F3"/>
          </w:tcPr>
          <w:p w14:paraId="0EDB4EA9"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-93,6%</w:t>
            </w:r>
          </w:p>
        </w:tc>
        <w:tc>
          <w:tcPr>
            <w:tcW w:w="454" w:type="pct"/>
            <w:shd w:val="clear" w:color="auto" w:fill="D9E1F3"/>
          </w:tcPr>
          <w:p w14:paraId="0E65645E"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6,9%</w:t>
            </w:r>
          </w:p>
        </w:tc>
        <w:tc>
          <w:tcPr>
            <w:tcW w:w="490" w:type="pct"/>
            <w:shd w:val="clear" w:color="auto" w:fill="D9E1F3"/>
          </w:tcPr>
          <w:p w14:paraId="62C81BC0"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78E64B9D" w14:textId="77777777" w:rsidTr="004B059E">
        <w:trPr>
          <w:trHeight w:val="20"/>
        </w:trPr>
        <w:tc>
          <w:tcPr>
            <w:tcW w:w="394" w:type="pct"/>
          </w:tcPr>
          <w:p w14:paraId="1852983C"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Cr</w:t>
            </w:r>
          </w:p>
        </w:tc>
        <w:tc>
          <w:tcPr>
            <w:tcW w:w="234" w:type="pct"/>
          </w:tcPr>
          <w:p w14:paraId="33A6FAA8"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27EAD61A"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5,3</w:t>
            </w:r>
          </w:p>
        </w:tc>
        <w:tc>
          <w:tcPr>
            <w:tcW w:w="334" w:type="pct"/>
          </w:tcPr>
          <w:p w14:paraId="77245977"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3,7</w:t>
            </w:r>
          </w:p>
        </w:tc>
        <w:tc>
          <w:tcPr>
            <w:tcW w:w="334" w:type="pct"/>
          </w:tcPr>
          <w:p w14:paraId="48892902"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w:t>
            </w:r>
          </w:p>
        </w:tc>
        <w:tc>
          <w:tcPr>
            <w:tcW w:w="334" w:type="pct"/>
          </w:tcPr>
          <w:p w14:paraId="50F7187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3,7</w:t>
            </w:r>
          </w:p>
        </w:tc>
        <w:tc>
          <w:tcPr>
            <w:tcW w:w="334" w:type="pct"/>
          </w:tcPr>
          <w:p w14:paraId="3271F51B"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2,6</w:t>
            </w:r>
          </w:p>
        </w:tc>
        <w:tc>
          <w:tcPr>
            <w:tcW w:w="334" w:type="pct"/>
          </w:tcPr>
          <w:p w14:paraId="58D4D3EA"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2,2</w:t>
            </w:r>
          </w:p>
        </w:tc>
        <w:tc>
          <w:tcPr>
            <w:tcW w:w="334" w:type="pct"/>
          </w:tcPr>
          <w:p w14:paraId="77D2A04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2,0</w:t>
            </w:r>
          </w:p>
        </w:tc>
        <w:tc>
          <w:tcPr>
            <w:tcW w:w="334" w:type="pct"/>
          </w:tcPr>
          <w:p w14:paraId="665CCA8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2,1</w:t>
            </w:r>
          </w:p>
        </w:tc>
        <w:tc>
          <w:tcPr>
            <w:tcW w:w="320" w:type="pct"/>
          </w:tcPr>
          <w:p w14:paraId="10D31A3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2,0</w:t>
            </w:r>
          </w:p>
        </w:tc>
        <w:tc>
          <w:tcPr>
            <w:tcW w:w="440" w:type="pct"/>
          </w:tcPr>
          <w:p w14:paraId="0DA1F3D9"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-61,8%</w:t>
            </w:r>
          </w:p>
        </w:tc>
        <w:tc>
          <w:tcPr>
            <w:tcW w:w="454" w:type="pct"/>
          </w:tcPr>
          <w:p w14:paraId="191477F8"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-5,2%</w:t>
            </w:r>
          </w:p>
        </w:tc>
        <w:tc>
          <w:tcPr>
            <w:tcW w:w="490" w:type="pct"/>
          </w:tcPr>
          <w:p w14:paraId="414B180C"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1081DF0" w14:textId="77777777" w:rsidTr="004B059E">
        <w:trPr>
          <w:trHeight w:val="20"/>
        </w:trPr>
        <w:tc>
          <w:tcPr>
            <w:tcW w:w="394" w:type="pct"/>
            <w:shd w:val="clear" w:color="auto" w:fill="D9E1F3"/>
          </w:tcPr>
          <w:p w14:paraId="35EFBC4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Cu</w:t>
            </w:r>
          </w:p>
        </w:tc>
        <w:tc>
          <w:tcPr>
            <w:tcW w:w="234" w:type="pct"/>
            <w:shd w:val="clear" w:color="auto" w:fill="D9E1F3"/>
          </w:tcPr>
          <w:p w14:paraId="4916952F"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shd w:val="clear" w:color="auto" w:fill="D9E1F3"/>
          </w:tcPr>
          <w:p w14:paraId="0265F80E"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7,5</w:t>
            </w:r>
          </w:p>
        </w:tc>
        <w:tc>
          <w:tcPr>
            <w:tcW w:w="334" w:type="pct"/>
            <w:shd w:val="clear" w:color="auto" w:fill="D9E1F3"/>
          </w:tcPr>
          <w:p w14:paraId="1CE9EB9B"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6,3</w:t>
            </w:r>
          </w:p>
        </w:tc>
        <w:tc>
          <w:tcPr>
            <w:tcW w:w="334" w:type="pct"/>
            <w:shd w:val="clear" w:color="auto" w:fill="D9E1F3"/>
          </w:tcPr>
          <w:p w14:paraId="55006DD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7,7</w:t>
            </w:r>
          </w:p>
        </w:tc>
        <w:tc>
          <w:tcPr>
            <w:tcW w:w="334" w:type="pct"/>
            <w:shd w:val="clear" w:color="auto" w:fill="D9E1F3"/>
          </w:tcPr>
          <w:p w14:paraId="0C824AAA"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9,7</w:t>
            </w:r>
          </w:p>
        </w:tc>
        <w:tc>
          <w:tcPr>
            <w:tcW w:w="334" w:type="pct"/>
            <w:shd w:val="clear" w:color="auto" w:fill="D9E1F3"/>
          </w:tcPr>
          <w:p w14:paraId="7D771DC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8,4</w:t>
            </w:r>
          </w:p>
        </w:tc>
        <w:tc>
          <w:tcPr>
            <w:tcW w:w="334" w:type="pct"/>
            <w:shd w:val="clear" w:color="auto" w:fill="D9E1F3"/>
          </w:tcPr>
          <w:p w14:paraId="5DBDE96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8,6</w:t>
            </w:r>
          </w:p>
        </w:tc>
        <w:tc>
          <w:tcPr>
            <w:tcW w:w="334" w:type="pct"/>
            <w:shd w:val="clear" w:color="auto" w:fill="D9E1F3"/>
          </w:tcPr>
          <w:p w14:paraId="59AF0DC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8,8</w:t>
            </w:r>
          </w:p>
        </w:tc>
        <w:tc>
          <w:tcPr>
            <w:tcW w:w="334" w:type="pct"/>
            <w:shd w:val="clear" w:color="auto" w:fill="D9E1F3"/>
          </w:tcPr>
          <w:p w14:paraId="2BB02F1C"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9,6</w:t>
            </w:r>
          </w:p>
        </w:tc>
        <w:tc>
          <w:tcPr>
            <w:tcW w:w="320" w:type="pct"/>
            <w:shd w:val="clear" w:color="auto" w:fill="D9E1F3"/>
          </w:tcPr>
          <w:p w14:paraId="210C184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9,5</w:t>
            </w:r>
          </w:p>
        </w:tc>
        <w:tc>
          <w:tcPr>
            <w:tcW w:w="440" w:type="pct"/>
            <w:shd w:val="clear" w:color="auto" w:fill="D9E1F3"/>
          </w:tcPr>
          <w:p w14:paraId="680BD366" w14:textId="77777777" w:rsidR="003761C4" w:rsidRPr="00AB7D1E" w:rsidRDefault="003761C4" w:rsidP="00A44286">
            <w:pPr>
              <w:pStyle w:val="TableParagraph"/>
              <w:spacing w:before="9" w:line="165" w:lineRule="exact"/>
              <w:ind w:left="158"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25,9%</w:t>
            </w:r>
          </w:p>
        </w:tc>
        <w:tc>
          <w:tcPr>
            <w:tcW w:w="454" w:type="pct"/>
            <w:shd w:val="clear" w:color="auto" w:fill="D9E1F3"/>
          </w:tcPr>
          <w:p w14:paraId="28B9E312"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-1,3%</w:t>
            </w:r>
          </w:p>
        </w:tc>
        <w:tc>
          <w:tcPr>
            <w:tcW w:w="490" w:type="pct"/>
            <w:shd w:val="clear" w:color="auto" w:fill="D9E1F3"/>
          </w:tcPr>
          <w:p w14:paraId="7E48FC68"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C82B5CD" w14:textId="77777777" w:rsidTr="004B059E">
        <w:trPr>
          <w:trHeight w:val="20"/>
        </w:trPr>
        <w:tc>
          <w:tcPr>
            <w:tcW w:w="394" w:type="pct"/>
          </w:tcPr>
          <w:p w14:paraId="3F715947"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Ni</w:t>
            </w:r>
          </w:p>
        </w:tc>
        <w:tc>
          <w:tcPr>
            <w:tcW w:w="234" w:type="pct"/>
          </w:tcPr>
          <w:p w14:paraId="7A7AD181"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54C44476"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17,0</w:t>
            </w:r>
          </w:p>
        </w:tc>
        <w:tc>
          <w:tcPr>
            <w:tcW w:w="334" w:type="pct"/>
          </w:tcPr>
          <w:p w14:paraId="088353C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13,8</w:t>
            </w:r>
          </w:p>
        </w:tc>
        <w:tc>
          <w:tcPr>
            <w:tcW w:w="334" w:type="pct"/>
          </w:tcPr>
          <w:p w14:paraId="31321598"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12,6</w:t>
            </w:r>
          </w:p>
        </w:tc>
        <w:tc>
          <w:tcPr>
            <w:tcW w:w="334" w:type="pct"/>
          </w:tcPr>
          <w:p w14:paraId="69733E4F"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13,7</w:t>
            </w:r>
          </w:p>
        </w:tc>
        <w:tc>
          <w:tcPr>
            <w:tcW w:w="334" w:type="pct"/>
          </w:tcPr>
          <w:p w14:paraId="052A519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7,7</w:t>
            </w:r>
          </w:p>
        </w:tc>
        <w:tc>
          <w:tcPr>
            <w:tcW w:w="334" w:type="pct"/>
          </w:tcPr>
          <w:p w14:paraId="4388CF1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4,5</w:t>
            </w:r>
          </w:p>
        </w:tc>
        <w:tc>
          <w:tcPr>
            <w:tcW w:w="334" w:type="pct"/>
          </w:tcPr>
          <w:p w14:paraId="727E93C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w:t>
            </w:r>
          </w:p>
        </w:tc>
        <w:tc>
          <w:tcPr>
            <w:tcW w:w="334" w:type="pct"/>
          </w:tcPr>
          <w:p w14:paraId="7CF7357E"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w:t>
            </w:r>
          </w:p>
        </w:tc>
        <w:tc>
          <w:tcPr>
            <w:tcW w:w="320" w:type="pct"/>
          </w:tcPr>
          <w:p w14:paraId="32CC0FA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3,5</w:t>
            </w:r>
          </w:p>
        </w:tc>
        <w:tc>
          <w:tcPr>
            <w:tcW w:w="440" w:type="pct"/>
          </w:tcPr>
          <w:p w14:paraId="598103EF"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-79,6%</w:t>
            </w:r>
          </w:p>
        </w:tc>
        <w:tc>
          <w:tcPr>
            <w:tcW w:w="454" w:type="pct"/>
          </w:tcPr>
          <w:p w14:paraId="4580BD3E" w14:textId="77777777" w:rsidR="003761C4" w:rsidRPr="00AB7D1E" w:rsidRDefault="003761C4" w:rsidP="00A44286">
            <w:pPr>
              <w:pStyle w:val="TableParagraph"/>
              <w:spacing w:before="9" w:line="165" w:lineRule="exact"/>
              <w:ind w:left="204"/>
              <w:rPr>
                <w:rFonts w:asciiTheme="minorHAnsi" w:hAnsiTheme="minorHAnsi" w:cstheme="minorHAnsi"/>
                <w:sz w:val="15"/>
                <w:szCs w:val="15"/>
                <w:lang w:val="en-US"/>
              </w:rPr>
            </w:pPr>
            <w:r w:rsidRPr="00AB7D1E">
              <w:rPr>
                <w:rFonts w:asciiTheme="minorHAnsi" w:hAnsiTheme="minorHAnsi" w:cstheme="minorHAnsi"/>
                <w:sz w:val="15"/>
                <w:szCs w:val="15"/>
                <w:lang w:val="en-US"/>
              </w:rPr>
              <w:t>-18,7%</w:t>
            </w:r>
          </w:p>
        </w:tc>
        <w:tc>
          <w:tcPr>
            <w:tcW w:w="490" w:type="pct"/>
          </w:tcPr>
          <w:p w14:paraId="76E8D00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7E753A75" w14:textId="77777777" w:rsidTr="004B059E">
        <w:trPr>
          <w:trHeight w:val="20"/>
        </w:trPr>
        <w:tc>
          <w:tcPr>
            <w:tcW w:w="394" w:type="pct"/>
            <w:shd w:val="clear" w:color="auto" w:fill="D9E1F3"/>
          </w:tcPr>
          <w:p w14:paraId="1D85581C"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Se</w:t>
            </w:r>
          </w:p>
        </w:tc>
        <w:tc>
          <w:tcPr>
            <w:tcW w:w="234" w:type="pct"/>
            <w:shd w:val="clear" w:color="auto" w:fill="D9E1F3"/>
          </w:tcPr>
          <w:p w14:paraId="1F91ED7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shd w:val="clear" w:color="auto" w:fill="D9E1F3"/>
          </w:tcPr>
          <w:p w14:paraId="3C4F7FB0"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50E2692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0,3</w:t>
            </w:r>
          </w:p>
        </w:tc>
        <w:tc>
          <w:tcPr>
            <w:tcW w:w="334" w:type="pct"/>
            <w:shd w:val="clear" w:color="auto" w:fill="D9E1F3"/>
          </w:tcPr>
          <w:p w14:paraId="18E85AA1"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0,3</w:t>
            </w:r>
          </w:p>
        </w:tc>
        <w:tc>
          <w:tcPr>
            <w:tcW w:w="334" w:type="pct"/>
            <w:shd w:val="clear" w:color="auto" w:fill="D9E1F3"/>
          </w:tcPr>
          <w:p w14:paraId="24E9901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2F4934F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2680EE0C"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0,3</w:t>
            </w:r>
          </w:p>
        </w:tc>
        <w:tc>
          <w:tcPr>
            <w:tcW w:w="334" w:type="pct"/>
            <w:shd w:val="clear" w:color="auto" w:fill="D9E1F3"/>
          </w:tcPr>
          <w:p w14:paraId="3B391CCC"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1912A12B"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20" w:type="pct"/>
            <w:shd w:val="clear" w:color="auto" w:fill="D9E1F3"/>
          </w:tcPr>
          <w:p w14:paraId="7ABDA70A"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440" w:type="pct"/>
            <w:shd w:val="clear" w:color="auto" w:fill="D9E1F3"/>
          </w:tcPr>
          <w:p w14:paraId="58BE2238"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-17,8%</w:t>
            </w:r>
          </w:p>
        </w:tc>
        <w:tc>
          <w:tcPr>
            <w:tcW w:w="454" w:type="pct"/>
            <w:shd w:val="clear" w:color="auto" w:fill="D9E1F3"/>
          </w:tcPr>
          <w:p w14:paraId="1133944A"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490" w:type="pct"/>
            <w:shd w:val="clear" w:color="auto" w:fill="D9E1F3"/>
          </w:tcPr>
          <w:p w14:paraId="02CC9B7A"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51D0EF5D" w14:textId="77777777" w:rsidTr="004B059E">
        <w:trPr>
          <w:trHeight w:val="20"/>
        </w:trPr>
        <w:tc>
          <w:tcPr>
            <w:tcW w:w="394" w:type="pct"/>
          </w:tcPr>
          <w:p w14:paraId="7250A1F9"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Zn</w:t>
            </w:r>
          </w:p>
        </w:tc>
        <w:tc>
          <w:tcPr>
            <w:tcW w:w="234" w:type="pct"/>
          </w:tcPr>
          <w:p w14:paraId="1A62CDF6"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5B841D9F"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36,7</w:t>
            </w:r>
          </w:p>
        </w:tc>
        <w:tc>
          <w:tcPr>
            <w:tcW w:w="334" w:type="pct"/>
          </w:tcPr>
          <w:p w14:paraId="767152FF"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30,4</w:t>
            </w:r>
          </w:p>
        </w:tc>
        <w:tc>
          <w:tcPr>
            <w:tcW w:w="334" w:type="pct"/>
          </w:tcPr>
          <w:p w14:paraId="7489F29A"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28,6</w:t>
            </w:r>
          </w:p>
        </w:tc>
        <w:tc>
          <w:tcPr>
            <w:tcW w:w="334" w:type="pct"/>
          </w:tcPr>
          <w:p w14:paraId="6B2CE26C"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34,9</w:t>
            </w:r>
          </w:p>
        </w:tc>
        <w:tc>
          <w:tcPr>
            <w:tcW w:w="334" w:type="pct"/>
          </w:tcPr>
          <w:p w14:paraId="33F7396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33,8</w:t>
            </w:r>
          </w:p>
        </w:tc>
        <w:tc>
          <w:tcPr>
            <w:tcW w:w="334" w:type="pct"/>
          </w:tcPr>
          <w:p w14:paraId="2E61FB1D"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32,3</w:t>
            </w:r>
          </w:p>
        </w:tc>
        <w:tc>
          <w:tcPr>
            <w:tcW w:w="334" w:type="pct"/>
          </w:tcPr>
          <w:p w14:paraId="7FEB411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31,2</w:t>
            </w:r>
          </w:p>
        </w:tc>
        <w:tc>
          <w:tcPr>
            <w:tcW w:w="334" w:type="pct"/>
          </w:tcPr>
          <w:p w14:paraId="7F2C8948"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31,2</w:t>
            </w:r>
          </w:p>
        </w:tc>
        <w:tc>
          <w:tcPr>
            <w:tcW w:w="320" w:type="pct"/>
          </w:tcPr>
          <w:p w14:paraId="6A9B9A72"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31,9</w:t>
            </w:r>
          </w:p>
        </w:tc>
        <w:tc>
          <w:tcPr>
            <w:tcW w:w="440" w:type="pct"/>
          </w:tcPr>
          <w:p w14:paraId="6E80FB07"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-13,2%</w:t>
            </w:r>
          </w:p>
        </w:tc>
        <w:tc>
          <w:tcPr>
            <w:tcW w:w="454" w:type="pct"/>
          </w:tcPr>
          <w:p w14:paraId="652B1FCC" w14:textId="77777777" w:rsidR="003761C4" w:rsidRPr="00AB7D1E" w:rsidRDefault="003761C4" w:rsidP="00A44286">
            <w:pPr>
              <w:pStyle w:val="TableParagraph"/>
              <w:spacing w:before="9" w:line="165" w:lineRule="exact"/>
              <w:ind w:left="266"/>
              <w:rPr>
                <w:rFonts w:asciiTheme="minorHAnsi" w:hAnsiTheme="minorHAnsi" w:cstheme="minorHAnsi"/>
                <w:sz w:val="15"/>
                <w:szCs w:val="15"/>
                <w:lang w:val="en-US"/>
              </w:rPr>
            </w:pPr>
            <w:r w:rsidRPr="00AB7D1E">
              <w:rPr>
                <w:rFonts w:asciiTheme="minorHAnsi" w:hAnsiTheme="minorHAnsi" w:cstheme="minorHAnsi"/>
                <w:sz w:val="15"/>
                <w:szCs w:val="15"/>
                <w:lang w:val="en-US"/>
              </w:rPr>
              <w:t>2,3%</w:t>
            </w:r>
          </w:p>
        </w:tc>
        <w:tc>
          <w:tcPr>
            <w:tcW w:w="490" w:type="pct"/>
          </w:tcPr>
          <w:p w14:paraId="426FB072"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36DD7E6A" w14:textId="77777777" w:rsidTr="004B059E">
        <w:trPr>
          <w:trHeight w:val="20"/>
        </w:trPr>
        <w:tc>
          <w:tcPr>
            <w:tcW w:w="394" w:type="pct"/>
            <w:shd w:val="clear" w:color="auto" w:fill="D9E1F3"/>
          </w:tcPr>
          <w:p w14:paraId="577B967B" w14:textId="77777777" w:rsidR="003761C4" w:rsidRPr="00AB7D1E" w:rsidRDefault="003761C4" w:rsidP="00A44286">
            <w:pPr>
              <w:pStyle w:val="TableParagraph"/>
              <w:spacing w:before="9"/>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PCDD/</w:t>
            </w:r>
          </w:p>
          <w:p w14:paraId="3B48C267" w14:textId="77777777" w:rsidR="003761C4" w:rsidRPr="00AB7D1E" w:rsidRDefault="003761C4" w:rsidP="00A44286">
            <w:pPr>
              <w:pStyle w:val="TableParagraph"/>
              <w:spacing w:before="25"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PCDF</w:t>
            </w:r>
          </w:p>
        </w:tc>
        <w:tc>
          <w:tcPr>
            <w:tcW w:w="234" w:type="pct"/>
            <w:shd w:val="clear" w:color="auto" w:fill="D9E1F3"/>
          </w:tcPr>
          <w:p w14:paraId="27629A1A" w14:textId="2B8AE128" w:rsidR="003761C4" w:rsidRPr="00AB7D1E" w:rsidRDefault="003761C4" w:rsidP="00DA7635">
            <w:pPr>
              <w:pStyle w:val="TableParagraph"/>
              <w:spacing w:before="9"/>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g</w:t>
            </w:r>
            <w:r w:rsidRPr="00AB7D1E">
              <w:rPr>
                <w:rFonts w:asciiTheme="minorHAnsi" w:hAnsiTheme="minorHAnsi" w:cstheme="minorHAnsi"/>
                <w:spacing w:val="3"/>
                <w:sz w:val="15"/>
                <w:szCs w:val="15"/>
                <w:lang w:val="en-US"/>
              </w:rPr>
              <w:t xml:space="preserve"> </w:t>
            </w:r>
            <w:r w:rsidRPr="00AB7D1E">
              <w:rPr>
                <w:rFonts w:asciiTheme="minorHAnsi" w:hAnsiTheme="minorHAnsi" w:cstheme="minorHAnsi"/>
                <w:spacing w:val="-3"/>
                <w:sz w:val="15"/>
                <w:szCs w:val="15"/>
                <w:lang w:val="en-US"/>
              </w:rPr>
              <w:t>I-</w:t>
            </w:r>
            <w:proofErr w:type="spellStart"/>
            <w:r w:rsidRPr="00AB7D1E">
              <w:rPr>
                <w:rFonts w:asciiTheme="minorHAnsi" w:hAnsiTheme="minorHAnsi" w:cstheme="minorHAnsi"/>
                <w:sz w:val="15"/>
                <w:szCs w:val="15"/>
                <w:lang w:val="en-US"/>
              </w:rPr>
              <w:t>Teq</w:t>
            </w:r>
            <w:proofErr w:type="spellEnd"/>
          </w:p>
        </w:tc>
        <w:tc>
          <w:tcPr>
            <w:tcW w:w="334" w:type="pct"/>
            <w:shd w:val="clear" w:color="auto" w:fill="D9E1F3"/>
          </w:tcPr>
          <w:p w14:paraId="05D5C68C" w14:textId="77777777" w:rsidR="003761C4" w:rsidRPr="00AB7D1E" w:rsidRDefault="003761C4" w:rsidP="00A44286">
            <w:pPr>
              <w:pStyle w:val="TableParagraph"/>
              <w:spacing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48,5</w:t>
            </w:r>
          </w:p>
        </w:tc>
        <w:tc>
          <w:tcPr>
            <w:tcW w:w="334" w:type="pct"/>
            <w:shd w:val="clear" w:color="auto" w:fill="D9E1F3"/>
          </w:tcPr>
          <w:p w14:paraId="17FCA33F" w14:textId="77777777" w:rsidR="003761C4" w:rsidRPr="00AB7D1E" w:rsidRDefault="003761C4" w:rsidP="00A44286">
            <w:pPr>
              <w:pStyle w:val="TableParagraph"/>
              <w:spacing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43,1</w:t>
            </w:r>
          </w:p>
        </w:tc>
        <w:tc>
          <w:tcPr>
            <w:tcW w:w="334" w:type="pct"/>
            <w:shd w:val="clear" w:color="auto" w:fill="D9E1F3"/>
          </w:tcPr>
          <w:p w14:paraId="31BDD5A2" w14:textId="77777777" w:rsidR="003761C4" w:rsidRPr="00AB7D1E" w:rsidRDefault="003761C4" w:rsidP="00A44286">
            <w:pPr>
              <w:pStyle w:val="TableParagraph"/>
              <w:spacing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41,6</w:t>
            </w:r>
          </w:p>
        </w:tc>
        <w:tc>
          <w:tcPr>
            <w:tcW w:w="334" w:type="pct"/>
            <w:shd w:val="clear" w:color="auto" w:fill="D9E1F3"/>
          </w:tcPr>
          <w:p w14:paraId="1595244F" w14:textId="77777777" w:rsidR="003761C4" w:rsidRPr="00AB7D1E" w:rsidRDefault="003761C4" w:rsidP="00A44286">
            <w:pPr>
              <w:pStyle w:val="TableParagraph"/>
              <w:spacing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49,4</w:t>
            </w:r>
          </w:p>
        </w:tc>
        <w:tc>
          <w:tcPr>
            <w:tcW w:w="334" w:type="pct"/>
            <w:shd w:val="clear" w:color="auto" w:fill="D9E1F3"/>
          </w:tcPr>
          <w:p w14:paraId="02E761D9" w14:textId="77777777" w:rsidR="003761C4" w:rsidRPr="00AB7D1E" w:rsidRDefault="003761C4" w:rsidP="00A44286">
            <w:pPr>
              <w:pStyle w:val="TableParagraph"/>
              <w:spacing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40,0</w:t>
            </w:r>
          </w:p>
        </w:tc>
        <w:tc>
          <w:tcPr>
            <w:tcW w:w="334" w:type="pct"/>
            <w:shd w:val="clear" w:color="auto" w:fill="D9E1F3"/>
          </w:tcPr>
          <w:p w14:paraId="2B715A1D" w14:textId="77777777" w:rsidR="003761C4" w:rsidRPr="00AB7D1E" w:rsidRDefault="003761C4" w:rsidP="00A44286">
            <w:pPr>
              <w:pStyle w:val="TableParagraph"/>
              <w:spacing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34,1</w:t>
            </w:r>
          </w:p>
        </w:tc>
        <w:tc>
          <w:tcPr>
            <w:tcW w:w="334" w:type="pct"/>
            <w:shd w:val="clear" w:color="auto" w:fill="D9E1F3"/>
          </w:tcPr>
          <w:p w14:paraId="6EB674DB" w14:textId="77777777" w:rsidR="003761C4" w:rsidRPr="00AB7D1E" w:rsidRDefault="003761C4" w:rsidP="00A44286">
            <w:pPr>
              <w:pStyle w:val="TableParagraph"/>
              <w:spacing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32,3</w:t>
            </w:r>
          </w:p>
        </w:tc>
        <w:tc>
          <w:tcPr>
            <w:tcW w:w="334" w:type="pct"/>
            <w:shd w:val="clear" w:color="auto" w:fill="D9E1F3"/>
          </w:tcPr>
          <w:p w14:paraId="7438B17A" w14:textId="77777777" w:rsidR="003761C4" w:rsidRPr="00AB7D1E" w:rsidRDefault="003761C4" w:rsidP="00A44286">
            <w:pPr>
              <w:pStyle w:val="TableParagraph"/>
              <w:spacing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28,7</w:t>
            </w:r>
          </w:p>
        </w:tc>
        <w:tc>
          <w:tcPr>
            <w:tcW w:w="320" w:type="pct"/>
            <w:shd w:val="clear" w:color="auto" w:fill="D9E1F3"/>
          </w:tcPr>
          <w:p w14:paraId="456F1B37" w14:textId="77777777" w:rsidR="003761C4" w:rsidRPr="00AB7D1E" w:rsidRDefault="003761C4" w:rsidP="00A44286">
            <w:pPr>
              <w:pStyle w:val="TableParagraph"/>
              <w:spacing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27,8</w:t>
            </w:r>
          </w:p>
        </w:tc>
        <w:tc>
          <w:tcPr>
            <w:tcW w:w="440" w:type="pct"/>
            <w:shd w:val="clear" w:color="auto" w:fill="D9E1F3"/>
          </w:tcPr>
          <w:p w14:paraId="44426E43" w14:textId="77777777" w:rsidR="003761C4" w:rsidRPr="00AB7D1E" w:rsidRDefault="003761C4" w:rsidP="00A44286">
            <w:pPr>
              <w:pStyle w:val="TableParagraph"/>
              <w:spacing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-42,7%</w:t>
            </w:r>
          </w:p>
        </w:tc>
        <w:tc>
          <w:tcPr>
            <w:tcW w:w="454" w:type="pct"/>
            <w:shd w:val="clear" w:color="auto" w:fill="D9E1F3"/>
          </w:tcPr>
          <w:p w14:paraId="0D364CEA" w14:textId="77777777" w:rsidR="003761C4" w:rsidRPr="00AB7D1E" w:rsidRDefault="003761C4" w:rsidP="00A44286">
            <w:pPr>
              <w:pStyle w:val="TableParagraph"/>
              <w:spacing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-3,0%</w:t>
            </w:r>
          </w:p>
        </w:tc>
        <w:tc>
          <w:tcPr>
            <w:tcW w:w="490" w:type="pct"/>
            <w:shd w:val="clear" w:color="auto" w:fill="D9E1F3"/>
          </w:tcPr>
          <w:p w14:paraId="3ADC7767" w14:textId="77777777" w:rsidR="003761C4" w:rsidRPr="00AB7D1E" w:rsidRDefault="003761C4" w:rsidP="00A44286">
            <w:pPr>
              <w:pStyle w:val="TableParagraph"/>
              <w:spacing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66DA7646" w14:textId="77777777" w:rsidTr="004B059E">
        <w:trPr>
          <w:trHeight w:val="20"/>
        </w:trPr>
        <w:tc>
          <w:tcPr>
            <w:tcW w:w="394" w:type="pct"/>
          </w:tcPr>
          <w:p w14:paraId="6A4773BC"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PAU</w:t>
            </w:r>
          </w:p>
        </w:tc>
        <w:tc>
          <w:tcPr>
            <w:tcW w:w="234" w:type="pct"/>
          </w:tcPr>
          <w:p w14:paraId="522FDB39"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t</w:t>
            </w:r>
          </w:p>
        </w:tc>
        <w:tc>
          <w:tcPr>
            <w:tcW w:w="334" w:type="pct"/>
          </w:tcPr>
          <w:p w14:paraId="10F9F114"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21,8</w:t>
            </w:r>
          </w:p>
        </w:tc>
        <w:tc>
          <w:tcPr>
            <w:tcW w:w="334" w:type="pct"/>
          </w:tcPr>
          <w:p w14:paraId="5FA237CC"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16,6</w:t>
            </w:r>
          </w:p>
        </w:tc>
        <w:tc>
          <w:tcPr>
            <w:tcW w:w="334" w:type="pct"/>
          </w:tcPr>
          <w:p w14:paraId="6D437B67"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14,9</w:t>
            </w:r>
          </w:p>
        </w:tc>
        <w:tc>
          <w:tcPr>
            <w:tcW w:w="334" w:type="pct"/>
          </w:tcPr>
          <w:p w14:paraId="50E206A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18,4</w:t>
            </w:r>
          </w:p>
        </w:tc>
        <w:tc>
          <w:tcPr>
            <w:tcW w:w="334" w:type="pct"/>
          </w:tcPr>
          <w:p w14:paraId="0A25B4E5"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17,4</w:t>
            </w:r>
          </w:p>
        </w:tc>
        <w:tc>
          <w:tcPr>
            <w:tcW w:w="334" w:type="pct"/>
          </w:tcPr>
          <w:p w14:paraId="63997D92"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15,7</w:t>
            </w:r>
          </w:p>
        </w:tc>
        <w:tc>
          <w:tcPr>
            <w:tcW w:w="334" w:type="pct"/>
          </w:tcPr>
          <w:p w14:paraId="127335B7"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15,0</w:t>
            </w:r>
          </w:p>
        </w:tc>
        <w:tc>
          <w:tcPr>
            <w:tcW w:w="334" w:type="pct"/>
          </w:tcPr>
          <w:p w14:paraId="68E061A1"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14,5</w:t>
            </w:r>
          </w:p>
        </w:tc>
        <w:tc>
          <w:tcPr>
            <w:tcW w:w="320" w:type="pct"/>
          </w:tcPr>
          <w:p w14:paraId="030E4784"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14,0</w:t>
            </w:r>
          </w:p>
        </w:tc>
        <w:tc>
          <w:tcPr>
            <w:tcW w:w="440" w:type="pct"/>
          </w:tcPr>
          <w:p w14:paraId="55DA4741"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-35,8%</w:t>
            </w:r>
          </w:p>
        </w:tc>
        <w:tc>
          <w:tcPr>
            <w:tcW w:w="454" w:type="pct"/>
          </w:tcPr>
          <w:p w14:paraId="31EC5A37"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-3,2%</w:t>
            </w:r>
          </w:p>
        </w:tc>
        <w:tc>
          <w:tcPr>
            <w:tcW w:w="490" w:type="pct"/>
          </w:tcPr>
          <w:p w14:paraId="534DB30A"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4CD4192D" w14:textId="77777777" w:rsidTr="004B059E">
        <w:trPr>
          <w:trHeight w:val="20"/>
        </w:trPr>
        <w:tc>
          <w:tcPr>
            <w:tcW w:w="394" w:type="pct"/>
            <w:shd w:val="clear" w:color="auto" w:fill="D9E1F3"/>
          </w:tcPr>
          <w:p w14:paraId="65F84DFE"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HCB</w:t>
            </w:r>
          </w:p>
        </w:tc>
        <w:tc>
          <w:tcPr>
            <w:tcW w:w="234" w:type="pct"/>
            <w:shd w:val="clear" w:color="auto" w:fill="D9E1F3"/>
          </w:tcPr>
          <w:p w14:paraId="01D4FF11"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kg</w:t>
            </w:r>
          </w:p>
        </w:tc>
        <w:tc>
          <w:tcPr>
            <w:tcW w:w="334" w:type="pct"/>
            <w:shd w:val="clear" w:color="auto" w:fill="D9E1F3"/>
          </w:tcPr>
          <w:p w14:paraId="6349D0F7"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7,09</w:t>
            </w:r>
          </w:p>
        </w:tc>
        <w:tc>
          <w:tcPr>
            <w:tcW w:w="334" w:type="pct"/>
            <w:shd w:val="clear" w:color="auto" w:fill="D9E1F3"/>
          </w:tcPr>
          <w:p w14:paraId="21E290DD"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6,4</w:t>
            </w:r>
          </w:p>
        </w:tc>
        <w:tc>
          <w:tcPr>
            <w:tcW w:w="334" w:type="pct"/>
            <w:shd w:val="clear" w:color="auto" w:fill="D9E1F3"/>
          </w:tcPr>
          <w:p w14:paraId="0BDC45CE"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2,0</w:t>
            </w:r>
          </w:p>
        </w:tc>
        <w:tc>
          <w:tcPr>
            <w:tcW w:w="334" w:type="pct"/>
            <w:shd w:val="clear" w:color="auto" w:fill="D9E1F3"/>
          </w:tcPr>
          <w:p w14:paraId="1C6EA94F"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shd w:val="clear" w:color="auto" w:fill="D9E1F3"/>
          </w:tcPr>
          <w:p w14:paraId="5C61FB63"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0,9</w:t>
            </w:r>
          </w:p>
        </w:tc>
        <w:tc>
          <w:tcPr>
            <w:tcW w:w="334" w:type="pct"/>
            <w:shd w:val="clear" w:color="auto" w:fill="D9E1F3"/>
          </w:tcPr>
          <w:p w14:paraId="35F5EDF1"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0,4</w:t>
            </w:r>
          </w:p>
        </w:tc>
        <w:tc>
          <w:tcPr>
            <w:tcW w:w="334" w:type="pct"/>
            <w:shd w:val="clear" w:color="auto" w:fill="D9E1F3"/>
          </w:tcPr>
          <w:p w14:paraId="36B5FC63"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34" w:type="pct"/>
            <w:shd w:val="clear" w:color="auto" w:fill="D9E1F3"/>
          </w:tcPr>
          <w:p w14:paraId="7EA02087"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0,5</w:t>
            </w:r>
          </w:p>
        </w:tc>
        <w:tc>
          <w:tcPr>
            <w:tcW w:w="320" w:type="pct"/>
            <w:shd w:val="clear" w:color="auto" w:fill="D9E1F3"/>
          </w:tcPr>
          <w:p w14:paraId="600CCE95"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0,6</w:t>
            </w:r>
          </w:p>
        </w:tc>
        <w:tc>
          <w:tcPr>
            <w:tcW w:w="440" w:type="pct"/>
            <w:shd w:val="clear" w:color="auto" w:fill="D9E1F3"/>
          </w:tcPr>
          <w:p w14:paraId="665E0790"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-92,0%</w:t>
            </w:r>
          </w:p>
        </w:tc>
        <w:tc>
          <w:tcPr>
            <w:tcW w:w="454" w:type="pct"/>
            <w:shd w:val="clear" w:color="auto" w:fill="D9E1F3"/>
          </w:tcPr>
          <w:p w14:paraId="40550C8F" w14:textId="77777777" w:rsidR="003761C4" w:rsidRPr="00AB7D1E" w:rsidRDefault="003761C4" w:rsidP="00A44286">
            <w:pPr>
              <w:pStyle w:val="TableParagraph"/>
              <w:spacing w:before="9" w:line="165" w:lineRule="exact"/>
              <w:ind w:left="229"/>
              <w:rPr>
                <w:rFonts w:asciiTheme="minorHAnsi" w:hAnsiTheme="minorHAnsi" w:cstheme="minorHAnsi"/>
                <w:sz w:val="15"/>
                <w:szCs w:val="15"/>
                <w:lang w:val="en-US"/>
              </w:rPr>
            </w:pPr>
            <w:r w:rsidRPr="00AB7D1E">
              <w:rPr>
                <w:rFonts w:asciiTheme="minorHAnsi" w:hAnsiTheme="minorHAnsi" w:cstheme="minorHAnsi"/>
                <w:sz w:val="15"/>
                <w:szCs w:val="15"/>
                <w:lang w:val="en-US"/>
              </w:rPr>
              <w:t>21,5%</w:t>
            </w:r>
          </w:p>
        </w:tc>
        <w:tc>
          <w:tcPr>
            <w:tcW w:w="490" w:type="pct"/>
            <w:shd w:val="clear" w:color="auto" w:fill="D9E1F3"/>
          </w:tcPr>
          <w:p w14:paraId="19CF9D59"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r w:rsidR="003761C4" w:rsidRPr="00AB7D1E" w14:paraId="1DB1DED7" w14:textId="77777777" w:rsidTr="004B059E">
        <w:trPr>
          <w:trHeight w:val="20"/>
        </w:trPr>
        <w:tc>
          <w:tcPr>
            <w:tcW w:w="394" w:type="pct"/>
          </w:tcPr>
          <w:p w14:paraId="7FD6B5E0"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PCB</w:t>
            </w:r>
          </w:p>
        </w:tc>
        <w:tc>
          <w:tcPr>
            <w:tcW w:w="234" w:type="pct"/>
          </w:tcPr>
          <w:p w14:paraId="6B0C4D1B" w14:textId="77777777" w:rsidR="003761C4" w:rsidRPr="00AB7D1E" w:rsidRDefault="003761C4" w:rsidP="00A44286">
            <w:pPr>
              <w:pStyle w:val="TableParagraph"/>
              <w:spacing w:before="9" w:line="165" w:lineRule="exact"/>
              <w:ind w:left="29"/>
              <w:rPr>
                <w:rFonts w:asciiTheme="minorHAnsi" w:hAnsiTheme="minorHAnsi" w:cstheme="minorHAnsi"/>
                <w:sz w:val="15"/>
                <w:szCs w:val="15"/>
                <w:lang w:val="en-US"/>
              </w:rPr>
            </w:pPr>
            <w:r w:rsidRPr="00AB7D1E">
              <w:rPr>
                <w:rFonts w:asciiTheme="minorHAnsi" w:hAnsiTheme="minorHAnsi" w:cstheme="minorHAnsi"/>
                <w:sz w:val="15"/>
                <w:szCs w:val="15"/>
                <w:lang w:val="en-US"/>
              </w:rPr>
              <w:t>kg</w:t>
            </w:r>
          </w:p>
        </w:tc>
        <w:tc>
          <w:tcPr>
            <w:tcW w:w="334" w:type="pct"/>
          </w:tcPr>
          <w:p w14:paraId="51F6F307" w14:textId="77777777" w:rsidR="003761C4" w:rsidRPr="00AB7D1E" w:rsidRDefault="003761C4" w:rsidP="00A44286">
            <w:pPr>
              <w:pStyle w:val="TableParagraph"/>
              <w:spacing w:before="9" w:line="165" w:lineRule="exact"/>
              <w:ind w:right="9"/>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482,8</w:t>
            </w:r>
          </w:p>
        </w:tc>
        <w:tc>
          <w:tcPr>
            <w:tcW w:w="334" w:type="pct"/>
          </w:tcPr>
          <w:p w14:paraId="09D634E1"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468,2</w:t>
            </w:r>
          </w:p>
        </w:tc>
        <w:tc>
          <w:tcPr>
            <w:tcW w:w="334" w:type="pct"/>
          </w:tcPr>
          <w:p w14:paraId="79B74D56"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441,4</w:t>
            </w:r>
          </w:p>
        </w:tc>
        <w:tc>
          <w:tcPr>
            <w:tcW w:w="334" w:type="pct"/>
          </w:tcPr>
          <w:p w14:paraId="081EE5E4" w14:textId="77777777" w:rsidR="003761C4" w:rsidRPr="00AB7D1E" w:rsidRDefault="003761C4" w:rsidP="00A44286">
            <w:pPr>
              <w:pStyle w:val="TableParagraph"/>
              <w:spacing w:before="9" w:line="165" w:lineRule="exact"/>
              <w:ind w:right="8"/>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435,7</w:t>
            </w:r>
          </w:p>
        </w:tc>
        <w:tc>
          <w:tcPr>
            <w:tcW w:w="334" w:type="pct"/>
          </w:tcPr>
          <w:p w14:paraId="246602DE"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433,7</w:t>
            </w:r>
          </w:p>
        </w:tc>
        <w:tc>
          <w:tcPr>
            <w:tcW w:w="334" w:type="pct"/>
          </w:tcPr>
          <w:p w14:paraId="7888CA79"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424,9</w:t>
            </w:r>
          </w:p>
        </w:tc>
        <w:tc>
          <w:tcPr>
            <w:tcW w:w="334" w:type="pct"/>
          </w:tcPr>
          <w:p w14:paraId="32CC7D44" w14:textId="77777777" w:rsidR="003761C4" w:rsidRPr="00AB7D1E" w:rsidRDefault="003761C4" w:rsidP="00A44286">
            <w:pPr>
              <w:pStyle w:val="TableParagraph"/>
              <w:spacing w:before="9" w:line="165" w:lineRule="exact"/>
              <w:ind w:right="7"/>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422,1</w:t>
            </w:r>
          </w:p>
        </w:tc>
        <w:tc>
          <w:tcPr>
            <w:tcW w:w="334" w:type="pct"/>
          </w:tcPr>
          <w:p w14:paraId="69EE7689"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415,3</w:t>
            </w:r>
          </w:p>
        </w:tc>
        <w:tc>
          <w:tcPr>
            <w:tcW w:w="320" w:type="pct"/>
          </w:tcPr>
          <w:p w14:paraId="7C4667FE" w14:textId="77777777" w:rsidR="003761C4" w:rsidRPr="00AB7D1E" w:rsidRDefault="003761C4" w:rsidP="00A44286">
            <w:pPr>
              <w:pStyle w:val="TableParagraph"/>
              <w:spacing w:before="9" w:line="165" w:lineRule="exact"/>
              <w:ind w:right="6"/>
              <w:jc w:val="right"/>
              <w:rPr>
                <w:rFonts w:asciiTheme="minorHAnsi" w:hAnsiTheme="minorHAnsi" w:cstheme="minorHAnsi"/>
                <w:sz w:val="15"/>
                <w:szCs w:val="15"/>
                <w:lang w:val="en-US"/>
              </w:rPr>
            </w:pPr>
            <w:r w:rsidRPr="00AB7D1E">
              <w:rPr>
                <w:rFonts w:asciiTheme="minorHAnsi" w:hAnsiTheme="minorHAnsi" w:cstheme="minorHAnsi"/>
                <w:sz w:val="15"/>
                <w:szCs w:val="15"/>
                <w:lang w:val="en-US"/>
              </w:rPr>
              <w:t>411,8</w:t>
            </w:r>
          </w:p>
        </w:tc>
        <w:tc>
          <w:tcPr>
            <w:tcW w:w="440" w:type="pct"/>
          </w:tcPr>
          <w:p w14:paraId="34106FA3" w14:textId="77777777" w:rsidR="003761C4" w:rsidRPr="00AB7D1E" w:rsidRDefault="003761C4" w:rsidP="00A44286">
            <w:pPr>
              <w:pStyle w:val="TableParagraph"/>
              <w:spacing w:before="9" w:line="165" w:lineRule="exact"/>
              <w:ind w:left="159" w:right="131"/>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-14,7%</w:t>
            </w:r>
          </w:p>
        </w:tc>
        <w:tc>
          <w:tcPr>
            <w:tcW w:w="454" w:type="pct"/>
          </w:tcPr>
          <w:p w14:paraId="75979D7F" w14:textId="77777777" w:rsidR="003761C4" w:rsidRPr="00AB7D1E" w:rsidRDefault="003761C4" w:rsidP="00A44286">
            <w:pPr>
              <w:pStyle w:val="TableParagraph"/>
              <w:spacing w:before="9" w:line="165" w:lineRule="exact"/>
              <w:ind w:left="241"/>
              <w:rPr>
                <w:rFonts w:asciiTheme="minorHAnsi" w:hAnsiTheme="minorHAnsi" w:cstheme="minorHAnsi"/>
                <w:sz w:val="15"/>
                <w:szCs w:val="15"/>
                <w:lang w:val="en-US"/>
              </w:rPr>
            </w:pPr>
            <w:r w:rsidRPr="00AB7D1E">
              <w:rPr>
                <w:rFonts w:asciiTheme="minorHAnsi" w:hAnsiTheme="minorHAnsi" w:cstheme="minorHAnsi"/>
                <w:sz w:val="15"/>
                <w:szCs w:val="15"/>
                <w:lang w:val="en-US"/>
              </w:rPr>
              <w:t>-0,8%</w:t>
            </w:r>
          </w:p>
        </w:tc>
        <w:tc>
          <w:tcPr>
            <w:tcW w:w="490" w:type="pct"/>
          </w:tcPr>
          <w:p w14:paraId="548216CF" w14:textId="77777777" w:rsidR="003761C4" w:rsidRPr="00AB7D1E" w:rsidRDefault="003761C4" w:rsidP="00A44286">
            <w:pPr>
              <w:pStyle w:val="TableParagraph"/>
              <w:spacing w:before="9" w:line="165" w:lineRule="exact"/>
              <w:ind w:left="9"/>
              <w:jc w:val="center"/>
              <w:rPr>
                <w:rFonts w:asciiTheme="minorHAnsi" w:hAnsiTheme="minorHAnsi" w:cstheme="minorHAnsi"/>
                <w:sz w:val="15"/>
                <w:szCs w:val="15"/>
                <w:lang w:val="en-US"/>
              </w:rPr>
            </w:pPr>
            <w:r w:rsidRPr="00AB7D1E">
              <w:rPr>
                <w:rFonts w:asciiTheme="minorHAnsi" w:hAnsiTheme="minorHAnsi" w:cstheme="minorHAnsi"/>
                <w:sz w:val="15"/>
                <w:szCs w:val="15"/>
                <w:lang w:val="en-US"/>
              </w:rPr>
              <w:t>-</w:t>
            </w:r>
          </w:p>
        </w:tc>
      </w:tr>
    </w:tbl>
    <w:p w14:paraId="2BE2DAEB" w14:textId="471D37C4" w:rsidR="00903BE1" w:rsidRPr="00AB7D1E" w:rsidRDefault="00903BE1" w:rsidP="004B059E">
      <w:pPr>
        <w:spacing w:before="0" w:after="0"/>
        <w:ind w:left="7785" w:hanging="3391"/>
        <w:jc w:val="right"/>
        <w:rPr>
          <w:sz w:val="18"/>
          <w:szCs w:val="18"/>
          <w:lang w:val="en-US"/>
        </w:rPr>
      </w:pPr>
      <w:r w:rsidRPr="00AB7D1E">
        <w:rPr>
          <w:i/>
          <w:iCs/>
          <w:color w:val="373545" w:themeColor="text2"/>
          <w:sz w:val="18"/>
          <w:szCs w:val="18"/>
          <w:lang w:val="en-US"/>
        </w:rPr>
        <w:t xml:space="preserve">Source: </w:t>
      </w:r>
      <w:proofErr w:type="spellStart"/>
      <w:r w:rsidR="00704D50" w:rsidRPr="00AB7D1E">
        <w:rPr>
          <w:i/>
          <w:iCs/>
          <w:color w:val="373545" w:themeColor="text2"/>
          <w:sz w:val="18"/>
          <w:szCs w:val="18"/>
          <w:lang w:val="en-US"/>
        </w:rPr>
        <w:t>MoESD</w:t>
      </w:r>
      <w:proofErr w:type="spellEnd"/>
      <w:r w:rsidR="00E40555" w:rsidRPr="00AB7D1E">
        <w:rPr>
          <w:rStyle w:val="FootnoteReference"/>
          <w:sz w:val="18"/>
          <w:szCs w:val="18"/>
          <w:lang w:val="en-US"/>
        </w:rPr>
        <w:footnoteReference w:id="17"/>
      </w:r>
    </w:p>
    <w:p w14:paraId="7CB72FD1" w14:textId="2AA88815" w:rsidR="00A70D64" w:rsidRPr="00AB7D1E" w:rsidRDefault="00A70D64" w:rsidP="00A70D64">
      <w:pPr>
        <w:rPr>
          <w:lang w:val="en-US"/>
        </w:rPr>
      </w:pPr>
      <w:r w:rsidRPr="00AB7D1E">
        <w:rPr>
          <w:lang w:val="en-US"/>
        </w:rPr>
        <w:lastRenderedPageBreak/>
        <w:t xml:space="preserve">The main source of air pollution in the Republic of Croatia is the </w:t>
      </w:r>
      <w:r w:rsidR="00A622F8" w:rsidRPr="00AB7D1E">
        <w:rPr>
          <w:lang w:val="en-US"/>
        </w:rPr>
        <w:t>e</w:t>
      </w:r>
      <w:r w:rsidRPr="00AB7D1E">
        <w:rPr>
          <w:lang w:val="en-US"/>
        </w:rPr>
        <w:t>nergy sector (fuel combustion and fugitive emissions).</w:t>
      </w:r>
    </w:p>
    <w:p w14:paraId="2B36A45A" w14:textId="0B51D298" w:rsidR="00A70D64" w:rsidRPr="00AB7D1E" w:rsidRDefault="00A70D64" w:rsidP="00A70D64">
      <w:pPr>
        <w:rPr>
          <w:lang w:val="en-US"/>
        </w:rPr>
      </w:pPr>
      <w:r w:rsidRPr="00AB7D1E">
        <w:rPr>
          <w:lang w:val="en-US"/>
        </w:rPr>
        <w:t>Of the total SO2 emissions in 2018, 98</w:t>
      </w:r>
      <w:r w:rsidR="007C5DB7" w:rsidRPr="00AB7D1E">
        <w:rPr>
          <w:lang w:val="en-US"/>
        </w:rPr>
        <w:t>,</w:t>
      </w:r>
      <w:r w:rsidRPr="00AB7D1E">
        <w:rPr>
          <w:lang w:val="en-US"/>
        </w:rPr>
        <w:t>7% come from the energy sector; 25</w:t>
      </w:r>
      <w:r w:rsidR="007C5DB7" w:rsidRPr="00AB7D1E">
        <w:rPr>
          <w:lang w:val="en-US"/>
        </w:rPr>
        <w:t>,</w:t>
      </w:r>
      <w:r w:rsidRPr="00AB7D1E">
        <w:rPr>
          <w:lang w:val="en-US"/>
        </w:rPr>
        <w:t>9% from electricity and heat production, 21</w:t>
      </w:r>
      <w:r w:rsidR="007C5DB7" w:rsidRPr="00AB7D1E">
        <w:rPr>
          <w:lang w:val="en-US"/>
        </w:rPr>
        <w:t>,</w:t>
      </w:r>
      <w:r w:rsidRPr="00AB7D1E">
        <w:rPr>
          <w:lang w:val="en-US"/>
        </w:rPr>
        <w:t>2% from fuel combustion in industry and construction, 42</w:t>
      </w:r>
      <w:r w:rsidR="007C5DB7" w:rsidRPr="00AB7D1E">
        <w:rPr>
          <w:lang w:val="en-US"/>
        </w:rPr>
        <w:t>,</w:t>
      </w:r>
      <w:r w:rsidRPr="00AB7D1E">
        <w:rPr>
          <w:lang w:val="en-US"/>
        </w:rPr>
        <w:t>7% from fugitive emissions - activities in the Refining / storage sector and 8</w:t>
      </w:r>
      <w:r w:rsidR="007C5DB7" w:rsidRPr="00AB7D1E">
        <w:rPr>
          <w:lang w:val="en-US"/>
        </w:rPr>
        <w:t>,</w:t>
      </w:r>
      <w:r w:rsidRPr="00AB7D1E">
        <w:rPr>
          <w:lang w:val="en-US"/>
        </w:rPr>
        <w:t>5% from small combustion plants (fixed and mobile sources). NOx emissions from the energy sector in 2018 amounted to 84</w:t>
      </w:r>
      <w:r w:rsidR="007C5DB7" w:rsidRPr="00AB7D1E">
        <w:rPr>
          <w:lang w:val="en-US"/>
        </w:rPr>
        <w:t>,</w:t>
      </w:r>
      <w:r w:rsidRPr="00AB7D1E">
        <w:rPr>
          <w:lang w:val="en-US"/>
        </w:rPr>
        <w:t>7% of total national NOx emissions</w:t>
      </w:r>
      <w:r w:rsidR="007C5DB7" w:rsidRPr="00AB7D1E">
        <w:rPr>
          <w:lang w:val="en-US"/>
        </w:rPr>
        <w:t>.</w:t>
      </w:r>
      <w:r w:rsidRPr="00AB7D1E">
        <w:rPr>
          <w:lang w:val="en-US"/>
        </w:rPr>
        <w:t xml:space="preserve"> The Energy sector contributes with 99</w:t>
      </w:r>
      <w:r w:rsidR="007C5DB7" w:rsidRPr="00AB7D1E">
        <w:rPr>
          <w:lang w:val="en-US"/>
        </w:rPr>
        <w:t>,</w:t>
      </w:r>
      <w:r w:rsidRPr="00AB7D1E">
        <w:rPr>
          <w:lang w:val="en-US"/>
        </w:rPr>
        <w:t>6% to the total CO emissions in 2018, of which 73% comes from the combustion of fuel in small combustion plants (dominated by households), 12</w:t>
      </w:r>
      <w:r w:rsidR="007C5DB7" w:rsidRPr="00AB7D1E">
        <w:rPr>
          <w:lang w:val="en-US"/>
        </w:rPr>
        <w:t>,</w:t>
      </w:r>
      <w:r w:rsidRPr="00AB7D1E">
        <w:rPr>
          <w:lang w:val="en-US"/>
        </w:rPr>
        <w:t>9% from transport (dominated by road transport), 9</w:t>
      </w:r>
      <w:r w:rsidR="007C5DB7" w:rsidRPr="00AB7D1E">
        <w:rPr>
          <w:lang w:val="en-US"/>
        </w:rPr>
        <w:t>,</w:t>
      </w:r>
      <w:r w:rsidRPr="00AB7D1E">
        <w:rPr>
          <w:lang w:val="en-US"/>
        </w:rPr>
        <w:t>5% from refining / storage, and 3</w:t>
      </w:r>
      <w:r w:rsidR="007C5DB7" w:rsidRPr="00AB7D1E">
        <w:rPr>
          <w:lang w:val="en-US"/>
        </w:rPr>
        <w:t>,</w:t>
      </w:r>
      <w:r w:rsidRPr="00AB7D1E">
        <w:rPr>
          <w:lang w:val="en-US"/>
        </w:rPr>
        <w:t>7% from fuel combustion in industry and construction.</w:t>
      </w:r>
    </w:p>
    <w:p w14:paraId="0136D413" w14:textId="5E43A0F7" w:rsidR="009E67BD" w:rsidRPr="00AB7D1E" w:rsidRDefault="00A335CD" w:rsidP="009E67BD">
      <w:pPr>
        <w:rPr>
          <w:lang w:val="en-US"/>
        </w:rPr>
      </w:pPr>
      <w:r w:rsidRPr="00AB7D1E">
        <w:rPr>
          <w:lang w:val="en-US"/>
        </w:rPr>
        <w:t>T</w:t>
      </w:r>
      <w:r w:rsidR="009E67BD" w:rsidRPr="00AB7D1E">
        <w:rPr>
          <w:lang w:val="en-US"/>
        </w:rPr>
        <w:t>he sectors</w:t>
      </w:r>
      <w:r w:rsidRPr="00AB7D1E">
        <w:rPr>
          <w:lang w:val="en-US"/>
        </w:rPr>
        <w:t>:</w:t>
      </w:r>
      <w:r w:rsidR="009E67BD" w:rsidRPr="00AB7D1E">
        <w:rPr>
          <w:lang w:val="en-US"/>
        </w:rPr>
        <w:t xml:space="preserve"> </w:t>
      </w:r>
      <w:r w:rsidRPr="00AB7D1E">
        <w:rPr>
          <w:lang w:val="en-US"/>
        </w:rPr>
        <w:t>p</w:t>
      </w:r>
      <w:r w:rsidR="009E67BD" w:rsidRPr="00AB7D1E">
        <w:rPr>
          <w:lang w:val="en-US"/>
        </w:rPr>
        <w:t xml:space="preserve">roduction processes and product use, </w:t>
      </w:r>
      <w:r w:rsidRPr="00AB7D1E">
        <w:rPr>
          <w:lang w:val="en-US"/>
        </w:rPr>
        <w:t>s</w:t>
      </w:r>
      <w:r w:rsidR="009E67BD" w:rsidRPr="00AB7D1E">
        <w:rPr>
          <w:lang w:val="en-US"/>
        </w:rPr>
        <w:t xml:space="preserve">mall combustion plants and work vehicles, </w:t>
      </w:r>
      <w:r w:rsidRPr="00AB7D1E">
        <w:rPr>
          <w:lang w:val="en-US"/>
        </w:rPr>
        <w:t>a</w:t>
      </w:r>
      <w:r w:rsidR="009E67BD" w:rsidRPr="00AB7D1E">
        <w:rPr>
          <w:lang w:val="en-US"/>
        </w:rPr>
        <w:t xml:space="preserve">griculture, </w:t>
      </w:r>
      <w:r w:rsidRPr="00AB7D1E">
        <w:rPr>
          <w:lang w:val="en-US"/>
        </w:rPr>
        <w:t>t</w:t>
      </w:r>
      <w:r w:rsidR="009E67BD" w:rsidRPr="00AB7D1E">
        <w:rPr>
          <w:lang w:val="en-US"/>
        </w:rPr>
        <w:t xml:space="preserve">ransport and </w:t>
      </w:r>
      <w:r w:rsidRPr="00AB7D1E">
        <w:rPr>
          <w:lang w:val="en-US"/>
        </w:rPr>
        <w:t>r</w:t>
      </w:r>
      <w:r w:rsidR="009E67BD" w:rsidRPr="00AB7D1E">
        <w:rPr>
          <w:lang w:val="en-US"/>
        </w:rPr>
        <w:t>efineries</w:t>
      </w:r>
      <w:r w:rsidRPr="00AB7D1E">
        <w:rPr>
          <w:lang w:val="en-US"/>
        </w:rPr>
        <w:t>,</w:t>
      </w:r>
      <w:r w:rsidR="009E67BD" w:rsidRPr="00AB7D1E">
        <w:rPr>
          <w:lang w:val="en-US"/>
        </w:rPr>
        <w:t xml:space="preserve"> are dominant </w:t>
      </w:r>
      <w:r w:rsidRPr="00AB7D1E">
        <w:rPr>
          <w:lang w:val="en-US"/>
        </w:rPr>
        <w:t>regarding</w:t>
      </w:r>
      <w:r w:rsidR="009E67BD" w:rsidRPr="00AB7D1E">
        <w:rPr>
          <w:lang w:val="en-US"/>
        </w:rPr>
        <w:t xml:space="preserve"> NMVOC emissions, and in 2018 these sectors contribute to the total NMVOC emissions with the following: 41</w:t>
      </w:r>
      <w:r w:rsidR="007C5DB7" w:rsidRPr="00AB7D1E">
        <w:rPr>
          <w:lang w:val="en-US"/>
        </w:rPr>
        <w:t>,</w:t>
      </w:r>
      <w:r w:rsidR="009E67BD" w:rsidRPr="00AB7D1E">
        <w:rPr>
          <w:lang w:val="en-US"/>
        </w:rPr>
        <w:t>5%, 28</w:t>
      </w:r>
      <w:r w:rsidR="007C5DB7" w:rsidRPr="00AB7D1E">
        <w:rPr>
          <w:lang w:val="en-US"/>
        </w:rPr>
        <w:t>,</w:t>
      </w:r>
      <w:r w:rsidR="009E67BD" w:rsidRPr="00AB7D1E">
        <w:rPr>
          <w:lang w:val="en-US"/>
        </w:rPr>
        <w:t>6 %, 12</w:t>
      </w:r>
      <w:r w:rsidR="007C5DB7" w:rsidRPr="00AB7D1E">
        <w:rPr>
          <w:lang w:val="en-US"/>
        </w:rPr>
        <w:t>,</w:t>
      </w:r>
      <w:r w:rsidR="009E67BD" w:rsidRPr="00AB7D1E">
        <w:rPr>
          <w:lang w:val="en-US"/>
        </w:rPr>
        <w:t>5%, 8</w:t>
      </w:r>
      <w:r w:rsidR="007C5DB7" w:rsidRPr="00AB7D1E">
        <w:rPr>
          <w:lang w:val="en-US"/>
        </w:rPr>
        <w:t>,</w:t>
      </w:r>
      <w:r w:rsidR="009E67BD" w:rsidRPr="00AB7D1E">
        <w:rPr>
          <w:lang w:val="en-US"/>
        </w:rPr>
        <w:t>4% and 5</w:t>
      </w:r>
      <w:r w:rsidR="007C5DB7" w:rsidRPr="00AB7D1E">
        <w:rPr>
          <w:lang w:val="en-US"/>
        </w:rPr>
        <w:t>,</w:t>
      </w:r>
      <w:r w:rsidR="009E67BD" w:rsidRPr="00AB7D1E">
        <w:rPr>
          <w:lang w:val="en-US"/>
        </w:rPr>
        <w:t>1%.</w:t>
      </w:r>
      <w:r w:rsidR="00857FD4" w:rsidRPr="00AB7D1E">
        <w:rPr>
          <w:rStyle w:val="FootnoteReference"/>
          <w:lang w:val="en-US"/>
        </w:rPr>
        <w:footnoteReference w:id="18"/>
      </w:r>
    </w:p>
    <w:p w14:paraId="2F727C86" w14:textId="37402DEE" w:rsidR="009E67BD" w:rsidRPr="00AB7D1E" w:rsidRDefault="009E67BD" w:rsidP="009E67BD">
      <w:pPr>
        <w:rPr>
          <w:lang w:val="en-US"/>
        </w:rPr>
      </w:pPr>
      <w:r w:rsidRPr="00AB7D1E">
        <w:rPr>
          <w:lang w:val="en-US"/>
        </w:rPr>
        <w:t>A total of 81</w:t>
      </w:r>
      <w:r w:rsidR="007C5DB7" w:rsidRPr="00AB7D1E">
        <w:rPr>
          <w:lang w:val="en-US"/>
        </w:rPr>
        <w:t>,</w:t>
      </w:r>
      <w:r w:rsidRPr="00AB7D1E">
        <w:rPr>
          <w:lang w:val="en-US"/>
        </w:rPr>
        <w:t>5% of NH3 emissions in Croatia in 2018 come from the Agriculture sector, in which the category Manure management contributes with 28</w:t>
      </w:r>
      <w:r w:rsidR="007C5DB7" w:rsidRPr="00AB7D1E">
        <w:rPr>
          <w:lang w:val="en-US"/>
        </w:rPr>
        <w:t>,</w:t>
      </w:r>
      <w:r w:rsidRPr="00AB7D1E">
        <w:rPr>
          <w:lang w:val="en-US"/>
        </w:rPr>
        <w:t>7%, and emissions from the category Production of crops and agricultural soils with 52</w:t>
      </w:r>
      <w:r w:rsidR="007C5DB7" w:rsidRPr="00AB7D1E">
        <w:rPr>
          <w:lang w:val="en-US"/>
        </w:rPr>
        <w:t>,</w:t>
      </w:r>
      <w:r w:rsidRPr="00AB7D1E">
        <w:rPr>
          <w:lang w:val="en-US"/>
        </w:rPr>
        <w:t>8%.</w:t>
      </w:r>
    </w:p>
    <w:p w14:paraId="1210866F" w14:textId="3ED2BAA9" w:rsidR="009E67BD" w:rsidRPr="00AB7D1E" w:rsidRDefault="009E67BD" w:rsidP="009E67BD">
      <w:pPr>
        <w:rPr>
          <w:lang w:val="en-US"/>
        </w:rPr>
      </w:pPr>
      <w:r w:rsidRPr="00AB7D1E">
        <w:rPr>
          <w:lang w:val="en-US"/>
        </w:rPr>
        <w:t>In Croatia, air quality is constantly monitored through</w:t>
      </w:r>
      <w:r w:rsidR="001A1708" w:rsidRPr="00AB7D1E">
        <w:rPr>
          <w:lang w:val="en-US"/>
        </w:rPr>
        <w:t xml:space="preserve"> </w:t>
      </w:r>
      <w:r w:rsidR="00857FD4" w:rsidRPr="00AB7D1E">
        <w:rPr>
          <w:lang w:val="en-US"/>
        </w:rPr>
        <w:t>monitoring</w:t>
      </w:r>
      <w:r w:rsidRPr="00AB7D1E">
        <w:rPr>
          <w:lang w:val="en-US"/>
        </w:rPr>
        <w:t xml:space="preserve"> stations, state</w:t>
      </w:r>
      <w:r w:rsidR="001A1708" w:rsidRPr="00AB7D1E">
        <w:rPr>
          <w:lang w:val="en-US"/>
        </w:rPr>
        <w:t xml:space="preserve"> (25)</w:t>
      </w:r>
      <w:r w:rsidRPr="00AB7D1E">
        <w:rPr>
          <w:lang w:val="en-US"/>
        </w:rPr>
        <w:t xml:space="preserve"> and local</w:t>
      </w:r>
      <w:r w:rsidR="001A1708" w:rsidRPr="00AB7D1E">
        <w:rPr>
          <w:lang w:val="en-US"/>
        </w:rPr>
        <w:t xml:space="preserve"> (49)</w:t>
      </w:r>
      <w:r w:rsidRPr="00AB7D1E">
        <w:rPr>
          <w:lang w:val="en-US"/>
        </w:rPr>
        <w:t xml:space="preserve">. The state network is under the jurisdiction of the Ministry of </w:t>
      </w:r>
      <w:r w:rsidR="00F84E1A" w:rsidRPr="00AB7D1E">
        <w:rPr>
          <w:lang w:val="en-US"/>
        </w:rPr>
        <w:t>Economy and Sustainable Development</w:t>
      </w:r>
      <w:r w:rsidR="00320C4D" w:rsidRPr="00AB7D1E">
        <w:rPr>
          <w:lang w:val="en-US"/>
        </w:rPr>
        <w:t xml:space="preserve"> (</w:t>
      </w:r>
      <w:proofErr w:type="spellStart"/>
      <w:r w:rsidR="00320C4D" w:rsidRPr="00AB7D1E">
        <w:rPr>
          <w:lang w:val="en-US"/>
        </w:rPr>
        <w:t>M</w:t>
      </w:r>
      <w:r w:rsidR="00A622F8" w:rsidRPr="00AB7D1E">
        <w:rPr>
          <w:lang w:val="en-US"/>
        </w:rPr>
        <w:t>o</w:t>
      </w:r>
      <w:r w:rsidR="00320C4D" w:rsidRPr="00AB7D1E">
        <w:rPr>
          <w:lang w:val="en-US"/>
        </w:rPr>
        <w:t>E</w:t>
      </w:r>
      <w:r w:rsidR="00F84E1A" w:rsidRPr="00AB7D1E">
        <w:rPr>
          <w:lang w:val="en-US"/>
        </w:rPr>
        <w:t>SD</w:t>
      </w:r>
      <w:proofErr w:type="spellEnd"/>
      <w:r w:rsidR="00320C4D" w:rsidRPr="00AB7D1E">
        <w:rPr>
          <w:lang w:val="en-US"/>
        </w:rPr>
        <w:t>)</w:t>
      </w:r>
      <w:r w:rsidRPr="00AB7D1E">
        <w:rPr>
          <w:lang w:val="en-US"/>
        </w:rPr>
        <w:t xml:space="preserve">, and it is managed by the State Hydrometeorological Institute, while the local network is under the jurisdiction of cities and counties. According to the </w:t>
      </w:r>
      <w:r w:rsidR="00320C4D" w:rsidRPr="00AB7D1E">
        <w:rPr>
          <w:lang w:val="en-US"/>
        </w:rPr>
        <w:t>D</w:t>
      </w:r>
      <w:r w:rsidRPr="00AB7D1E">
        <w:rPr>
          <w:lang w:val="en-US"/>
        </w:rPr>
        <w:t xml:space="preserve">ecision on the acceptability of the project or the </w:t>
      </w:r>
      <w:r w:rsidR="00320C4D" w:rsidRPr="00AB7D1E">
        <w:rPr>
          <w:lang w:val="en-US"/>
        </w:rPr>
        <w:t>D</w:t>
      </w:r>
      <w:r w:rsidRPr="00AB7D1E">
        <w:rPr>
          <w:lang w:val="en-US"/>
        </w:rPr>
        <w:t>ecision on integrated environmental protection conditions or environmental permit, polluters are required to ensure monitoring of air quality in the vicinity of air pollution sources and these special purpose measurements are an integral part of local air quality monitoring networks. The results of measurements from all measuring stations are published in the Annual Reports on Air Quality Monitoring in Croatia</w:t>
      </w:r>
      <w:r w:rsidR="00320C4D" w:rsidRPr="00AB7D1E">
        <w:rPr>
          <w:rStyle w:val="FootnoteReference"/>
          <w:lang w:val="en-US"/>
        </w:rPr>
        <w:footnoteReference w:id="19"/>
      </w:r>
      <w:r w:rsidRPr="00AB7D1E">
        <w:rPr>
          <w:lang w:val="en-US"/>
        </w:rPr>
        <w:t xml:space="preserve">, prepared every year by the </w:t>
      </w:r>
      <w:proofErr w:type="spellStart"/>
      <w:r w:rsidR="00705CBF" w:rsidRPr="00AB7D1E">
        <w:rPr>
          <w:lang w:val="en-US"/>
        </w:rPr>
        <w:t>M</w:t>
      </w:r>
      <w:r w:rsidR="007F3940" w:rsidRPr="00AB7D1E">
        <w:rPr>
          <w:lang w:val="en-US"/>
        </w:rPr>
        <w:t>o</w:t>
      </w:r>
      <w:r w:rsidR="00705CBF" w:rsidRPr="00AB7D1E">
        <w:rPr>
          <w:lang w:val="en-US"/>
        </w:rPr>
        <w:t>ESD</w:t>
      </w:r>
      <w:proofErr w:type="spellEnd"/>
      <w:r w:rsidR="003D19DA" w:rsidRPr="00AB7D1E">
        <w:rPr>
          <w:lang w:val="en-US"/>
        </w:rPr>
        <w:t xml:space="preserve">, and in real time by each monitor stations are available on the </w:t>
      </w:r>
      <w:proofErr w:type="spellStart"/>
      <w:r w:rsidR="003D19DA" w:rsidRPr="00AB7D1E">
        <w:rPr>
          <w:lang w:val="en-US"/>
        </w:rPr>
        <w:t>MoESD</w:t>
      </w:r>
      <w:proofErr w:type="spellEnd"/>
      <w:r w:rsidR="003D19DA" w:rsidRPr="00AB7D1E">
        <w:rPr>
          <w:lang w:val="en-US"/>
        </w:rPr>
        <w:t xml:space="preserve"> web page: http://iszz.azo.hr/iskzl/.</w:t>
      </w:r>
    </w:p>
    <w:p w14:paraId="4245813A" w14:textId="5D12F528" w:rsidR="00362F61" w:rsidRPr="00AB7D1E" w:rsidRDefault="00362F61" w:rsidP="00F139E8">
      <w:pPr>
        <w:jc w:val="center"/>
        <w:rPr>
          <w:lang w:val="en-US"/>
        </w:rPr>
      </w:pPr>
      <w:r w:rsidRPr="00AB7D1E">
        <w:rPr>
          <w:noProof/>
          <w:lang w:val="en-US" w:eastAsia="hr-HR"/>
        </w:rPr>
        <w:drawing>
          <wp:inline distT="0" distB="0" distL="0" distR="0" wp14:anchorId="40ADF625" wp14:editId="3CA96033">
            <wp:extent cx="2305878" cy="2212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208" t="20912" r="34016" b="16345"/>
                    <a:stretch/>
                  </pic:blipFill>
                  <pic:spPr bwMode="auto">
                    <a:xfrm>
                      <a:off x="0" y="0"/>
                      <a:ext cx="2349060" cy="2254283"/>
                    </a:xfrm>
                    <a:prstGeom prst="rect">
                      <a:avLst/>
                    </a:prstGeom>
                    <a:ln>
                      <a:noFill/>
                    </a:ln>
                    <a:extLst>
                      <a:ext uri="{53640926-AAD7-44D8-BBD7-CCE9431645EC}">
                        <a14:shadowObscured xmlns:a14="http://schemas.microsoft.com/office/drawing/2010/main"/>
                      </a:ext>
                    </a:extLst>
                  </pic:spPr>
                </pic:pic>
              </a:graphicData>
            </a:graphic>
          </wp:inline>
        </w:drawing>
      </w:r>
    </w:p>
    <w:p w14:paraId="3B53DFE4" w14:textId="7C2871EA" w:rsidR="00E226BA" w:rsidRPr="00AB7D1E" w:rsidRDefault="00E226BA" w:rsidP="001037F7">
      <w:pPr>
        <w:pStyle w:val="Style2"/>
        <w:rPr>
          <w:lang w:val="en-US"/>
        </w:rPr>
      </w:pPr>
      <w:bookmarkStart w:id="47" w:name="_Toc56952687"/>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7</w:t>
      </w:r>
      <w:r w:rsidR="00DE594D" w:rsidRPr="00AB7D1E">
        <w:rPr>
          <w:lang w:val="en-US"/>
        </w:rPr>
        <w:fldChar w:fldCharType="end"/>
      </w:r>
      <w:r w:rsidRPr="00AB7D1E">
        <w:rPr>
          <w:lang w:val="en-US"/>
        </w:rPr>
        <w:t xml:space="preserve">. </w:t>
      </w:r>
      <w:r w:rsidR="00C57F57" w:rsidRPr="00AB7D1E">
        <w:rPr>
          <w:lang w:val="en-US"/>
        </w:rPr>
        <w:t xml:space="preserve">Locations of monitoring stations in the territory of </w:t>
      </w:r>
      <w:r w:rsidRPr="00AB7D1E">
        <w:rPr>
          <w:lang w:val="en-US"/>
        </w:rPr>
        <w:t>the Republic of Croatia</w:t>
      </w:r>
      <w:r w:rsidR="00FD354E" w:rsidRPr="00AB7D1E">
        <w:rPr>
          <w:rStyle w:val="FootnoteReference"/>
          <w:i w:val="0"/>
          <w:color w:val="auto"/>
          <w:sz w:val="22"/>
          <w:lang w:val="en-US"/>
        </w:rPr>
        <w:footnoteReference w:id="20"/>
      </w:r>
      <w:bookmarkEnd w:id="47"/>
    </w:p>
    <w:p w14:paraId="012F6FB3" w14:textId="16358DCC" w:rsidR="00222ADB" w:rsidRPr="00AB7D1E" w:rsidRDefault="00222ADB" w:rsidP="000E756F">
      <w:pPr>
        <w:rPr>
          <w:lang w:val="en-US"/>
        </w:rPr>
      </w:pPr>
      <w:r w:rsidRPr="00AB7D1E">
        <w:rPr>
          <w:lang w:val="en-US"/>
        </w:rPr>
        <w:lastRenderedPageBreak/>
        <w:t xml:space="preserve">Concentrations of the following pollutants in the air are monitored by monitoring stations: </w:t>
      </w:r>
      <w:proofErr w:type="spellStart"/>
      <w:r w:rsidR="00705CBF" w:rsidRPr="00AB7D1E">
        <w:rPr>
          <w:lang w:val="en-US"/>
        </w:rPr>
        <w:t>sulphur</w:t>
      </w:r>
      <w:proofErr w:type="spellEnd"/>
      <w:r w:rsidRPr="00AB7D1E">
        <w:rPr>
          <w:lang w:val="en-US"/>
        </w:rPr>
        <w:t xml:space="preserve"> dioxide (SO</w:t>
      </w:r>
      <w:r w:rsidRPr="00AB7D1E">
        <w:rPr>
          <w:vertAlign w:val="subscript"/>
          <w:lang w:val="en-US"/>
        </w:rPr>
        <w:t>2</w:t>
      </w:r>
      <w:r w:rsidRPr="00AB7D1E">
        <w:rPr>
          <w:lang w:val="en-US"/>
        </w:rPr>
        <w:t>), nitrogen dioxide and nitrogen oxides (NO</w:t>
      </w:r>
      <w:r w:rsidRPr="00AB7D1E">
        <w:rPr>
          <w:vertAlign w:val="subscript"/>
          <w:lang w:val="en-US"/>
        </w:rPr>
        <w:t>2</w:t>
      </w:r>
      <w:r w:rsidRPr="00AB7D1E">
        <w:rPr>
          <w:lang w:val="en-US"/>
        </w:rPr>
        <w:t xml:space="preserve"> and NO</w:t>
      </w:r>
      <w:r w:rsidRPr="00AB7D1E">
        <w:rPr>
          <w:vertAlign w:val="subscript"/>
          <w:lang w:val="en-US"/>
        </w:rPr>
        <w:t>x</w:t>
      </w:r>
      <w:r w:rsidRPr="00AB7D1E">
        <w:rPr>
          <w:lang w:val="en-US"/>
        </w:rPr>
        <w:t>), suspended particles (PM</w:t>
      </w:r>
      <w:r w:rsidRPr="00AB7D1E">
        <w:rPr>
          <w:vertAlign w:val="subscript"/>
          <w:lang w:val="en-US"/>
        </w:rPr>
        <w:t>10</w:t>
      </w:r>
      <w:r w:rsidRPr="00AB7D1E">
        <w:rPr>
          <w:lang w:val="en-US"/>
        </w:rPr>
        <w:t xml:space="preserve"> and PM</w:t>
      </w:r>
      <w:r w:rsidRPr="00AB7D1E">
        <w:rPr>
          <w:vertAlign w:val="subscript"/>
          <w:lang w:val="en-US"/>
        </w:rPr>
        <w:t>2.5</w:t>
      </w:r>
      <w:r w:rsidRPr="00AB7D1E">
        <w:rPr>
          <w:lang w:val="en-US"/>
        </w:rPr>
        <w:t>), lead (Pb), benzene (C</w:t>
      </w:r>
      <w:r w:rsidRPr="00AB7D1E">
        <w:rPr>
          <w:vertAlign w:val="subscript"/>
          <w:lang w:val="en-US"/>
        </w:rPr>
        <w:t>6</w:t>
      </w:r>
      <w:r w:rsidRPr="00AB7D1E">
        <w:rPr>
          <w:lang w:val="en-US"/>
        </w:rPr>
        <w:t>H</w:t>
      </w:r>
      <w:r w:rsidRPr="00AB7D1E">
        <w:rPr>
          <w:vertAlign w:val="subscript"/>
          <w:lang w:val="en-US"/>
        </w:rPr>
        <w:t>6</w:t>
      </w:r>
      <w:r w:rsidRPr="00AB7D1E">
        <w:rPr>
          <w:lang w:val="en-US"/>
        </w:rPr>
        <w:t>), carbon monoxide (CO), ground-level ozone (O</w:t>
      </w:r>
      <w:r w:rsidRPr="00AB7D1E">
        <w:rPr>
          <w:vertAlign w:val="subscript"/>
          <w:lang w:val="en-US"/>
        </w:rPr>
        <w:t>3</w:t>
      </w:r>
      <w:r w:rsidRPr="00AB7D1E">
        <w:rPr>
          <w:lang w:val="en-US"/>
        </w:rPr>
        <w:t>) and ground-level ozone precursors (volatile organic compounds - VOCs), arsenic (As), cadmium (Cd), mercury (Hg), nickel (Ni), benzo (a) pyrene (</w:t>
      </w:r>
      <w:proofErr w:type="spellStart"/>
      <w:r w:rsidRPr="00AB7D1E">
        <w:rPr>
          <w:lang w:val="en-US"/>
        </w:rPr>
        <w:t>BaP</w:t>
      </w:r>
      <w:proofErr w:type="spellEnd"/>
      <w:r w:rsidRPr="00AB7D1E">
        <w:rPr>
          <w:lang w:val="en-US"/>
        </w:rPr>
        <w:t>) and other polycyclic aromatic hydrocarbons (PAHs), the average exposure indicator for PM</w:t>
      </w:r>
      <w:r w:rsidRPr="00AB7D1E">
        <w:rPr>
          <w:vertAlign w:val="subscript"/>
          <w:lang w:val="en-US"/>
        </w:rPr>
        <w:t>2.5</w:t>
      </w:r>
      <w:r w:rsidRPr="00AB7D1E">
        <w:rPr>
          <w:lang w:val="en-US"/>
        </w:rPr>
        <w:t xml:space="preserve"> (PPI) and the chemical composition of PM</w:t>
      </w:r>
      <w:r w:rsidRPr="00AB7D1E">
        <w:rPr>
          <w:vertAlign w:val="subscript"/>
          <w:lang w:val="en-US"/>
        </w:rPr>
        <w:t>2.5</w:t>
      </w:r>
      <w:r w:rsidRPr="00AB7D1E">
        <w:rPr>
          <w:rStyle w:val="FootnoteReference"/>
          <w:lang w:val="en-US"/>
        </w:rPr>
        <w:footnoteReference w:id="21"/>
      </w:r>
    </w:p>
    <w:p w14:paraId="5CA2CB55" w14:textId="5199F503" w:rsidR="001D3FF5" w:rsidRPr="00AB7D1E" w:rsidRDefault="001D3FF5" w:rsidP="00290410">
      <w:pPr>
        <w:rPr>
          <w:lang w:val="en-US"/>
        </w:rPr>
      </w:pPr>
      <w:r w:rsidRPr="00AB7D1E">
        <w:rPr>
          <w:lang w:val="en-US"/>
        </w:rPr>
        <w:t>The problem of air pollution by suspended particles (PM</w:t>
      </w:r>
      <w:r w:rsidRPr="00AB7D1E">
        <w:rPr>
          <w:vertAlign w:val="subscript"/>
          <w:lang w:val="en-US"/>
        </w:rPr>
        <w:t>10</w:t>
      </w:r>
      <w:r w:rsidRPr="00AB7D1E">
        <w:rPr>
          <w:lang w:val="en-US"/>
        </w:rPr>
        <w:t xml:space="preserve">) in populated areas in the continental part of Croatia is still the most widespread problem of air pollution. In the agglomerations of Zagreb and Osijek, as well as in larger cities of the industrial zone: Sisak, </w:t>
      </w:r>
      <w:proofErr w:type="spellStart"/>
      <w:r w:rsidRPr="00AB7D1E">
        <w:rPr>
          <w:lang w:val="en-US"/>
        </w:rPr>
        <w:t>Kutina</w:t>
      </w:r>
      <w:proofErr w:type="spellEnd"/>
      <w:r w:rsidRPr="00AB7D1E">
        <w:rPr>
          <w:lang w:val="en-US"/>
        </w:rPr>
        <w:t xml:space="preserve"> and </w:t>
      </w:r>
      <w:proofErr w:type="spellStart"/>
      <w:r w:rsidRPr="00AB7D1E">
        <w:rPr>
          <w:lang w:val="en-US"/>
        </w:rPr>
        <w:t>Slavonski</w:t>
      </w:r>
      <w:proofErr w:type="spellEnd"/>
      <w:r w:rsidRPr="00AB7D1E">
        <w:rPr>
          <w:lang w:val="en-US"/>
        </w:rPr>
        <w:t xml:space="preserve"> </w:t>
      </w:r>
      <w:proofErr w:type="spellStart"/>
      <w:r w:rsidRPr="00AB7D1E">
        <w:rPr>
          <w:lang w:val="en-US"/>
        </w:rPr>
        <w:t>Brod</w:t>
      </w:r>
      <w:proofErr w:type="spellEnd"/>
      <w:r w:rsidRPr="00AB7D1E">
        <w:rPr>
          <w:lang w:val="en-US"/>
        </w:rPr>
        <w:t>, daily limit values (GV) have been continuously exceeded. The largest number of days in which concentrations of suspended particles (PM</w:t>
      </w:r>
      <w:r w:rsidRPr="00AB7D1E">
        <w:rPr>
          <w:vertAlign w:val="subscript"/>
          <w:lang w:val="en-US"/>
        </w:rPr>
        <w:t>10</w:t>
      </w:r>
      <w:r w:rsidRPr="00AB7D1E">
        <w:rPr>
          <w:lang w:val="en-US"/>
        </w:rPr>
        <w:t>) are elevated, is distributed in the colder part of the year in stable meteorological conditions, when the dominant source of pollution is domestic fireplaces</w:t>
      </w:r>
      <w:r w:rsidR="00DA2005" w:rsidRPr="00AB7D1E">
        <w:rPr>
          <w:lang w:val="en-US"/>
        </w:rPr>
        <w:t>. O</w:t>
      </w:r>
      <w:r w:rsidRPr="00AB7D1E">
        <w:rPr>
          <w:lang w:val="en-US"/>
        </w:rPr>
        <w:t xml:space="preserve">ther sources of pollution are traffic and large point sources. In the mentioned period, the daily limit value of suspended particles was not exceeded at the </w:t>
      </w:r>
      <w:r w:rsidR="00910ECA" w:rsidRPr="00AB7D1E">
        <w:rPr>
          <w:lang w:val="en-US"/>
        </w:rPr>
        <w:t>monitoring</w:t>
      </w:r>
      <w:r w:rsidRPr="00AB7D1E">
        <w:rPr>
          <w:lang w:val="en-US"/>
        </w:rPr>
        <w:t xml:space="preserve"> stations in the coastal agglomerations. Increased levels of concentrations of suspended particles at </w:t>
      </w:r>
      <w:r w:rsidR="00DA2005" w:rsidRPr="00AB7D1E">
        <w:rPr>
          <w:lang w:val="en-US"/>
        </w:rPr>
        <w:t>monitoring</w:t>
      </w:r>
      <w:r w:rsidRPr="00AB7D1E">
        <w:rPr>
          <w:lang w:val="en-US"/>
        </w:rPr>
        <w:t xml:space="preserve"> stations in the continental part of Croatia compared to lower recorded levels at measuring stations in the coastal area are caused by climatological differences.</w:t>
      </w:r>
    </w:p>
    <w:p w14:paraId="3242E94C" w14:textId="4D65E7D7" w:rsidR="00EB4757" w:rsidRPr="00AB7D1E" w:rsidRDefault="00EB4757" w:rsidP="00EB4757">
      <w:pPr>
        <w:rPr>
          <w:lang w:val="en-US"/>
        </w:rPr>
      </w:pPr>
      <w:r w:rsidRPr="00AB7D1E">
        <w:rPr>
          <w:lang w:val="en-US"/>
        </w:rPr>
        <w:t>Ground (tropospheric) ozone (O3) is one of the global problems of today, because its relatively long residence time in the atmosphere allows its transmission over long distances. The cycle of formation and decomposition of ozone and its precursors also depends on the intensity of solar radiation. Thus, elevated ground-level ozone values are most often recorded at coastal monitoring stations on hot and dry days.</w:t>
      </w:r>
    </w:p>
    <w:p w14:paraId="435B4D05" w14:textId="3CBAB6BF" w:rsidR="00EB4757" w:rsidRPr="00AB7D1E" w:rsidRDefault="00EB4757" w:rsidP="00EB4757">
      <w:pPr>
        <w:rPr>
          <w:lang w:val="en-US"/>
        </w:rPr>
      </w:pPr>
      <w:r w:rsidRPr="00AB7D1E">
        <w:rPr>
          <w:lang w:val="en-US"/>
        </w:rPr>
        <w:t>Dominant sources of nitrogen dioxide (NO</w:t>
      </w:r>
      <w:r w:rsidRPr="00AB7D1E">
        <w:rPr>
          <w:vertAlign w:val="subscript"/>
          <w:lang w:val="en-US"/>
        </w:rPr>
        <w:t>2</w:t>
      </w:r>
      <w:r w:rsidRPr="00AB7D1E">
        <w:rPr>
          <w:lang w:val="en-US"/>
        </w:rPr>
        <w:t>) pollution are fossil fuel combustion processes in motor vehicles and stationary sources (e.g., home fireplaces and power plants), and exposure to high levels of nitrogen dioxide can have adverse effects on human health. In the period from 2015 to 2017, annual values of nitrogen dioxide concentrations exceeded the limit value in Zagreb at the monitoring station Zagreb ‐ 1, where is the dominant influence of traffic. In 2018 no overrun was recorded through monit</w:t>
      </w:r>
      <w:r w:rsidR="002632EF" w:rsidRPr="00AB7D1E">
        <w:rPr>
          <w:lang w:val="en-US"/>
        </w:rPr>
        <w:t>o</w:t>
      </w:r>
      <w:r w:rsidRPr="00AB7D1E">
        <w:rPr>
          <w:lang w:val="en-US"/>
        </w:rPr>
        <w:t>ring stations.</w:t>
      </w:r>
    </w:p>
    <w:p w14:paraId="2D4B5415" w14:textId="44B1532D" w:rsidR="00910ECA" w:rsidRPr="00AB7D1E" w:rsidRDefault="00910ECA" w:rsidP="00910ECA">
      <w:pPr>
        <w:rPr>
          <w:lang w:val="en-US"/>
        </w:rPr>
      </w:pPr>
      <w:r w:rsidRPr="00AB7D1E">
        <w:rPr>
          <w:lang w:val="en-US"/>
        </w:rPr>
        <w:t xml:space="preserve">Hydrogen </w:t>
      </w:r>
      <w:proofErr w:type="spellStart"/>
      <w:r w:rsidR="00705CBF" w:rsidRPr="00AB7D1E">
        <w:rPr>
          <w:lang w:val="en-US"/>
        </w:rPr>
        <w:t>sulphide</w:t>
      </w:r>
      <w:proofErr w:type="spellEnd"/>
      <w:r w:rsidRPr="00AB7D1E">
        <w:rPr>
          <w:lang w:val="en-US"/>
        </w:rPr>
        <w:t xml:space="preserve"> (H</w:t>
      </w:r>
      <w:r w:rsidRPr="00AB7D1E">
        <w:rPr>
          <w:vertAlign w:val="subscript"/>
          <w:lang w:val="en-US"/>
        </w:rPr>
        <w:t>2</w:t>
      </w:r>
      <w:r w:rsidRPr="00AB7D1E">
        <w:rPr>
          <w:lang w:val="en-US"/>
        </w:rPr>
        <w:t xml:space="preserve">S) is a gas whose concentrations in the air are measured primarily for the appearance of unpleasant </w:t>
      </w:r>
      <w:proofErr w:type="spellStart"/>
      <w:r w:rsidR="00705CBF" w:rsidRPr="00AB7D1E">
        <w:rPr>
          <w:lang w:val="en-US"/>
        </w:rPr>
        <w:t>odours</w:t>
      </w:r>
      <w:proofErr w:type="spellEnd"/>
      <w:r w:rsidRPr="00AB7D1E">
        <w:rPr>
          <w:lang w:val="en-US"/>
        </w:rPr>
        <w:t xml:space="preserve"> at monitoring stations located near emission sources (e</w:t>
      </w:r>
      <w:r w:rsidR="00F577B8">
        <w:rPr>
          <w:lang w:val="en-US"/>
        </w:rPr>
        <w:t>.</w:t>
      </w:r>
      <w:r w:rsidRPr="00AB7D1E">
        <w:rPr>
          <w:lang w:val="en-US"/>
        </w:rPr>
        <w:t>g</w:t>
      </w:r>
      <w:r w:rsidR="00F577B8">
        <w:rPr>
          <w:lang w:val="en-US"/>
        </w:rPr>
        <w:t>.</w:t>
      </w:r>
      <w:r w:rsidRPr="00AB7D1E">
        <w:rPr>
          <w:lang w:val="en-US"/>
        </w:rPr>
        <w:t xml:space="preserve"> refineries, landfills, mineral fertilizer factories). The concentrations measured at the monitoring stations in Croatia are not dangerous to human health, but due to the unpleasant </w:t>
      </w:r>
      <w:proofErr w:type="spellStart"/>
      <w:r w:rsidR="00705CBF" w:rsidRPr="00AB7D1E">
        <w:rPr>
          <w:lang w:val="en-US"/>
        </w:rPr>
        <w:t>odour</w:t>
      </w:r>
      <w:proofErr w:type="spellEnd"/>
      <w:r w:rsidRPr="00AB7D1E">
        <w:rPr>
          <w:lang w:val="en-US"/>
        </w:rPr>
        <w:t xml:space="preserve"> they affect the quality of life. Levels of hydrogen </w:t>
      </w:r>
      <w:proofErr w:type="spellStart"/>
      <w:r w:rsidR="00705CBF" w:rsidRPr="00AB7D1E">
        <w:rPr>
          <w:lang w:val="en-US"/>
        </w:rPr>
        <w:t>sulphide</w:t>
      </w:r>
      <w:proofErr w:type="spellEnd"/>
      <w:r w:rsidRPr="00AB7D1E">
        <w:rPr>
          <w:lang w:val="en-US"/>
        </w:rPr>
        <w:t xml:space="preserve"> pollution exceeds allowed values at the measuring stations of several cities </w:t>
      </w:r>
      <w:r w:rsidR="003662AF" w:rsidRPr="00AB7D1E">
        <w:rPr>
          <w:lang w:val="en-US"/>
        </w:rPr>
        <w:t>with</w:t>
      </w:r>
      <w:r w:rsidRPr="00AB7D1E">
        <w:rPr>
          <w:lang w:val="en-US"/>
        </w:rPr>
        <w:t xml:space="preserve"> refineries and larger landfills (Zagreb (</w:t>
      </w:r>
      <w:proofErr w:type="spellStart"/>
      <w:r w:rsidRPr="00AB7D1E">
        <w:rPr>
          <w:lang w:val="en-US"/>
        </w:rPr>
        <w:t>Jakuševac</w:t>
      </w:r>
      <w:proofErr w:type="spellEnd"/>
      <w:r w:rsidRPr="00AB7D1E">
        <w:rPr>
          <w:lang w:val="en-US"/>
        </w:rPr>
        <w:t xml:space="preserve">), </w:t>
      </w:r>
      <w:proofErr w:type="spellStart"/>
      <w:r w:rsidRPr="00AB7D1E">
        <w:rPr>
          <w:lang w:val="en-US"/>
        </w:rPr>
        <w:t>Slavonski</w:t>
      </w:r>
      <w:proofErr w:type="spellEnd"/>
      <w:r w:rsidRPr="00AB7D1E">
        <w:rPr>
          <w:lang w:val="en-US"/>
        </w:rPr>
        <w:t xml:space="preserve"> </w:t>
      </w:r>
      <w:proofErr w:type="spellStart"/>
      <w:r w:rsidRPr="00AB7D1E">
        <w:rPr>
          <w:lang w:val="en-US"/>
        </w:rPr>
        <w:t>Brod</w:t>
      </w:r>
      <w:proofErr w:type="spellEnd"/>
      <w:r w:rsidRPr="00AB7D1E">
        <w:rPr>
          <w:lang w:val="en-US"/>
        </w:rPr>
        <w:t xml:space="preserve">, Sisak, </w:t>
      </w:r>
      <w:proofErr w:type="spellStart"/>
      <w:r w:rsidRPr="00AB7D1E">
        <w:rPr>
          <w:lang w:val="en-US"/>
        </w:rPr>
        <w:t>Kostrena</w:t>
      </w:r>
      <w:proofErr w:type="spellEnd"/>
      <w:r w:rsidRPr="00AB7D1E">
        <w:rPr>
          <w:lang w:val="en-US"/>
        </w:rPr>
        <w:t xml:space="preserve"> (</w:t>
      </w:r>
      <w:proofErr w:type="spellStart"/>
      <w:r w:rsidRPr="00AB7D1E">
        <w:rPr>
          <w:lang w:val="en-US"/>
        </w:rPr>
        <w:t>Urinj</w:t>
      </w:r>
      <w:proofErr w:type="spellEnd"/>
      <w:r w:rsidRPr="00AB7D1E">
        <w:rPr>
          <w:lang w:val="en-US"/>
        </w:rPr>
        <w:t xml:space="preserve">), </w:t>
      </w:r>
      <w:proofErr w:type="spellStart"/>
      <w:r w:rsidRPr="00AB7D1E">
        <w:rPr>
          <w:lang w:val="en-US"/>
        </w:rPr>
        <w:t>Marišćina</w:t>
      </w:r>
      <w:proofErr w:type="spellEnd"/>
      <w:r w:rsidR="00340B39" w:rsidRPr="00AB7D1E">
        <w:rPr>
          <w:lang w:val="en-US"/>
        </w:rPr>
        <w:t xml:space="preserve"> (Waste Management Centre</w:t>
      </w:r>
      <w:r w:rsidRPr="00AB7D1E">
        <w:rPr>
          <w:lang w:val="en-US"/>
        </w:rPr>
        <w:t>).</w:t>
      </w:r>
    </w:p>
    <w:p w14:paraId="3DE5723C" w14:textId="27E9BD7B" w:rsidR="00910ECA" w:rsidRPr="00AB7D1E" w:rsidRDefault="00910ECA" w:rsidP="00910ECA">
      <w:pPr>
        <w:rPr>
          <w:lang w:val="en-US"/>
        </w:rPr>
      </w:pPr>
      <w:r w:rsidRPr="00AB7D1E">
        <w:rPr>
          <w:lang w:val="en-US"/>
        </w:rPr>
        <w:t xml:space="preserve">In populated areas where exceedances of limit and/or target values of air pollutants have been recorded, the competent authorities, </w:t>
      </w:r>
      <w:r w:rsidR="001509DF" w:rsidRPr="00AB7D1E">
        <w:rPr>
          <w:lang w:val="en-US"/>
        </w:rPr>
        <w:t>i.e.</w:t>
      </w:r>
      <w:r w:rsidRPr="00AB7D1E">
        <w:rPr>
          <w:lang w:val="en-US"/>
        </w:rPr>
        <w:t xml:space="preserve"> cities and local self-government units, have the obligation to develop action plans to improve air quality and ensure the implementation of measures from these plans.</w:t>
      </w:r>
    </w:p>
    <w:p w14:paraId="417B37C9" w14:textId="1FD5B5C5" w:rsidR="00362F61" w:rsidRPr="00AB7D1E" w:rsidRDefault="00775AAB" w:rsidP="00362F61">
      <w:pPr>
        <w:pStyle w:val="Heading3"/>
        <w:rPr>
          <w:lang w:val="en-US"/>
        </w:rPr>
      </w:pPr>
      <w:bookmarkStart w:id="48" w:name="_Toc56954039"/>
      <w:r w:rsidRPr="00AB7D1E">
        <w:rPr>
          <w:lang w:val="en-US"/>
        </w:rPr>
        <w:lastRenderedPageBreak/>
        <w:t>Water quality</w:t>
      </w:r>
      <w:bookmarkEnd w:id="48"/>
    </w:p>
    <w:p w14:paraId="129194E0" w14:textId="48808AB9" w:rsidR="00C30E6B" w:rsidRPr="00AB7D1E" w:rsidRDefault="00C30E6B" w:rsidP="00C30E6B">
      <w:pPr>
        <w:rPr>
          <w:lang w:val="en-US"/>
        </w:rPr>
      </w:pPr>
      <w:r w:rsidRPr="00AB7D1E">
        <w:rPr>
          <w:lang w:val="en-US"/>
        </w:rPr>
        <w:t>The territory of the Republic of Croatia hydrographically belongs to the Adriatic Sea basin and the Black Sea basin and according to the Water Act</w:t>
      </w:r>
      <w:r w:rsidR="00A076B9" w:rsidRPr="00AB7D1E">
        <w:rPr>
          <w:rStyle w:val="FootnoteReference"/>
          <w:lang w:val="en-US"/>
        </w:rPr>
        <w:footnoteReference w:id="22"/>
      </w:r>
      <w:r w:rsidRPr="00AB7D1E">
        <w:rPr>
          <w:lang w:val="en-US"/>
        </w:rPr>
        <w:t xml:space="preserve"> is divided into two water areas: the Danube River Basin District (</w:t>
      </w:r>
      <w:r w:rsidR="00A076B9" w:rsidRPr="00AB7D1E">
        <w:rPr>
          <w:lang w:val="en-US"/>
        </w:rPr>
        <w:t>DBD</w:t>
      </w:r>
      <w:r w:rsidRPr="00AB7D1E">
        <w:rPr>
          <w:lang w:val="en-US"/>
        </w:rPr>
        <w:t>) and the Adriatic River Basin District (</w:t>
      </w:r>
      <w:r w:rsidR="00A076B9" w:rsidRPr="00AB7D1E">
        <w:rPr>
          <w:lang w:val="en-US"/>
        </w:rPr>
        <w:t>ABD</w:t>
      </w:r>
      <w:r w:rsidRPr="00AB7D1E">
        <w:rPr>
          <w:lang w:val="en-US"/>
        </w:rPr>
        <w:t>).</w:t>
      </w:r>
    </w:p>
    <w:p w14:paraId="7609101E" w14:textId="05B16E9A" w:rsidR="00C30E6B" w:rsidRPr="00AB7D1E" w:rsidRDefault="00C30E6B" w:rsidP="00C30E6B">
      <w:pPr>
        <w:rPr>
          <w:lang w:val="en-US"/>
        </w:rPr>
      </w:pPr>
      <w:r w:rsidRPr="00AB7D1E">
        <w:rPr>
          <w:lang w:val="en-US"/>
        </w:rPr>
        <w:t>The border between water areas in the territory of the Republic of Croatia follows the natural hydrographic-hydrogeological watershed between the Adriatic and Black Sea basins, which is related to the occurrence of water</w:t>
      </w:r>
      <w:r w:rsidR="00A076B9" w:rsidRPr="00AB7D1E">
        <w:rPr>
          <w:lang w:val="en-US"/>
        </w:rPr>
        <w:t>proof</w:t>
      </w:r>
      <w:r w:rsidRPr="00AB7D1E">
        <w:rPr>
          <w:lang w:val="en-US"/>
        </w:rPr>
        <w:t xml:space="preserve"> clasts and poorly </w:t>
      </w:r>
      <w:r w:rsidR="00A076B9" w:rsidRPr="00AB7D1E">
        <w:rPr>
          <w:lang w:val="en-US"/>
        </w:rPr>
        <w:t xml:space="preserve">water </w:t>
      </w:r>
      <w:r w:rsidRPr="00AB7D1E">
        <w:rPr>
          <w:lang w:val="en-US"/>
        </w:rPr>
        <w:t xml:space="preserve">permeable dolomites in the mountainous area of Gorski </w:t>
      </w:r>
      <w:proofErr w:type="spellStart"/>
      <w:r w:rsidRPr="00AB7D1E">
        <w:rPr>
          <w:lang w:val="en-US"/>
        </w:rPr>
        <w:t>kotar</w:t>
      </w:r>
      <w:proofErr w:type="spellEnd"/>
      <w:r w:rsidRPr="00AB7D1E">
        <w:rPr>
          <w:lang w:val="en-US"/>
        </w:rPr>
        <w:t xml:space="preserve"> and </w:t>
      </w:r>
      <w:proofErr w:type="spellStart"/>
      <w:r w:rsidRPr="00AB7D1E">
        <w:rPr>
          <w:lang w:val="en-US"/>
        </w:rPr>
        <w:t>Lika</w:t>
      </w:r>
      <w:proofErr w:type="spellEnd"/>
      <w:r w:rsidRPr="00AB7D1E">
        <w:rPr>
          <w:lang w:val="en-US"/>
        </w:rPr>
        <w:t xml:space="preserve">. Other boundaries of water areas are defined by the state border on land, </w:t>
      </w:r>
      <w:r w:rsidR="00882FEA" w:rsidRPr="00AB7D1E">
        <w:rPr>
          <w:lang w:val="en-US"/>
        </w:rPr>
        <w:t>e.g.</w:t>
      </w:r>
      <w:r w:rsidRPr="00AB7D1E">
        <w:rPr>
          <w:lang w:val="en-US"/>
        </w:rPr>
        <w:t xml:space="preserve"> the demarcation line of the coastal and open sea at sea.</w:t>
      </w:r>
      <w:r w:rsidR="008C7B6A" w:rsidRPr="00AB7D1E">
        <w:rPr>
          <w:rStyle w:val="FootnoteReference"/>
          <w:lang w:val="en-US"/>
        </w:rPr>
        <w:t xml:space="preserve"> </w:t>
      </w:r>
      <w:r w:rsidR="008C7B6A" w:rsidRPr="00AB7D1E">
        <w:rPr>
          <w:rStyle w:val="FootnoteReference"/>
          <w:lang w:val="en-US"/>
        </w:rPr>
        <w:footnoteReference w:id="23"/>
      </w:r>
    </w:p>
    <w:p w14:paraId="733ABC46" w14:textId="31A76165" w:rsidR="00C30E6B" w:rsidRPr="00AB7D1E" w:rsidRDefault="00C30E6B" w:rsidP="00C30E6B">
      <w:pPr>
        <w:rPr>
          <w:lang w:val="en-US"/>
        </w:rPr>
      </w:pPr>
      <w:r w:rsidRPr="00AB7D1E">
        <w:rPr>
          <w:lang w:val="en-US"/>
        </w:rPr>
        <w:t xml:space="preserve">The surface of the </w:t>
      </w:r>
      <w:r w:rsidR="00DC5883" w:rsidRPr="00AB7D1E">
        <w:rPr>
          <w:lang w:val="en-US"/>
        </w:rPr>
        <w:t>DBD</w:t>
      </w:r>
      <w:r w:rsidRPr="00AB7D1E">
        <w:rPr>
          <w:lang w:val="en-US"/>
        </w:rPr>
        <w:t xml:space="preserve"> is 35</w:t>
      </w:r>
      <w:r w:rsidR="007C5DB7" w:rsidRPr="00AB7D1E">
        <w:rPr>
          <w:lang w:val="en-US"/>
        </w:rPr>
        <w:t>.</w:t>
      </w:r>
      <w:r w:rsidRPr="00AB7D1E">
        <w:rPr>
          <w:lang w:val="en-US"/>
        </w:rPr>
        <w:t>117 km</w:t>
      </w:r>
      <w:r w:rsidRPr="00AB7D1E">
        <w:rPr>
          <w:vertAlign w:val="superscript"/>
          <w:lang w:val="en-US"/>
        </w:rPr>
        <w:t>2</w:t>
      </w:r>
      <w:r w:rsidRPr="00AB7D1E">
        <w:rPr>
          <w:lang w:val="en-US"/>
        </w:rPr>
        <w:t xml:space="preserve">, which represents 62% of the Croatian land territory. The </w:t>
      </w:r>
      <w:r w:rsidR="00DC5883" w:rsidRPr="00AB7D1E">
        <w:rPr>
          <w:lang w:val="en-US"/>
        </w:rPr>
        <w:t xml:space="preserve">runoff </w:t>
      </w:r>
      <w:r w:rsidRPr="00AB7D1E">
        <w:rPr>
          <w:lang w:val="en-US"/>
        </w:rPr>
        <w:t xml:space="preserve">backbones from the water area are the rivers Sava and Drava, whose watershed is </w:t>
      </w:r>
      <w:r w:rsidR="00DC5883" w:rsidRPr="00AB7D1E">
        <w:rPr>
          <w:lang w:val="en-US"/>
        </w:rPr>
        <w:t xml:space="preserve">relief </w:t>
      </w:r>
      <w:r w:rsidRPr="00AB7D1E">
        <w:rPr>
          <w:lang w:val="en-US"/>
        </w:rPr>
        <w:t xml:space="preserve">defined and passes through the mountain range </w:t>
      </w:r>
      <w:proofErr w:type="spellStart"/>
      <w:r w:rsidRPr="00AB7D1E">
        <w:rPr>
          <w:lang w:val="en-US"/>
        </w:rPr>
        <w:t>Ivanščica</w:t>
      </w:r>
      <w:proofErr w:type="spellEnd"/>
      <w:r w:rsidRPr="00AB7D1E">
        <w:rPr>
          <w:lang w:val="en-US"/>
        </w:rPr>
        <w:t xml:space="preserve"> - </w:t>
      </w:r>
      <w:proofErr w:type="spellStart"/>
      <w:r w:rsidRPr="00AB7D1E">
        <w:rPr>
          <w:lang w:val="en-US"/>
        </w:rPr>
        <w:t>Kalnik</w:t>
      </w:r>
      <w:proofErr w:type="spellEnd"/>
      <w:r w:rsidRPr="00AB7D1E">
        <w:rPr>
          <w:lang w:val="en-US"/>
        </w:rPr>
        <w:t xml:space="preserve"> - </w:t>
      </w:r>
      <w:proofErr w:type="spellStart"/>
      <w:r w:rsidRPr="00AB7D1E">
        <w:rPr>
          <w:lang w:val="en-US"/>
        </w:rPr>
        <w:t>Bilogora</w:t>
      </w:r>
      <w:proofErr w:type="spellEnd"/>
      <w:r w:rsidRPr="00AB7D1E">
        <w:rPr>
          <w:lang w:val="en-US"/>
        </w:rPr>
        <w:t xml:space="preserve"> - </w:t>
      </w:r>
      <w:proofErr w:type="spellStart"/>
      <w:r w:rsidRPr="00AB7D1E">
        <w:rPr>
          <w:lang w:val="en-US"/>
        </w:rPr>
        <w:t>Papuk</w:t>
      </w:r>
      <w:proofErr w:type="spellEnd"/>
      <w:r w:rsidRPr="00AB7D1E">
        <w:rPr>
          <w:lang w:val="en-US"/>
        </w:rPr>
        <w:t>. The area of the Sava sub-basin occupies 25</w:t>
      </w:r>
      <w:r w:rsidR="007C5DB7" w:rsidRPr="00AB7D1E">
        <w:rPr>
          <w:lang w:val="en-US"/>
        </w:rPr>
        <w:t>.</w:t>
      </w:r>
      <w:r w:rsidRPr="00AB7D1E">
        <w:rPr>
          <w:lang w:val="en-US"/>
        </w:rPr>
        <w:t>764 km</w:t>
      </w:r>
      <w:r w:rsidRPr="00AB7D1E">
        <w:rPr>
          <w:vertAlign w:val="superscript"/>
          <w:lang w:val="en-US"/>
        </w:rPr>
        <w:t>2</w:t>
      </w:r>
      <w:r w:rsidRPr="00AB7D1E">
        <w:rPr>
          <w:lang w:val="en-US"/>
        </w:rPr>
        <w:t xml:space="preserve"> or 73% of the water area, and the area of the Drava and Danube sub-basins 9</w:t>
      </w:r>
      <w:r w:rsidR="007C5DB7" w:rsidRPr="00AB7D1E">
        <w:rPr>
          <w:lang w:val="en-US"/>
        </w:rPr>
        <w:t>.</w:t>
      </w:r>
      <w:r w:rsidRPr="00AB7D1E">
        <w:rPr>
          <w:lang w:val="en-US"/>
        </w:rPr>
        <w:t>353 km</w:t>
      </w:r>
      <w:r w:rsidRPr="00AB7D1E">
        <w:rPr>
          <w:vertAlign w:val="superscript"/>
          <w:lang w:val="en-US"/>
        </w:rPr>
        <w:t>2</w:t>
      </w:r>
      <w:r w:rsidRPr="00AB7D1E">
        <w:rPr>
          <w:lang w:val="en-US"/>
        </w:rPr>
        <w:t xml:space="preserve"> or 27% of the water area. The </w:t>
      </w:r>
      <w:r w:rsidR="00DC5883" w:rsidRPr="00AB7D1E">
        <w:rPr>
          <w:lang w:val="en-US"/>
        </w:rPr>
        <w:t>DBD</w:t>
      </w:r>
      <w:r w:rsidRPr="00AB7D1E">
        <w:rPr>
          <w:lang w:val="en-US"/>
        </w:rPr>
        <w:t xml:space="preserve"> in the Republic of Croatia is part of the wider international Danube River Basin District. </w:t>
      </w:r>
      <w:proofErr w:type="gramStart"/>
      <w:r w:rsidRPr="00AB7D1E">
        <w:rPr>
          <w:lang w:val="en-US"/>
        </w:rPr>
        <w:t>A large number of</w:t>
      </w:r>
      <w:proofErr w:type="gramEnd"/>
      <w:r w:rsidRPr="00AB7D1E">
        <w:rPr>
          <w:lang w:val="en-US"/>
        </w:rPr>
        <w:t xml:space="preserve"> waters of a river basin district are border or transboundary waters and have interstate significance.</w:t>
      </w:r>
    </w:p>
    <w:p w14:paraId="429A275E" w14:textId="3DD4499E" w:rsidR="005B52DE" w:rsidRPr="00AB7D1E" w:rsidRDefault="005B52DE" w:rsidP="000D3BF3">
      <w:pPr>
        <w:rPr>
          <w:lang w:val="en-US"/>
        </w:rPr>
      </w:pPr>
      <w:r w:rsidRPr="00AB7D1E">
        <w:rPr>
          <w:lang w:val="en-US"/>
        </w:rPr>
        <w:t>The ABD consists of several basins or parts of basins of Adriatic rivers with associated groundwaters, transitional and coastal waters. The area of the ABD is 35</w:t>
      </w:r>
      <w:r w:rsidR="007C5DB7" w:rsidRPr="00AB7D1E">
        <w:rPr>
          <w:lang w:val="en-US"/>
        </w:rPr>
        <w:t>.</w:t>
      </w:r>
      <w:r w:rsidRPr="00AB7D1E">
        <w:rPr>
          <w:lang w:val="en-US"/>
        </w:rPr>
        <w:t>303 km</w:t>
      </w:r>
      <w:r w:rsidRPr="00AB7D1E">
        <w:rPr>
          <w:vertAlign w:val="superscript"/>
          <w:lang w:val="en-US"/>
        </w:rPr>
        <w:t>2</w:t>
      </w:r>
      <w:r w:rsidRPr="00AB7D1E">
        <w:rPr>
          <w:lang w:val="en-US"/>
        </w:rPr>
        <w:t>, which is about 40% of the total territory of the Republic of Croatia. The mainland accounts for 18</w:t>
      </w:r>
      <w:r w:rsidR="007C5DB7" w:rsidRPr="00AB7D1E">
        <w:rPr>
          <w:lang w:val="en-US"/>
        </w:rPr>
        <w:t>.</w:t>
      </w:r>
      <w:r w:rsidRPr="00AB7D1E">
        <w:rPr>
          <w:lang w:val="en-US"/>
        </w:rPr>
        <w:t>183 km</w:t>
      </w:r>
      <w:r w:rsidRPr="00AB7D1E">
        <w:rPr>
          <w:vertAlign w:val="superscript"/>
          <w:lang w:val="en-US"/>
        </w:rPr>
        <w:t>2</w:t>
      </w:r>
      <w:r w:rsidRPr="00AB7D1E">
        <w:rPr>
          <w:lang w:val="en-US"/>
        </w:rPr>
        <w:t>, the islands 3</w:t>
      </w:r>
      <w:r w:rsidR="007C5DB7" w:rsidRPr="00AB7D1E">
        <w:rPr>
          <w:lang w:val="en-US"/>
        </w:rPr>
        <w:t>.</w:t>
      </w:r>
      <w:r w:rsidRPr="00AB7D1E">
        <w:rPr>
          <w:lang w:val="en-US"/>
        </w:rPr>
        <w:t>262 km</w:t>
      </w:r>
      <w:r w:rsidRPr="00AB7D1E">
        <w:rPr>
          <w:vertAlign w:val="superscript"/>
          <w:lang w:val="en-US"/>
        </w:rPr>
        <w:t>2</w:t>
      </w:r>
      <w:r w:rsidRPr="00AB7D1E">
        <w:rPr>
          <w:lang w:val="en-US"/>
        </w:rPr>
        <w:t>, and the transitional and coastal waters of the sea 13</w:t>
      </w:r>
      <w:r w:rsidR="007C5DB7" w:rsidRPr="00AB7D1E">
        <w:rPr>
          <w:lang w:val="en-US"/>
        </w:rPr>
        <w:t>.</w:t>
      </w:r>
      <w:r w:rsidRPr="00AB7D1E">
        <w:rPr>
          <w:lang w:val="en-US"/>
        </w:rPr>
        <w:t>858 km</w:t>
      </w:r>
      <w:r w:rsidRPr="00AB7D1E">
        <w:rPr>
          <w:vertAlign w:val="superscript"/>
          <w:lang w:val="en-US"/>
        </w:rPr>
        <w:t>2</w:t>
      </w:r>
      <w:r w:rsidRPr="00AB7D1E">
        <w:rPr>
          <w:lang w:val="en-US"/>
        </w:rPr>
        <w:t>. Outside the boundaries of the water area is 17</w:t>
      </w:r>
      <w:r w:rsidR="007C5DB7" w:rsidRPr="00AB7D1E">
        <w:rPr>
          <w:lang w:val="en-US"/>
        </w:rPr>
        <w:t>.</w:t>
      </w:r>
      <w:r w:rsidRPr="00AB7D1E">
        <w:rPr>
          <w:lang w:val="en-US"/>
        </w:rPr>
        <w:t>722 km</w:t>
      </w:r>
      <w:r w:rsidRPr="00AB7D1E">
        <w:rPr>
          <w:vertAlign w:val="superscript"/>
          <w:lang w:val="en-US"/>
        </w:rPr>
        <w:t xml:space="preserve">2 </w:t>
      </w:r>
      <w:r w:rsidRPr="00AB7D1E">
        <w:rPr>
          <w:lang w:val="en-US"/>
        </w:rPr>
        <w:t>of state territory, 17</w:t>
      </w:r>
      <w:r w:rsidR="007C5DB7" w:rsidRPr="00AB7D1E">
        <w:rPr>
          <w:lang w:val="en-US"/>
        </w:rPr>
        <w:t>.</w:t>
      </w:r>
      <w:r w:rsidRPr="00AB7D1E">
        <w:rPr>
          <w:lang w:val="en-US"/>
        </w:rPr>
        <w:t>718 km</w:t>
      </w:r>
      <w:r w:rsidRPr="00AB7D1E">
        <w:rPr>
          <w:vertAlign w:val="superscript"/>
          <w:lang w:val="en-US"/>
        </w:rPr>
        <w:t>2</w:t>
      </w:r>
      <w:r w:rsidRPr="00AB7D1E">
        <w:rPr>
          <w:lang w:val="en-US"/>
        </w:rPr>
        <w:t xml:space="preserve"> of territorial sea and about 4 km</w:t>
      </w:r>
      <w:r w:rsidRPr="00AB7D1E">
        <w:rPr>
          <w:vertAlign w:val="superscript"/>
          <w:lang w:val="en-US"/>
        </w:rPr>
        <w:t>2</w:t>
      </w:r>
      <w:r w:rsidRPr="00AB7D1E">
        <w:rPr>
          <w:lang w:val="en-US"/>
        </w:rPr>
        <w:t xml:space="preserve"> of uninhabited offshore islands and cliffs. The ABD in the Republic of Croatia belongs to the wider international basin of the Adriatic Sea. Part of the waters of the ABD are border or transboundary waters of interstate importance.</w:t>
      </w:r>
      <w:r w:rsidRPr="00AB7D1E">
        <w:rPr>
          <w:rStyle w:val="FootnoteReference"/>
          <w:lang w:val="en-US"/>
        </w:rPr>
        <w:t xml:space="preserve"> </w:t>
      </w:r>
      <w:r w:rsidRPr="00AB7D1E">
        <w:rPr>
          <w:rStyle w:val="FootnoteReference"/>
          <w:lang w:val="en-US"/>
        </w:rPr>
        <w:footnoteReference w:id="24"/>
      </w:r>
    </w:p>
    <w:p w14:paraId="59F50091" w14:textId="752A49ED" w:rsidR="000D3BF3" w:rsidRPr="00AB7D1E" w:rsidRDefault="000D3BF3" w:rsidP="000D3BF3">
      <w:pPr>
        <w:jc w:val="center"/>
        <w:rPr>
          <w:lang w:val="en-US"/>
        </w:rPr>
      </w:pPr>
      <w:r w:rsidRPr="00AB7D1E">
        <w:rPr>
          <w:noProof/>
          <w:lang w:val="en-US" w:eastAsia="hr-HR"/>
        </w:rPr>
        <w:drawing>
          <wp:inline distT="0" distB="0" distL="0" distR="0" wp14:anchorId="73B5CD70" wp14:editId="28FA8453">
            <wp:extent cx="2269555" cy="1924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808" t="11780" r="24955" b="18499"/>
                    <a:stretch/>
                  </pic:blipFill>
                  <pic:spPr bwMode="auto">
                    <a:xfrm>
                      <a:off x="0" y="0"/>
                      <a:ext cx="2315331" cy="1963818"/>
                    </a:xfrm>
                    <a:prstGeom prst="rect">
                      <a:avLst/>
                    </a:prstGeom>
                    <a:ln>
                      <a:noFill/>
                    </a:ln>
                    <a:extLst>
                      <a:ext uri="{53640926-AAD7-44D8-BBD7-CCE9431645EC}">
                        <a14:shadowObscured xmlns:a14="http://schemas.microsoft.com/office/drawing/2010/main"/>
                      </a:ext>
                    </a:extLst>
                  </pic:spPr>
                </pic:pic>
              </a:graphicData>
            </a:graphic>
          </wp:inline>
        </w:drawing>
      </w:r>
    </w:p>
    <w:p w14:paraId="726303E7" w14:textId="061BFAE2" w:rsidR="000D3BF3" w:rsidRPr="00AB7D1E" w:rsidRDefault="000D3BF3" w:rsidP="004E4D82">
      <w:pPr>
        <w:pStyle w:val="Style2"/>
        <w:rPr>
          <w:lang w:val="en-US"/>
        </w:rPr>
      </w:pPr>
      <w:bookmarkStart w:id="49" w:name="_Toc56952688"/>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8</w:t>
      </w:r>
      <w:r w:rsidR="00DE594D" w:rsidRPr="00AB7D1E">
        <w:rPr>
          <w:lang w:val="en-US"/>
        </w:rPr>
        <w:fldChar w:fldCharType="end"/>
      </w:r>
      <w:r w:rsidRPr="00AB7D1E">
        <w:rPr>
          <w:lang w:val="en-US"/>
        </w:rPr>
        <w:t xml:space="preserve">. </w:t>
      </w:r>
      <w:r w:rsidR="005B52DE" w:rsidRPr="00AB7D1E">
        <w:rPr>
          <w:lang w:val="en-US"/>
        </w:rPr>
        <w:t>Water districts and sub-basin areas with significant watercourses</w:t>
      </w:r>
      <w:r w:rsidR="005B52DE" w:rsidRPr="00AB7D1E">
        <w:rPr>
          <w:rStyle w:val="FootnoteReference"/>
          <w:i w:val="0"/>
          <w:iCs/>
          <w:color w:val="auto"/>
          <w:sz w:val="22"/>
          <w:vertAlign w:val="baseline"/>
          <w:lang w:val="en-US"/>
        </w:rPr>
        <w:t xml:space="preserve"> </w:t>
      </w:r>
      <w:r w:rsidRPr="00AB7D1E">
        <w:rPr>
          <w:rStyle w:val="FootnoteReference"/>
          <w:i w:val="0"/>
          <w:iCs/>
          <w:color w:val="auto"/>
          <w:sz w:val="22"/>
          <w:lang w:val="en-US"/>
        </w:rPr>
        <w:footnoteReference w:id="25"/>
      </w:r>
      <w:bookmarkEnd w:id="49"/>
    </w:p>
    <w:p w14:paraId="31E5A2A3" w14:textId="38AE74BE" w:rsidR="00753D3B" w:rsidRPr="00AB7D1E" w:rsidRDefault="00753D3B" w:rsidP="00753D3B">
      <w:pPr>
        <w:rPr>
          <w:rFonts w:eastAsia="Times New Roman"/>
          <w:lang w:val="en-US" w:eastAsia="hr-HR"/>
        </w:rPr>
      </w:pPr>
      <w:r w:rsidRPr="00AB7D1E">
        <w:rPr>
          <w:rFonts w:eastAsia="Times New Roman"/>
          <w:lang w:val="en-US" w:eastAsia="hr-HR"/>
        </w:rPr>
        <w:t xml:space="preserve">The total water exploitation in Croatia is significantly below the level that could jeopardize the water availability. In the coastal area and on the islands, increased pressure on water resources is evident in the summer months. Although the gradual reduction of losses in public water supply to an acceptable </w:t>
      </w:r>
      <w:r w:rsidRPr="00AB7D1E">
        <w:rPr>
          <w:rFonts w:eastAsia="Times New Roman"/>
          <w:lang w:val="en-US" w:eastAsia="hr-HR"/>
        </w:rPr>
        <w:lastRenderedPageBreak/>
        <w:t>level of 15 to 20% is a strategic goal of water management, according to data from 2017 the losses on the national level are still present with a share of about 50%.</w:t>
      </w:r>
      <w:r w:rsidRPr="00AB7D1E">
        <w:rPr>
          <w:rStyle w:val="FootnoteReference"/>
          <w:lang w:val="en-US"/>
        </w:rPr>
        <w:footnoteReference w:id="26"/>
      </w:r>
    </w:p>
    <w:p w14:paraId="64C50E62" w14:textId="5747ED1F" w:rsidR="00753D3B" w:rsidRPr="00AB7D1E" w:rsidRDefault="00753D3B" w:rsidP="00753D3B">
      <w:pPr>
        <w:rPr>
          <w:rFonts w:eastAsia="Times New Roman"/>
          <w:lang w:val="en-US" w:eastAsia="hr-HR"/>
        </w:rPr>
      </w:pPr>
      <w:r w:rsidRPr="00AB7D1E">
        <w:rPr>
          <w:rFonts w:eastAsia="Times New Roman"/>
          <w:lang w:val="en-US" w:eastAsia="hr-HR"/>
        </w:rPr>
        <w:t>In the Republic of Croatia there is a difference between public, local and individual water supply. Public water supply is performed by legal entities registered to p</w:t>
      </w:r>
      <w:r w:rsidR="008173FB" w:rsidRPr="00AB7D1E">
        <w:rPr>
          <w:rFonts w:eastAsia="Times New Roman"/>
          <w:lang w:val="en-US" w:eastAsia="hr-HR"/>
        </w:rPr>
        <w:t>rovide</w:t>
      </w:r>
      <w:r w:rsidRPr="00AB7D1E">
        <w:rPr>
          <w:rFonts w:eastAsia="Times New Roman"/>
          <w:lang w:val="en-US" w:eastAsia="hr-HR"/>
        </w:rPr>
        <w:t xml:space="preserve"> public water supply activities (public water service providers). Local water supply means local water supply systems that were built in the seventies and eighties of the last century from the </w:t>
      </w:r>
      <w:r w:rsidR="008173FB" w:rsidRPr="00AB7D1E">
        <w:rPr>
          <w:rFonts w:eastAsia="Times New Roman"/>
          <w:lang w:val="en-US" w:eastAsia="hr-HR"/>
        </w:rPr>
        <w:t xml:space="preserve">local community </w:t>
      </w:r>
      <w:r w:rsidRPr="00AB7D1E">
        <w:rPr>
          <w:rFonts w:eastAsia="Times New Roman"/>
          <w:lang w:val="en-US" w:eastAsia="hr-HR"/>
        </w:rPr>
        <w:t xml:space="preserve">funds and at the time of construction had all the valid and necessary permits. In 2018, there were 133 </w:t>
      </w:r>
      <w:r w:rsidR="008173FB" w:rsidRPr="00AB7D1E">
        <w:rPr>
          <w:rFonts w:eastAsia="Times New Roman"/>
          <w:lang w:val="en-US" w:eastAsia="hr-HR"/>
        </w:rPr>
        <w:t xml:space="preserve">public water service providers </w:t>
      </w:r>
      <w:r w:rsidRPr="00AB7D1E">
        <w:rPr>
          <w:rFonts w:eastAsia="Times New Roman"/>
          <w:lang w:val="en-US" w:eastAsia="hr-HR"/>
        </w:rPr>
        <w:t xml:space="preserve">and 220 local </w:t>
      </w:r>
      <w:r w:rsidR="007E06FE" w:rsidRPr="00AB7D1E">
        <w:rPr>
          <w:rFonts w:eastAsia="Times New Roman"/>
          <w:lang w:val="en-US" w:eastAsia="hr-HR"/>
        </w:rPr>
        <w:t xml:space="preserve">water service providers </w:t>
      </w:r>
      <w:r w:rsidRPr="00AB7D1E">
        <w:rPr>
          <w:rFonts w:eastAsia="Times New Roman"/>
          <w:lang w:val="en-US" w:eastAsia="hr-HR"/>
        </w:rPr>
        <w:t>were also registered.</w:t>
      </w:r>
    </w:p>
    <w:p w14:paraId="69282605" w14:textId="3ACD6C9C" w:rsidR="00C52435" w:rsidRPr="00AB7D1E" w:rsidRDefault="00C52435" w:rsidP="009744F0">
      <w:pPr>
        <w:rPr>
          <w:rFonts w:eastAsia="Times New Roman"/>
          <w:lang w:val="en-US" w:eastAsia="hr-HR"/>
        </w:rPr>
      </w:pPr>
      <w:r w:rsidRPr="00AB7D1E">
        <w:rPr>
          <w:rFonts w:eastAsia="Times New Roman"/>
          <w:lang w:val="en-US" w:eastAsia="hr-HR"/>
        </w:rPr>
        <w:t>The share of population connected to public sewerage systems is growing. In 2018, approximately 91</w:t>
      </w:r>
      <w:r w:rsidR="002C2604" w:rsidRPr="00AB7D1E">
        <w:rPr>
          <w:rFonts w:eastAsia="Times New Roman"/>
          <w:lang w:val="en-US" w:eastAsia="hr-HR"/>
        </w:rPr>
        <w:t>,</w:t>
      </w:r>
      <w:r w:rsidRPr="00AB7D1E">
        <w:rPr>
          <w:rFonts w:eastAsia="Times New Roman"/>
          <w:lang w:val="en-US" w:eastAsia="hr-HR"/>
        </w:rPr>
        <w:t>5% of the population was connected to public water supply, and approximately 1</w:t>
      </w:r>
      <w:r w:rsidR="002C2604" w:rsidRPr="00AB7D1E">
        <w:rPr>
          <w:rFonts w:eastAsia="Times New Roman"/>
          <w:lang w:val="en-US" w:eastAsia="hr-HR"/>
        </w:rPr>
        <w:t>,</w:t>
      </w:r>
      <w:r w:rsidRPr="00AB7D1E">
        <w:rPr>
          <w:rFonts w:eastAsia="Times New Roman"/>
          <w:lang w:val="en-US" w:eastAsia="hr-HR"/>
        </w:rPr>
        <w:t>47% to local water supply.</w:t>
      </w:r>
      <w:r w:rsidRPr="00AB7D1E">
        <w:rPr>
          <w:rStyle w:val="FootnoteReference"/>
          <w:rFonts w:eastAsia="Times New Roman"/>
          <w:lang w:val="en-US" w:eastAsia="hr-HR"/>
        </w:rPr>
        <w:t xml:space="preserve"> </w:t>
      </w:r>
      <w:r w:rsidRPr="00AB7D1E">
        <w:rPr>
          <w:rStyle w:val="FootnoteReference"/>
          <w:rFonts w:eastAsia="Times New Roman"/>
          <w:lang w:val="en-US" w:eastAsia="hr-HR"/>
        </w:rPr>
        <w:footnoteReference w:id="27"/>
      </w:r>
    </w:p>
    <w:p w14:paraId="5820791D" w14:textId="04A2823F" w:rsidR="00C65A2C" w:rsidRPr="00AB7D1E" w:rsidRDefault="00C65A2C" w:rsidP="009744F0">
      <w:pPr>
        <w:rPr>
          <w:rFonts w:eastAsia="Times New Roman"/>
          <w:lang w:val="en-US" w:eastAsia="hr-HR"/>
        </w:rPr>
      </w:pPr>
      <w:r w:rsidRPr="00AB7D1E">
        <w:rPr>
          <w:rFonts w:eastAsia="Times New Roman"/>
          <w:lang w:val="en-US" w:eastAsia="hr-HR"/>
        </w:rPr>
        <w:t>Water for human consumption must meet the parameters for checking the c</w:t>
      </w:r>
      <w:r w:rsidR="006757CE" w:rsidRPr="00AB7D1E">
        <w:rPr>
          <w:rFonts w:eastAsia="Times New Roman"/>
          <w:lang w:val="en-US" w:eastAsia="hr-HR"/>
        </w:rPr>
        <w:t>ompliance</w:t>
      </w:r>
      <w:r w:rsidRPr="00AB7D1E">
        <w:rPr>
          <w:rFonts w:eastAsia="Times New Roman"/>
          <w:lang w:val="en-US" w:eastAsia="hr-HR"/>
        </w:rPr>
        <w:t xml:space="preserve"> of water for human consumption </w:t>
      </w:r>
      <w:r w:rsidR="006757CE" w:rsidRPr="00AB7D1E">
        <w:rPr>
          <w:rFonts w:eastAsia="Times New Roman"/>
          <w:lang w:val="en-US" w:eastAsia="hr-HR"/>
        </w:rPr>
        <w:t>stipulated</w:t>
      </w:r>
      <w:r w:rsidRPr="00AB7D1E">
        <w:rPr>
          <w:rFonts w:eastAsia="Times New Roman"/>
          <w:lang w:val="en-US" w:eastAsia="hr-HR"/>
        </w:rPr>
        <w:t xml:space="preserve"> by the Ordinance on compliance parameters, methods of analysis, monitoring and safety plans for water for human consumption and the </w:t>
      </w:r>
      <w:r w:rsidR="006757CE" w:rsidRPr="00AB7D1E">
        <w:rPr>
          <w:rFonts w:eastAsia="Times New Roman"/>
          <w:lang w:val="en-US" w:eastAsia="hr-HR"/>
        </w:rPr>
        <w:t>ways</w:t>
      </w:r>
      <w:r w:rsidRPr="00AB7D1E">
        <w:rPr>
          <w:rFonts w:eastAsia="Times New Roman"/>
          <w:lang w:val="en-US" w:eastAsia="hr-HR"/>
        </w:rPr>
        <w:t xml:space="preserve"> of keeping the register of legal entities performing public water supply (</w:t>
      </w:r>
      <w:r w:rsidR="006757CE" w:rsidRPr="00AB7D1E">
        <w:rPr>
          <w:rFonts w:eastAsia="Times New Roman"/>
          <w:lang w:val="en-US" w:eastAsia="hr-HR"/>
        </w:rPr>
        <w:t>OG</w:t>
      </w:r>
      <w:r w:rsidRPr="00AB7D1E">
        <w:rPr>
          <w:rFonts w:eastAsia="Times New Roman"/>
          <w:lang w:val="en-US" w:eastAsia="hr-HR"/>
        </w:rPr>
        <w:t xml:space="preserve"> 125/17). At the level of the Republic of Croatia, monitoring of the health safety of water for human consumption is carried out according to the Monitoring Plan adopted by the Minister responsible for health at the proposal of the </w:t>
      </w:r>
      <w:r w:rsidR="006757CE" w:rsidRPr="00AB7D1E">
        <w:rPr>
          <w:rFonts w:eastAsia="Times New Roman"/>
          <w:lang w:val="en-US" w:eastAsia="hr-HR"/>
        </w:rPr>
        <w:t>Croatian Institute for Public Health (</w:t>
      </w:r>
      <w:r w:rsidRPr="00AB7D1E">
        <w:rPr>
          <w:rFonts w:eastAsia="Times New Roman"/>
          <w:lang w:val="en-US" w:eastAsia="hr-HR"/>
        </w:rPr>
        <w:t>CIPH</w:t>
      </w:r>
      <w:r w:rsidR="006757CE" w:rsidRPr="00AB7D1E">
        <w:rPr>
          <w:rFonts w:eastAsia="Times New Roman"/>
          <w:lang w:val="en-US" w:eastAsia="hr-HR"/>
        </w:rPr>
        <w:t>)</w:t>
      </w:r>
      <w:r w:rsidRPr="00AB7D1E">
        <w:rPr>
          <w:rFonts w:eastAsia="Times New Roman"/>
          <w:lang w:val="en-US" w:eastAsia="hr-HR"/>
        </w:rPr>
        <w:t xml:space="preserve">. The implementation of the Monitoring Plan is coordinated by the </w:t>
      </w:r>
      <w:proofErr w:type="gramStart"/>
      <w:r w:rsidRPr="00AB7D1E">
        <w:rPr>
          <w:rFonts w:eastAsia="Times New Roman"/>
          <w:lang w:val="en-US" w:eastAsia="hr-HR"/>
        </w:rPr>
        <w:t>CIPH, and</w:t>
      </w:r>
      <w:proofErr w:type="gramEnd"/>
      <w:r w:rsidRPr="00AB7D1E">
        <w:rPr>
          <w:rFonts w:eastAsia="Times New Roman"/>
          <w:lang w:val="en-US" w:eastAsia="hr-HR"/>
        </w:rPr>
        <w:t xml:space="preserve"> is carried out by the public health </w:t>
      </w:r>
      <w:r w:rsidR="009A5B29" w:rsidRPr="00AB7D1E">
        <w:rPr>
          <w:rFonts w:eastAsia="Times New Roman"/>
          <w:lang w:val="en-US" w:eastAsia="hr-HR"/>
        </w:rPr>
        <w:t xml:space="preserve">county </w:t>
      </w:r>
      <w:r w:rsidRPr="00AB7D1E">
        <w:rPr>
          <w:rFonts w:eastAsia="Times New Roman"/>
          <w:lang w:val="en-US" w:eastAsia="hr-HR"/>
        </w:rPr>
        <w:t xml:space="preserve">institutes or the </w:t>
      </w:r>
      <w:r w:rsidR="009A5B29" w:rsidRPr="00AB7D1E">
        <w:rPr>
          <w:rFonts w:eastAsia="Times New Roman"/>
          <w:lang w:val="en-US" w:eastAsia="hr-HR"/>
        </w:rPr>
        <w:t xml:space="preserve">institute of </w:t>
      </w:r>
      <w:r w:rsidRPr="00AB7D1E">
        <w:rPr>
          <w:rFonts w:eastAsia="Times New Roman"/>
          <w:lang w:val="en-US" w:eastAsia="hr-HR"/>
        </w:rPr>
        <w:t xml:space="preserve">City of Zagreb in the area of their local jurisdiction. A legal entity </w:t>
      </w:r>
      <w:r w:rsidR="009A5B29" w:rsidRPr="00AB7D1E">
        <w:rPr>
          <w:rFonts w:eastAsia="Times New Roman"/>
          <w:lang w:val="en-US" w:eastAsia="hr-HR"/>
        </w:rPr>
        <w:t>providing</w:t>
      </w:r>
      <w:r w:rsidRPr="00AB7D1E">
        <w:rPr>
          <w:rFonts w:eastAsia="Times New Roman"/>
          <w:lang w:val="en-US" w:eastAsia="hr-HR"/>
        </w:rPr>
        <w:t xml:space="preserve"> public water supply is obliged to ensure that water for human consumption delivered to users/consumers meets all prescribed parameters for conformity testing, </w:t>
      </w:r>
      <w:proofErr w:type="spellStart"/>
      <w:r w:rsidRPr="00AB7D1E">
        <w:rPr>
          <w:rFonts w:eastAsia="Times New Roman"/>
          <w:lang w:val="en-US" w:eastAsia="hr-HR"/>
        </w:rPr>
        <w:t>ie</w:t>
      </w:r>
      <w:proofErr w:type="spellEnd"/>
      <w:r w:rsidRPr="00AB7D1E">
        <w:rPr>
          <w:rFonts w:eastAsia="Times New Roman"/>
          <w:lang w:val="en-US" w:eastAsia="hr-HR"/>
        </w:rPr>
        <w:t xml:space="preserve"> meets the maximum permitted concentrations prescribed by the above-mentioned Ordinance.</w:t>
      </w:r>
    </w:p>
    <w:p w14:paraId="072EF557" w14:textId="04A3EFE0" w:rsidR="00AE69CE" w:rsidRPr="00AB7D1E" w:rsidRDefault="00AE69CE" w:rsidP="009744F0">
      <w:pPr>
        <w:rPr>
          <w:lang w:val="en-US"/>
        </w:rPr>
      </w:pPr>
      <w:r w:rsidRPr="00AB7D1E">
        <w:rPr>
          <w:lang w:val="en-US"/>
        </w:rPr>
        <w:t>According to publicly available information</w:t>
      </w:r>
      <w:r w:rsidRPr="00AB7D1E">
        <w:rPr>
          <w:rStyle w:val="FootnoteReference"/>
          <w:lang w:val="en-US"/>
        </w:rPr>
        <w:footnoteReference w:id="28"/>
      </w:r>
      <w:r w:rsidRPr="00AB7D1E">
        <w:rPr>
          <w:lang w:val="en-US"/>
        </w:rPr>
        <w:t xml:space="preserve">, surface water quality is significantly more </w:t>
      </w:r>
      <w:proofErr w:type="spellStart"/>
      <w:r w:rsidR="00882FEA" w:rsidRPr="00AB7D1E">
        <w:rPr>
          <w:lang w:val="en-US"/>
        </w:rPr>
        <w:t>favourable</w:t>
      </w:r>
      <w:proofErr w:type="spellEnd"/>
      <w:r w:rsidRPr="00AB7D1E">
        <w:rPr>
          <w:lang w:val="en-US"/>
        </w:rPr>
        <w:t xml:space="preserve"> in the ADB than in the DBD, which mainly refers to smaller continental rivers. Groundwater quality is generally assessed as good, but as groundwater is extremely important for the needs of public water supply (almost 90% of affected water quantities), it is necessary to preserve not only their good quantitative but also chemical state.</w:t>
      </w:r>
    </w:p>
    <w:p w14:paraId="22ABB0E9" w14:textId="56E4D84D" w:rsidR="002E1249" w:rsidRPr="00AB7D1E" w:rsidRDefault="002E1249" w:rsidP="00724DBA">
      <w:pPr>
        <w:rPr>
          <w:rFonts w:eastAsia="Times New Roman"/>
          <w:lang w:val="en-US" w:eastAsia="hr-HR"/>
        </w:rPr>
      </w:pPr>
      <w:r w:rsidRPr="00AB7D1E">
        <w:rPr>
          <w:rFonts w:eastAsia="Times New Roman"/>
          <w:lang w:val="en-US" w:eastAsia="hr-HR"/>
        </w:rPr>
        <w:t>Progress has been made in the area of municipal wastewater treatment, but not at a satisfactory pace. In 201</w:t>
      </w:r>
      <w:r w:rsidR="00365AFF" w:rsidRPr="00AB7D1E">
        <w:rPr>
          <w:rFonts w:eastAsia="Times New Roman"/>
          <w:lang w:val="en-US" w:eastAsia="hr-HR"/>
        </w:rPr>
        <w:t>6</w:t>
      </w:r>
      <w:r w:rsidRPr="00AB7D1E">
        <w:rPr>
          <w:rFonts w:eastAsia="Times New Roman"/>
          <w:lang w:val="en-US" w:eastAsia="hr-HR"/>
        </w:rPr>
        <w:t xml:space="preserve">, about </w:t>
      </w:r>
      <w:r w:rsidR="00365AFF" w:rsidRPr="00AB7D1E">
        <w:rPr>
          <w:rFonts w:eastAsia="Times New Roman"/>
          <w:lang w:val="en-US" w:eastAsia="hr-HR"/>
        </w:rPr>
        <w:t>150</w:t>
      </w:r>
      <w:r w:rsidR="00365AFF" w:rsidRPr="00AB7D1E">
        <w:rPr>
          <w:rStyle w:val="FootnoteReference"/>
          <w:rFonts w:eastAsia="Times New Roman"/>
          <w:lang w:val="en-US" w:eastAsia="hr-HR"/>
        </w:rPr>
        <w:footnoteReference w:id="29"/>
      </w:r>
      <w:r w:rsidRPr="00AB7D1E">
        <w:rPr>
          <w:rFonts w:eastAsia="Times New Roman"/>
          <w:lang w:val="en-US" w:eastAsia="hr-HR"/>
        </w:rPr>
        <w:t xml:space="preserve"> wastewater treatment plants were active. In accordance with the </w:t>
      </w:r>
      <w:hyperlink r:id="rId25" w:tgtFrame="_blank" w:history="1">
        <w:r w:rsidRPr="00AB7D1E">
          <w:rPr>
            <w:rFonts w:cstheme="minorHAnsi"/>
            <w:color w:val="333333"/>
            <w:u w:val="single"/>
            <w:shd w:val="clear" w:color="auto" w:fill="FFFFFF"/>
            <w:lang w:val="en-US"/>
          </w:rPr>
          <w:t>Implementation Plan (revised) for Water Utility Directives</w:t>
        </w:r>
      </w:hyperlink>
      <w:r w:rsidRPr="00AB7D1E">
        <w:rPr>
          <w:rFonts w:eastAsia="Times New Roman"/>
          <w:lang w:val="en-US" w:eastAsia="hr-HR"/>
        </w:rPr>
        <w:t>, by 2023 the functionality of the treatment plant for 294 agglomerations is planned.</w:t>
      </w:r>
    </w:p>
    <w:p w14:paraId="2D722253" w14:textId="6ABD8192" w:rsidR="00136E96" w:rsidRPr="00AB7D1E" w:rsidRDefault="00136E96" w:rsidP="009C739C">
      <w:pPr>
        <w:rPr>
          <w:lang w:val="en-US"/>
        </w:rPr>
      </w:pPr>
      <w:r w:rsidRPr="00AB7D1E">
        <w:rPr>
          <w:lang w:val="en-US"/>
        </w:rPr>
        <w:t xml:space="preserve">The </w:t>
      </w:r>
      <w:r w:rsidR="00EE61D6" w:rsidRPr="00AB7D1E">
        <w:rPr>
          <w:lang w:val="en-US"/>
        </w:rPr>
        <w:t xml:space="preserve">Monitoring </w:t>
      </w:r>
      <w:r w:rsidRPr="00AB7D1E">
        <w:rPr>
          <w:lang w:val="en-US"/>
        </w:rPr>
        <w:t>program for the quality of the sea and inland surface bathing waters</w:t>
      </w:r>
      <w:r w:rsidR="00EE61D6" w:rsidRPr="00AB7D1E">
        <w:rPr>
          <w:rStyle w:val="FootnoteReference"/>
          <w:lang w:val="en-US"/>
        </w:rPr>
        <w:footnoteReference w:id="30"/>
      </w:r>
      <w:r w:rsidR="00EE61D6" w:rsidRPr="00AB7D1E">
        <w:rPr>
          <w:lang w:val="en-US"/>
        </w:rPr>
        <w:t xml:space="preserve"> </w:t>
      </w:r>
      <w:r w:rsidRPr="00AB7D1E">
        <w:rPr>
          <w:lang w:val="en-US"/>
        </w:rPr>
        <w:t>is regularly implemented in the area of seven coastal counties and individual local self-government units. According to th</w:t>
      </w:r>
      <w:r w:rsidR="00EE61D6" w:rsidRPr="00AB7D1E">
        <w:rPr>
          <w:lang w:val="en-US"/>
        </w:rPr>
        <w:t xml:space="preserve">at </w:t>
      </w:r>
      <w:r w:rsidRPr="00AB7D1E">
        <w:rPr>
          <w:lang w:val="en-US"/>
        </w:rPr>
        <w:t xml:space="preserve">Program, the bathing season is the period from June 1 to September 15, and the monitoring of sea quality is performed from May 15 to September 30. Before each bathing season, </w:t>
      </w:r>
      <w:r w:rsidRPr="00AB7D1E">
        <w:rPr>
          <w:lang w:val="en-US"/>
        </w:rPr>
        <w:lastRenderedPageBreak/>
        <w:t xml:space="preserve">the county defines sampling points. Water and sea quality monitoring is performed by authorized </w:t>
      </w:r>
      <w:r w:rsidR="00EE61D6" w:rsidRPr="00AB7D1E">
        <w:rPr>
          <w:lang w:val="en-US"/>
        </w:rPr>
        <w:t>entities</w:t>
      </w:r>
      <w:r w:rsidRPr="00AB7D1E">
        <w:rPr>
          <w:lang w:val="en-US"/>
        </w:rPr>
        <w:t xml:space="preserve">, </w:t>
      </w:r>
      <w:r w:rsidR="00EE61D6" w:rsidRPr="00AB7D1E">
        <w:rPr>
          <w:lang w:val="en-US"/>
        </w:rPr>
        <w:t>i.e.</w:t>
      </w:r>
      <w:r w:rsidRPr="00AB7D1E">
        <w:rPr>
          <w:lang w:val="en-US"/>
        </w:rPr>
        <w:t xml:space="preserve"> county Public Health Institutes and authorized laboratories, and before the start of each bathing season the authorized </w:t>
      </w:r>
      <w:r w:rsidR="00EE61D6" w:rsidRPr="00AB7D1E">
        <w:rPr>
          <w:lang w:val="en-US"/>
        </w:rPr>
        <w:t>entity</w:t>
      </w:r>
      <w:r w:rsidRPr="00AB7D1E">
        <w:rPr>
          <w:lang w:val="en-US"/>
        </w:rPr>
        <w:t xml:space="preserve"> prepares a testing calendar with the consent of the competent administrative body in the county. The assessment of the quality of sea and bathing water is determined </w:t>
      </w:r>
      <w:proofErr w:type="gramStart"/>
      <w:r w:rsidRPr="00AB7D1E">
        <w:rPr>
          <w:lang w:val="en-US"/>
        </w:rPr>
        <w:t>on the basis of</w:t>
      </w:r>
      <w:proofErr w:type="gramEnd"/>
      <w:r w:rsidRPr="00AB7D1E">
        <w:rPr>
          <w:lang w:val="en-US"/>
        </w:rPr>
        <w:t xml:space="preserve"> microbiological indicators: Escherichia coli and Intestinal enterococci, for which limit values are prescribed by the Bathing Sea Quality Regulation and the Bathing Water Quality Regulation.</w:t>
      </w:r>
    </w:p>
    <w:p w14:paraId="08EB0555" w14:textId="20361AED" w:rsidR="001167C4" w:rsidRPr="00AB7D1E" w:rsidRDefault="001167C4" w:rsidP="004E4D82">
      <w:pPr>
        <w:rPr>
          <w:lang w:val="en-US" w:eastAsia="hr-HR"/>
        </w:rPr>
      </w:pPr>
      <w:r w:rsidRPr="00AB7D1E">
        <w:rPr>
          <w:lang w:val="en-US" w:eastAsia="hr-HR"/>
        </w:rPr>
        <w:t xml:space="preserve">The results of the bathing water and sea quality testing at each of the testing points included in the </w:t>
      </w:r>
      <w:r w:rsidR="0005247F" w:rsidRPr="00AB7D1E">
        <w:rPr>
          <w:lang w:val="en-US" w:eastAsia="hr-HR"/>
        </w:rPr>
        <w:t>Monitoring p</w:t>
      </w:r>
      <w:r w:rsidRPr="00AB7D1E">
        <w:rPr>
          <w:lang w:val="en-US" w:eastAsia="hr-HR"/>
        </w:rPr>
        <w:t xml:space="preserve">rogram are available to the public in real time on the website of the </w:t>
      </w:r>
      <w:proofErr w:type="spellStart"/>
      <w:r w:rsidRPr="00AB7D1E">
        <w:rPr>
          <w:lang w:val="en-US" w:eastAsia="hr-HR"/>
        </w:rPr>
        <w:t>M</w:t>
      </w:r>
      <w:r w:rsidR="00882FEA" w:rsidRPr="00AB7D1E">
        <w:rPr>
          <w:lang w:val="en-US" w:eastAsia="hr-HR"/>
        </w:rPr>
        <w:t>o</w:t>
      </w:r>
      <w:r w:rsidRPr="00AB7D1E">
        <w:rPr>
          <w:lang w:val="en-US" w:eastAsia="hr-HR"/>
        </w:rPr>
        <w:t>ESD</w:t>
      </w:r>
      <w:proofErr w:type="spellEnd"/>
      <w:r w:rsidRPr="00AB7D1E">
        <w:rPr>
          <w:lang w:val="en-US" w:eastAsia="hr-HR"/>
        </w:rPr>
        <w:t>.</w:t>
      </w:r>
    </w:p>
    <w:p w14:paraId="49321B18" w14:textId="3928B65A" w:rsidR="001167C4" w:rsidRPr="00AB7D1E" w:rsidRDefault="001167C4" w:rsidP="004E4D82">
      <w:pPr>
        <w:rPr>
          <w:lang w:val="en-US" w:eastAsia="hr-HR"/>
        </w:rPr>
      </w:pPr>
      <w:r w:rsidRPr="00AB7D1E">
        <w:rPr>
          <w:lang w:val="en-US" w:eastAsia="hr-HR"/>
        </w:rPr>
        <w:t>Regarding quality of bathing water and sea</w:t>
      </w:r>
      <w:r w:rsidR="009558ED" w:rsidRPr="00AB7D1E">
        <w:rPr>
          <w:lang w:val="en-US" w:eastAsia="hr-HR"/>
        </w:rPr>
        <w:t xml:space="preserve"> among European Countries</w:t>
      </w:r>
      <w:r w:rsidRPr="00AB7D1E">
        <w:rPr>
          <w:lang w:val="en-US" w:eastAsia="hr-HR"/>
        </w:rPr>
        <w:t>, Croatia is in a high fifth place with 95</w:t>
      </w:r>
      <w:r w:rsidR="007C5DB7" w:rsidRPr="00AB7D1E">
        <w:rPr>
          <w:lang w:val="en-US" w:eastAsia="hr-HR"/>
        </w:rPr>
        <w:t>,</w:t>
      </w:r>
      <w:r w:rsidRPr="00AB7D1E">
        <w:rPr>
          <w:lang w:val="en-US" w:eastAsia="hr-HR"/>
        </w:rPr>
        <w:t>6% of excellently rated test points, just behind Cyprus, Austria, Malta and Greece.</w:t>
      </w:r>
      <w:r w:rsidRPr="00AB7D1E">
        <w:rPr>
          <w:rStyle w:val="FootnoteReference"/>
          <w:rFonts w:eastAsia="Times New Roman" w:cstheme="minorHAnsi"/>
          <w:lang w:val="en-US" w:eastAsia="hr-HR"/>
        </w:rPr>
        <w:t xml:space="preserve"> </w:t>
      </w:r>
      <w:r w:rsidRPr="00AB7D1E">
        <w:rPr>
          <w:rStyle w:val="FootnoteReference"/>
          <w:rFonts w:eastAsia="Times New Roman" w:cstheme="minorHAnsi"/>
          <w:lang w:val="en-US" w:eastAsia="hr-HR"/>
        </w:rPr>
        <w:footnoteReference w:id="31"/>
      </w:r>
    </w:p>
    <w:p w14:paraId="77BEA694" w14:textId="76251CDA" w:rsidR="0005247F" w:rsidRPr="00AB7D1E" w:rsidRDefault="0005247F" w:rsidP="004E4D82">
      <w:pPr>
        <w:rPr>
          <w:lang w:val="en-US"/>
        </w:rPr>
      </w:pPr>
      <w:r w:rsidRPr="00AB7D1E">
        <w:rPr>
          <w:lang w:val="en-US"/>
        </w:rPr>
        <w:t xml:space="preserve">Sustainable management of the Adriatic Sea, coast and islands is implemented through the implementation of documents within the Strategy for the Management of the Marine Environment and Coastal Area. </w:t>
      </w:r>
    </w:p>
    <w:p w14:paraId="62750267" w14:textId="154B6E70" w:rsidR="00775AAB" w:rsidRPr="00AB7D1E" w:rsidRDefault="00775AAB" w:rsidP="00775AAB">
      <w:pPr>
        <w:pStyle w:val="Heading3"/>
        <w:rPr>
          <w:lang w:val="en-US"/>
        </w:rPr>
      </w:pPr>
      <w:bookmarkStart w:id="50" w:name="_Toc56954040"/>
      <w:r w:rsidRPr="00AB7D1E">
        <w:rPr>
          <w:lang w:val="en-US"/>
        </w:rPr>
        <w:t>Waste management</w:t>
      </w:r>
      <w:bookmarkEnd w:id="50"/>
    </w:p>
    <w:p w14:paraId="5415426B" w14:textId="77777777" w:rsidR="00EE53FD" w:rsidRPr="005B0B56" w:rsidRDefault="00EE53FD" w:rsidP="00EE53FD">
      <w:pPr>
        <w:rPr>
          <w:rFonts w:ascii="Calibri" w:hAnsi="Calibri"/>
          <w:lang w:val="en-GB"/>
        </w:rPr>
      </w:pPr>
      <w:r w:rsidRPr="005B0B56">
        <w:rPr>
          <w:rFonts w:ascii="Calibri" w:hAnsi="Calibri"/>
          <w:lang w:val="en-GB"/>
        </w:rPr>
        <w:t>The total amount of waste (production and municipal) in the Republic of Croatia is estimated at 5,5 million tons</w:t>
      </w:r>
      <w:r w:rsidRPr="005B0B56">
        <w:rPr>
          <w:rFonts w:ascii="Calibri" w:hAnsi="Calibri"/>
          <w:vertAlign w:val="superscript"/>
          <w:lang w:val="en-GB"/>
        </w:rPr>
        <w:footnoteReference w:id="32"/>
      </w:r>
      <w:r w:rsidRPr="005B0B56">
        <w:rPr>
          <w:rFonts w:ascii="Calibri" w:hAnsi="Calibri"/>
          <w:lang w:val="en-GB"/>
        </w:rPr>
        <w:t>. The amount of hazardous waste is around 175.000 tons, which is about 3% of the total waste generation.</w:t>
      </w:r>
    </w:p>
    <w:p w14:paraId="4EA1E51A" w14:textId="77777777" w:rsidR="00EE53FD" w:rsidRPr="005B0B56" w:rsidRDefault="00EE53FD" w:rsidP="00EE53FD">
      <w:pPr>
        <w:rPr>
          <w:rFonts w:ascii="Calibri" w:hAnsi="Calibri"/>
          <w:lang w:val="en-GB"/>
        </w:rPr>
      </w:pPr>
      <w:r w:rsidRPr="005B0B56">
        <w:rPr>
          <w:rFonts w:ascii="Calibri" w:hAnsi="Calibri"/>
          <w:lang w:val="en-GB"/>
        </w:rPr>
        <w:t>From 2016 onwards, there has been a significant increase in the amount of production waste. Also was a slight increase in the amount of municipal waste in the observed period recorded.</w:t>
      </w:r>
    </w:p>
    <w:p w14:paraId="33DEF54E" w14:textId="77777777" w:rsidR="00EE53FD" w:rsidRPr="005B0B56" w:rsidRDefault="00EE53FD" w:rsidP="00EE53FD">
      <w:pPr>
        <w:rPr>
          <w:rFonts w:ascii="Calibri" w:hAnsi="Calibri"/>
          <w:lang w:val="en-GB"/>
        </w:rPr>
      </w:pPr>
      <w:r w:rsidRPr="005B0B56">
        <w:rPr>
          <w:rFonts w:ascii="Calibri" w:hAnsi="Calibri"/>
          <w:lang w:val="en-GB"/>
        </w:rPr>
        <w:t xml:space="preserve">The largest generators of waste in the Republic of Croatia are construction sector (23%) and households (23%). </w:t>
      </w:r>
    </w:p>
    <w:p w14:paraId="0B758988" w14:textId="77777777" w:rsidR="00EE53FD" w:rsidRPr="005B0B56" w:rsidRDefault="00EE53FD" w:rsidP="00EE53FD">
      <w:pPr>
        <w:rPr>
          <w:rFonts w:ascii="Calibri" w:hAnsi="Calibri"/>
          <w:lang w:val="en-GB"/>
        </w:rPr>
      </w:pPr>
      <w:r w:rsidRPr="005B0B56">
        <w:rPr>
          <w:rFonts w:ascii="Calibri" w:hAnsi="Calibri"/>
          <w:lang w:val="en-GB"/>
        </w:rPr>
        <w:t>The total amount of construction waste generated in 2019 is estimated at 1,37 million tons. The largest share in construction waste makes soil, stones and dredging waste (45,5%), followed by mixed construction waste and demolition waste (19,1%). Waste concrete, bricks, tiles and ceramics makes 16,1% of total construction waste, while metals and their alloys represent 13% and other types of waste by less than 7%.</w:t>
      </w:r>
    </w:p>
    <w:p w14:paraId="3729D1DE" w14:textId="77777777" w:rsidR="00EE53FD" w:rsidRPr="005B0B56" w:rsidRDefault="00EE53FD" w:rsidP="00EE53FD">
      <w:pPr>
        <w:rPr>
          <w:rFonts w:ascii="Calibri" w:hAnsi="Calibri"/>
          <w:lang w:val="en-GB"/>
        </w:rPr>
      </w:pPr>
      <w:r w:rsidRPr="005B0B56">
        <w:rPr>
          <w:rFonts w:ascii="Calibri" w:hAnsi="Calibri"/>
          <w:lang w:val="en-GB"/>
        </w:rPr>
        <w:t xml:space="preserve">The total amount of treated construction waste in 2019 was 1,06 million tons. The remaining unrecorded, about 300.000 tons, could refer to unreported data in the case of export, temporary storage, implementation of a procedure for which no permit has been obtained, </w:t>
      </w:r>
      <w:proofErr w:type="spellStart"/>
      <w:r w:rsidRPr="005B0B56">
        <w:rPr>
          <w:rFonts w:ascii="Calibri" w:hAnsi="Calibri"/>
          <w:lang w:val="en-GB"/>
        </w:rPr>
        <w:t>eg</w:t>
      </w:r>
      <w:proofErr w:type="spellEnd"/>
      <w:r w:rsidRPr="005B0B56">
        <w:rPr>
          <w:rFonts w:ascii="Calibri" w:hAnsi="Calibri"/>
          <w:lang w:val="en-GB"/>
        </w:rPr>
        <w:t xml:space="preserve"> for backfilling, or to waste dumped in the environment to illegal dumps.</w:t>
      </w:r>
    </w:p>
    <w:p w14:paraId="5A64F29C" w14:textId="77777777" w:rsidR="00EE53FD" w:rsidRPr="005B0B56" w:rsidRDefault="00EE53FD" w:rsidP="00EE53FD">
      <w:pPr>
        <w:rPr>
          <w:rFonts w:ascii="Calibri" w:hAnsi="Calibri"/>
          <w:lang w:val="en-GB"/>
        </w:rPr>
      </w:pPr>
      <w:r w:rsidRPr="005B0B56">
        <w:rPr>
          <w:rFonts w:ascii="Calibri" w:hAnsi="Calibri"/>
          <w:lang w:val="en-GB"/>
        </w:rPr>
        <w:t xml:space="preserve">Thus, the construction waste recovery rate for 2019 accounts to 67%. According to the Waste Framework Directive (2008/98/EU) target recycling rate for construction waste for 2020 is 70%. </w:t>
      </w:r>
    </w:p>
    <w:p w14:paraId="6DBC3704" w14:textId="77777777" w:rsidR="00EE53FD" w:rsidRPr="005B0B56" w:rsidRDefault="00EE53FD" w:rsidP="00EE53FD">
      <w:pPr>
        <w:rPr>
          <w:rFonts w:ascii="Calibri" w:hAnsi="Calibri"/>
          <w:lang w:val="en-GB"/>
        </w:rPr>
      </w:pPr>
      <w:r w:rsidRPr="005B0B56">
        <w:rPr>
          <w:rFonts w:ascii="Calibri" w:hAnsi="Calibri"/>
          <w:lang w:val="en-GB"/>
        </w:rPr>
        <w:t xml:space="preserve">The largest amounts of construction waste are generated in the City of Zagreb (23,7%), while in Zagreb County it is generated 8,3% and in </w:t>
      </w:r>
      <w:proofErr w:type="spellStart"/>
      <w:r w:rsidRPr="005B0B56">
        <w:rPr>
          <w:rFonts w:ascii="Calibri" w:hAnsi="Calibri"/>
          <w:lang w:val="en-GB"/>
        </w:rPr>
        <w:t>Krapina</w:t>
      </w:r>
      <w:proofErr w:type="spellEnd"/>
      <w:r w:rsidRPr="005B0B56">
        <w:rPr>
          <w:rFonts w:ascii="Calibri" w:hAnsi="Calibri"/>
          <w:lang w:val="en-GB"/>
        </w:rPr>
        <w:t xml:space="preserve"> - </w:t>
      </w:r>
      <w:proofErr w:type="spellStart"/>
      <w:r w:rsidRPr="005B0B56">
        <w:rPr>
          <w:rFonts w:ascii="Calibri" w:hAnsi="Calibri"/>
          <w:lang w:val="en-GB"/>
        </w:rPr>
        <w:t>Zagorje</w:t>
      </w:r>
      <w:proofErr w:type="spellEnd"/>
      <w:r w:rsidRPr="005B0B56">
        <w:rPr>
          <w:rFonts w:ascii="Calibri" w:hAnsi="Calibri"/>
          <w:lang w:val="en-GB"/>
        </w:rPr>
        <w:t xml:space="preserve"> County 1,7%.</w:t>
      </w:r>
    </w:p>
    <w:p w14:paraId="331D5C95" w14:textId="4EDCB30A" w:rsidR="00F13FBC" w:rsidRPr="00EE53FD" w:rsidRDefault="00EE53FD" w:rsidP="00602A51">
      <w:pPr>
        <w:rPr>
          <w:rFonts w:ascii="Calibri" w:hAnsi="Calibri"/>
          <w:lang w:val="en-GB"/>
        </w:rPr>
      </w:pPr>
      <w:r w:rsidRPr="005B0B56">
        <w:rPr>
          <w:rFonts w:ascii="Calibri" w:hAnsi="Calibri"/>
          <w:lang w:val="en-GB"/>
        </w:rPr>
        <w:t xml:space="preserve">Hazardous waste in construction waste accounts for 1.9% (26.007 t). </w:t>
      </w:r>
    </w:p>
    <w:p w14:paraId="21D72640" w14:textId="77777777" w:rsidR="00990DF6" w:rsidRPr="005B0B56" w:rsidRDefault="00990DF6" w:rsidP="00990DF6">
      <w:pPr>
        <w:rPr>
          <w:rFonts w:ascii="Calibri" w:hAnsi="Calibri"/>
          <w:lang w:val="en-GB"/>
        </w:rPr>
      </w:pPr>
      <w:r w:rsidRPr="005B0B56">
        <w:rPr>
          <w:rFonts w:ascii="Calibri" w:hAnsi="Calibri"/>
          <w:lang w:val="en-GB"/>
        </w:rPr>
        <w:lastRenderedPageBreak/>
        <w:t>In 2019, each citizen of RC generated 444 kg municipal waste (1.811.617 t), which ranks Croatia among the countries with the lowest waste generation in the EU (the EU average is 492 kg per capita in 2018</w:t>
      </w:r>
      <w:r w:rsidRPr="005B0B56">
        <w:rPr>
          <w:rFonts w:ascii="Calibri" w:hAnsi="Calibri"/>
          <w:vertAlign w:val="superscript"/>
          <w:lang w:val="en-GB"/>
        </w:rPr>
        <w:footnoteReference w:id="33"/>
      </w:r>
      <w:r w:rsidRPr="005B0B56">
        <w:rPr>
          <w:rFonts w:ascii="Calibri" w:hAnsi="Calibri"/>
          <w:lang w:val="en-GB"/>
        </w:rPr>
        <w:t>).</w:t>
      </w:r>
    </w:p>
    <w:p w14:paraId="55E32E27" w14:textId="77777777" w:rsidR="00990DF6" w:rsidRPr="005B0B56" w:rsidRDefault="00990DF6" w:rsidP="00990DF6">
      <w:pPr>
        <w:rPr>
          <w:rFonts w:ascii="Calibri" w:hAnsi="Calibri"/>
          <w:lang w:val="en-GB"/>
        </w:rPr>
      </w:pPr>
      <w:r w:rsidRPr="005B0B56">
        <w:rPr>
          <w:rFonts w:ascii="Calibri" w:hAnsi="Calibri"/>
          <w:lang w:val="en-GB"/>
        </w:rPr>
        <w:t>The public service of collecting mixed municipal waste is performed by 217 companies. The coverage of the population by organized collection of municipal waste is 99%, and all municipalities and cities have organized collection and disposal of municipal waste.</w:t>
      </w:r>
    </w:p>
    <w:p w14:paraId="06C56CA9" w14:textId="116D3072" w:rsidR="00F13FBC" w:rsidRPr="00990DF6" w:rsidRDefault="00990DF6" w:rsidP="00F13FBC">
      <w:pPr>
        <w:rPr>
          <w:rFonts w:ascii="Calibri" w:hAnsi="Calibri"/>
          <w:lang w:val="en-GB"/>
        </w:rPr>
      </w:pPr>
      <w:r w:rsidRPr="005B0B56">
        <w:rPr>
          <w:rFonts w:ascii="Calibri" w:hAnsi="Calibri"/>
          <w:lang w:val="en-GB"/>
        </w:rPr>
        <w:t>Mixed municipal waste still accounts for the largest share in municipal waste (63%), thus the rate of separate collection in 2019 was 37%, which is 6% more than in the previous year.</w:t>
      </w:r>
    </w:p>
    <w:p w14:paraId="7A4316E6" w14:textId="7C787257" w:rsidR="00F13FBC" w:rsidRPr="00AB7D1E" w:rsidRDefault="00F13FBC" w:rsidP="00F13FBC">
      <w:pPr>
        <w:rPr>
          <w:lang w:val="en-US"/>
        </w:rPr>
      </w:pPr>
      <w:r w:rsidRPr="00AB7D1E">
        <w:rPr>
          <w:lang w:val="en-US"/>
        </w:rPr>
        <w:t xml:space="preserve">Not all separately collected municipal waste is sent for recovery. Part of the separately collected waste ends up in landfills, where a certain amount may be prepared for recovery purposes. </w:t>
      </w:r>
    </w:p>
    <w:p w14:paraId="2104A120" w14:textId="0DBA56DE" w:rsidR="008A6FAE" w:rsidRPr="00AB7D1E" w:rsidRDefault="00990DF6" w:rsidP="00457108">
      <w:pPr>
        <w:rPr>
          <w:lang w:val="en-US"/>
        </w:rPr>
      </w:pPr>
      <w:r w:rsidRPr="005B0B56">
        <w:rPr>
          <w:rFonts w:ascii="Calibri" w:hAnsi="Calibri"/>
          <w:lang w:val="en-GB"/>
        </w:rPr>
        <w:t>In 2019, the municipal waste recovery rate increased by 5% compared to 2018, and it amounted to 30%. According to the Waste Framework Directive (2008/98/EU) target recycling rate for municipal waste for 2020 is 50%.</w:t>
      </w:r>
      <w:r w:rsidR="00457108" w:rsidRPr="00AB7D1E">
        <w:rPr>
          <w:lang w:val="en-US"/>
        </w:rPr>
        <w:t xml:space="preserve"> </w:t>
      </w:r>
    </w:p>
    <w:p w14:paraId="765520A8" w14:textId="68A73165" w:rsidR="000424ED" w:rsidRPr="00AB7D1E" w:rsidRDefault="000424ED" w:rsidP="007D1E1B">
      <w:pPr>
        <w:pStyle w:val="Style1"/>
      </w:pPr>
      <w:bookmarkStart w:id="51" w:name="_Toc56952703"/>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3</w:t>
      </w:r>
      <w:r w:rsidR="00DF4A34" w:rsidRPr="00AB7D1E">
        <w:fldChar w:fldCharType="end"/>
      </w:r>
      <w:r w:rsidRPr="00AB7D1E">
        <w:t>. Municipal waste management in Croatia in 201</w:t>
      </w:r>
      <w:r w:rsidR="00990DF6">
        <w:t>9</w:t>
      </w:r>
      <w:bookmarkEnd w:id="5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222"/>
        <w:gridCol w:w="987"/>
        <w:gridCol w:w="1639"/>
        <w:gridCol w:w="1546"/>
        <w:gridCol w:w="1244"/>
        <w:gridCol w:w="1299"/>
      </w:tblGrid>
      <w:tr w:rsidR="00990DF6" w:rsidRPr="005B0B56" w14:paraId="7C0A6F05" w14:textId="77777777" w:rsidTr="007D4FEA">
        <w:tc>
          <w:tcPr>
            <w:tcW w:w="1130" w:type="dxa"/>
            <w:shd w:val="clear" w:color="auto" w:fill="CEDBE6"/>
            <w:vAlign w:val="center"/>
          </w:tcPr>
          <w:p w14:paraId="1D659934"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Generated</w:t>
            </w:r>
          </w:p>
        </w:tc>
        <w:tc>
          <w:tcPr>
            <w:tcW w:w="1222" w:type="dxa"/>
            <w:shd w:val="clear" w:color="auto" w:fill="CEDBE6"/>
            <w:vAlign w:val="center"/>
          </w:tcPr>
          <w:p w14:paraId="5DB32426"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Separately collected</w:t>
            </w:r>
          </w:p>
        </w:tc>
        <w:tc>
          <w:tcPr>
            <w:tcW w:w="0" w:type="auto"/>
            <w:shd w:val="clear" w:color="auto" w:fill="CEDBE6"/>
            <w:vAlign w:val="center"/>
          </w:tcPr>
          <w:p w14:paraId="3C7EB1DA"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Recycled</w:t>
            </w:r>
          </w:p>
        </w:tc>
        <w:tc>
          <w:tcPr>
            <w:tcW w:w="1639" w:type="dxa"/>
            <w:shd w:val="clear" w:color="auto" w:fill="CEDBE6"/>
            <w:vAlign w:val="center"/>
          </w:tcPr>
          <w:p w14:paraId="6379CF2F"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Composted /anaerobic digestion</w:t>
            </w:r>
          </w:p>
        </w:tc>
        <w:tc>
          <w:tcPr>
            <w:tcW w:w="1546" w:type="dxa"/>
            <w:shd w:val="clear" w:color="auto" w:fill="CEDBE6"/>
            <w:vAlign w:val="center"/>
          </w:tcPr>
          <w:p w14:paraId="530E39DB"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Energy recovery (R1)</w:t>
            </w:r>
          </w:p>
        </w:tc>
        <w:tc>
          <w:tcPr>
            <w:tcW w:w="1244" w:type="dxa"/>
            <w:shd w:val="clear" w:color="auto" w:fill="CEDBE6"/>
            <w:vAlign w:val="center"/>
          </w:tcPr>
          <w:p w14:paraId="63CE6318"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Incineration (D10)</w:t>
            </w:r>
          </w:p>
        </w:tc>
        <w:tc>
          <w:tcPr>
            <w:tcW w:w="1299" w:type="dxa"/>
            <w:shd w:val="clear" w:color="auto" w:fill="CEDBE6"/>
            <w:vAlign w:val="center"/>
          </w:tcPr>
          <w:p w14:paraId="7FBC7611" w14:textId="77777777" w:rsidR="00990DF6" w:rsidRPr="005B0B56" w:rsidRDefault="00990DF6" w:rsidP="007D4FEA">
            <w:pPr>
              <w:spacing w:before="0" w:after="0" w:line="240" w:lineRule="auto"/>
              <w:jc w:val="center"/>
              <w:rPr>
                <w:rFonts w:ascii="Calibri" w:hAnsi="Calibri"/>
                <w:b/>
                <w:bCs/>
                <w:sz w:val="20"/>
                <w:szCs w:val="20"/>
                <w:lang w:val="en-GB"/>
              </w:rPr>
            </w:pPr>
            <w:r w:rsidRPr="005B0B56">
              <w:rPr>
                <w:rFonts w:ascii="Calibri" w:hAnsi="Calibri"/>
                <w:b/>
                <w:bCs/>
                <w:sz w:val="20"/>
                <w:szCs w:val="20"/>
                <w:lang w:val="en-GB"/>
              </w:rPr>
              <w:t>Landfilling</w:t>
            </w:r>
          </w:p>
        </w:tc>
      </w:tr>
      <w:tr w:rsidR="00990DF6" w:rsidRPr="005B0B56" w14:paraId="21B697F9" w14:textId="77777777" w:rsidTr="007D4FEA">
        <w:tc>
          <w:tcPr>
            <w:tcW w:w="1130" w:type="dxa"/>
            <w:vMerge w:val="restart"/>
            <w:vAlign w:val="center"/>
          </w:tcPr>
          <w:p w14:paraId="375214F8" w14:textId="77777777" w:rsidR="00990DF6" w:rsidRPr="005B0B56" w:rsidRDefault="00990DF6" w:rsidP="007D4FEA">
            <w:pPr>
              <w:tabs>
                <w:tab w:val="left" w:pos="780"/>
              </w:tabs>
              <w:spacing w:before="0" w:after="0" w:line="240" w:lineRule="auto"/>
              <w:rPr>
                <w:rFonts w:ascii="Calibri" w:hAnsi="Calibri"/>
                <w:sz w:val="20"/>
                <w:szCs w:val="20"/>
                <w:lang w:val="en-GB"/>
              </w:rPr>
            </w:pPr>
            <w:r w:rsidRPr="005B0B56">
              <w:rPr>
                <w:rFonts w:ascii="Calibri" w:hAnsi="Calibri"/>
                <w:sz w:val="20"/>
                <w:szCs w:val="20"/>
                <w:lang w:val="en-GB"/>
              </w:rPr>
              <w:t>1.811.617t</w:t>
            </w:r>
          </w:p>
        </w:tc>
        <w:tc>
          <w:tcPr>
            <w:tcW w:w="1222" w:type="dxa"/>
            <w:vAlign w:val="center"/>
          </w:tcPr>
          <w:p w14:paraId="62FB3533"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rPr>
              <w:t>670.769</w:t>
            </w:r>
            <w:r w:rsidRPr="005B0B56">
              <w:rPr>
                <w:rFonts w:ascii="Calibri" w:hAnsi="Calibri"/>
                <w:sz w:val="20"/>
                <w:szCs w:val="20"/>
                <w:lang w:val="en-GB"/>
              </w:rPr>
              <w:t>t</w:t>
            </w:r>
          </w:p>
        </w:tc>
        <w:tc>
          <w:tcPr>
            <w:tcW w:w="0" w:type="auto"/>
            <w:vAlign w:val="center"/>
          </w:tcPr>
          <w:p w14:paraId="5A34CDD4"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547.072t</w:t>
            </w:r>
          </w:p>
        </w:tc>
        <w:tc>
          <w:tcPr>
            <w:tcW w:w="1639" w:type="dxa"/>
            <w:vAlign w:val="center"/>
          </w:tcPr>
          <w:p w14:paraId="36C911DC"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62.803t</w:t>
            </w:r>
          </w:p>
        </w:tc>
        <w:tc>
          <w:tcPr>
            <w:tcW w:w="1546" w:type="dxa"/>
            <w:vAlign w:val="center"/>
          </w:tcPr>
          <w:p w14:paraId="5ABF0893"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712t</w:t>
            </w:r>
          </w:p>
        </w:tc>
        <w:tc>
          <w:tcPr>
            <w:tcW w:w="1244" w:type="dxa"/>
            <w:vAlign w:val="center"/>
          </w:tcPr>
          <w:p w14:paraId="6DB8DF91"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22 t</w:t>
            </w:r>
          </w:p>
        </w:tc>
        <w:tc>
          <w:tcPr>
            <w:tcW w:w="1299" w:type="dxa"/>
            <w:vAlign w:val="center"/>
          </w:tcPr>
          <w:p w14:paraId="6865BAA7"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1.072.727t</w:t>
            </w:r>
          </w:p>
        </w:tc>
      </w:tr>
      <w:tr w:rsidR="00990DF6" w:rsidRPr="005B0B56" w14:paraId="7D6F8E00" w14:textId="77777777" w:rsidTr="007D4FEA">
        <w:tc>
          <w:tcPr>
            <w:tcW w:w="1130" w:type="dxa"/>
            <w:vMerge/>
            <w:vAlign w:val="center"/>
          </w:tcPr>
          <w:p w14:paraId="74F0F63C" w14:textId="77777777" w:rsidR="00990DF6" w:rsidRPr="005B0B56" w:rsidRDefault="00990DF6" w:rsidP="007D4FEA">
            <w:pPr>
              <w:spacing w:before="0" w:after="0" w:line="240" w:lineRule="auto"/>
              <w:rPr>
                <w:rFonts w:ascii="Calibri" w:hAnsi="Calibri"/>
                <w:sz w:val="20"/>
                <w:szCs w:val="20"/>
                <w:lang w:val="en-GB"/>
              </w:rPr>
            </w:pPr>
          </w:p>
        </w:tc>
        <w:tc>
          <w:tcPr>
            <w:tcW w:w="1222" w:type="dxa"/>
            <w:vAlign w:val="center"/>
          </w:tcPr>
          <w:p w14:paraId="5B234046"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37%</w:t>
            </w:r>
          </w:p>
        </w:tc>
        <w:tc>
          <w:tcPr>
            <w:tcW w:w="0" w:type="auto"/>
            <w:vAlign w:val="center"/>
          </w:tcPr>
          <w:p w14:paraId="7265AD98"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30%</w:t>
            </w:r>
          </w:p>
        </w:tc>
        <w:tc>
          <w:tcPr>
            <w:tcW w:w="1639" w:type="dxa"/>
            <w:vAlign w:val="center"/>
          </w:tcPr>
          <w:p w14:paraId="41C19D33"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3,5%</w:t>
            </w:r>
          </w:p>
        </w:tc>
        <w:tc>
          <w:tcPr>
            <w:tcW w:w="1546" w:type="dxa"/>
            <w:vAlign w:val="center"/>
          </w:tcPr>
          <w:p w14:paraId="3BB88678"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0,04%</w:t>
            </w:r>
          </w:p>
        </w:tc>
        <w:tc>
          <w:tcPr>
            <w:tcW w:w="1244" w:type="dxa"/>
            <w:vAlign w:val="center"/>
          </w:tcPr>
          <w:p w14:paraId="310B7460"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0,001%</w:t>
            </w:r>
          </w:p>
        </w:tc>
        <w:tc>
          <w:tcPr>
            <w:tcW w:w="1299" w:type="dxa"/>
            <w:vAlign w:val="center"/>
          </w:tcPr>
          <w:p w14:paraId="1F7C44FE" w14:textId="77777777" w:rsidR="00990DF6" w:rsidRPr="005B0B56" w:rsidRDefault="00990DF6" w:rsidP="007D4FEA">
            <w:pPr>
              <w:spacing w:before="0" w:after="0" w:line="240" w:lineRule="auto"/>
              <w:jc w:val="right"/>
              <w:rPr>
                <w:rFonts w:ascii="Calibri" w:hAnsi="Calibri"/>
                <w:sz w:val="20"/>
                <w:szCs w:val="20"/>
                <w:lang w:val="en-GB"/>
              </w:rPr>
            </w:pPr>
            <w:r w:rsidRPr="005B0B56">
              <w:rPr>
                <w:rFonts w:ascii="Calibri" w:hAnsi="Calibri"/>
                <w:sz w:val="20"/>
                <w:szCs w:val="20"/>
                <w:lang w:val="en-GB"/>
              </w:rPr>
              <w:t>59%</w:t>
            </w:r>
          </w:p>
        </w:tc>
      </w:tr>
    </w:tbl>
    <w:p w14:paraId="1574401C" w14:textId="243CE110" w:rsidR="000424ED" w:rsidRPr="00AB7D1E" w:rsidRDefault="000424ED" w:rsidP="004E4D82">
      <w:pPr>
        <w:jc w:val="right"/>
        <w:rPr>
          <w:sz w:val="18"/>
          <w:szCs w:val="18"/>
          <w:lang w:val="en-US"/>
        </w:rPr>
      </w:pP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lang w:val="en-US"/>
        </w:rPr>
        <w:tab/>
      </w:r>
      <w:r w:rsidRPr="00AB7D1E">
        <w:rPr>
          <w:i/>
          <w:iCs/>
          <w:color w:val="373545" w:themeColor="text2"/>
          <w:sz w:val="20"/>
          <w:szCs w:val="20"/>
          <w:lang w:val="en-US"/>
        </w:rPr>
        <w:t xml:space="preserve">Source: </w:t>
      </w:r>
      <w:proofErr w:type="spellStart"/>
      <w:r w:rsidRPr="00AB7D1E">
        <w:rPr>
          <w:i/>
          <w:iCs/>
          <w:color w:val="373545" w:themeColor="text2"/>
          <w:sz w:val="20"/>
          <w:szCs w:val="20"/>
          <w:lang w:val="en-US"/>
        </w:rPr>
        <w:t>M</w:t>
      </w:r>
      <w:r w:rsidR="005F7EA0" w:rsidRPr="00AB7D1E">
        <w:rPr>
          <w:i/>
          <w:iCs/>
          <w:color w:val="373545" w:themeColor="text2"/>
          <w:sz w:val="20"/>
          <w:szCs w:val="20"/>
          <w:lang w:val="en-US"/>
        </w:rPr>
        <w:t>o</w:t>
      </w:r>
      <w:r w:rsidRPr="00AB7D1E">
        <w:rPr>
          <w:i/>
          <w:iCs/>
          <w:color w:val="373545" w:themeColor="text2"/>
          <w:sz w:val="20"/>
          <w:szCs w:val="20"/>
          <w:lang w:val="en-US"/>
        </w:rPr>
        <w:t>E</w:t>
      </w:r>
      <w:r w:rsidR="00826BCF" w:rsidRPr="00AB7D1E">
        <w:rPr>
          <w:i/>
          <w:iCs/>
          <w:color w:val="373545" w:themeColor="text2"/>
          <w:sz w:val="20"/>
          <w:szCs w:val="20"/>
          <w:lang w:val="en-US"/>
        </w:rPr>
        <w:t>SD</w:t>
      </w:r>
      <w:proofErr w:type="spellEnd"/>
      <w:r w:rsidRPr="00AB7D1E">
        <w:rPr>
          <w:rStyle w:val="FootnoteReference"/>
          <w:i/>
          <w:iCs/>
          <w:color w:val="373545" w:themeColor="text2"/>
          <w:sz w:val="18"/>
          <w:szCs w:val="18"/>
          <w:lang w:val="en-US"/>
        </w:rPr>
        <w:footnoteReference w:id="34"/>
      </w:r>
    </w:p>
    <w:p w14:paraId="0D9040E8" w14:textId="52034BF5" w:rsidR="00457108" w:rsidRPr="00AB7D1E" w:rsidRDefault="00457108" w:rsidP="00457108">
      <w:pPr>
        <w:rPr>
          <w:lang w:val="en-US"/>
        </w:rPr>
      </w:pPr>
      <w:r w:rsidRPr="00AB7D1E">
        <w:rPr>
          <w:lang w:val="en-US"/>
        </w:rPr>
        <w:t>In 201</w:t>
      </w:r>
      <w:r w:rsidR="00176A4B" w:rsidRPr="00AB7D1E">
        <w:rPr>
          <w:lang w:val="en-US"/>
        </w:rPr>
        <w:t>9</w:t>
      </w:r>
      <w:r w:rsidRPr="00AB7D1E">
        <w:rPr>
          <w:lang w:val="en-US"/>
        </w:rPr>
        <w:t>, municipal waste disposal was recorded for 116 landfills.</w:t>
      </w:r>
      <w:r w:rsidR="00176A4B" w:rsidRPr="00AB7D1E">
        <w:rPr>
          <w:lang w:val="en-US"/>
        </w:rPr>
        <w:t xml:space="preserve"> </w:t>
      </w:r>
    </w:p>
    <w:p w14:paraId="53ECA549" w14:textId="77777777" w:rsidR="00990DF6" w:rsidRPr="005B0B56" w:rsidRDefault="00990DF6" w:rsidP="00990DF6">
      <w:pPr>
        <w:rPr>
          <w:rFonts w:ascii="Calibri" w:hAnsi="Calibri"/>
          <w:lang w:val="en-GB"/>
        </w:rPr>
      </w:pPr>
      <w:r w:rsidRPr="005B0B56">
        <w:rPr>
          <w:rFonts w:ascii="Calibri" w:hAnsi="Calibri"/>
          <w:lang w:val="en-GB"/>
        </w:rPr>
        <w:t xml:space="preserve">Also, in 2018, two Waste Management </w:t>
      </w:r>
      <w:proofErr w:type="spellStart"/>
      <w:r w:rsidRPr="005B0B56">
        <w:rPr>
          <w:rFonts w:ascii="Calibri" w:hAnsi="Calibri"/>
          <w:lang w:val="en-GB"/>
        </w:rPr>
        <w:t>Centers</w:t>
      </w:r>
      <w:proofErr w:type="spellEnd"/>
      <w:r w:rsidRPr="005B0B56">
        <w:rPr>
          <w:rFonts w:ascii="Calibri" w:hAnsi="Calibri"/>
          <w:lang w:val="en-GB"/>
        </w:rPr>
        <w:t xml:space="preserve"> (in Istria County and </w:t>
      </w:r>
      <w:proofErr w:type="spellStart"/>
      <w:r w:rsidRPr="005B0B56">
        <w:rPr>
          <w:rFonts w:ascii="Calibri" w:hAnsi="Calibri"/>
          <w:lang w:val="en-GB"/>
        </w:rPr>
        <w:t>Primorje</w:t>
      </w:r>
      <w:proofErr w:type="spellEnd"/>
      <w:r w:rsidRPr="005B0B56">
        <w:rPr>
          <w:rFonts w:ascii="Calibri" w:hAnsi="Calibri"/>
          <w:lang w:val="en-GB"/>
        </w:rPr>
        <w:t xml:space="preserve">-Gorski </w:t>
      </w:r>
      <w:proofErr w:type="spellStart"/>
      <w:r w:rsidRPr="005B0B56">
        <w:rPr>
          <w:rFonts w:ascii="Calibri" w:hAnsi="Calibri"/>
          <w:lang w:val="en-GB"/>
        </w:rPr>
        <w:t>Kotar</w:t>
      </w:r>
      <w:proofErr w:type="spellEnd"/>
      <w:r w:rsidRPr="005B0B56">
        <w:rPr>
          <w:rFonts w:ascii="Calibri" w:hAnsi="Calibri"/>
          <w:lang w:val="en-GB"/>
        </w:rPr>
        <w:t xml:space="preserve"> County) started operating, applying mechanical-biological waste treatment technology. During 2019, these </w:t>
      </w:r>
      <w:proofErr w:type="spellStart"/>
      <w:r w:rsidRPr="005B0B56">
        <w:rPr>
          <w:rFonts w:ascii="Calibri" w:hAnsi="Calibri"/>
          <w:lang w:val="en-GB"/>
        </w:rPr>
        <w:t>centers</w:t>
      </w:r>
      <w:proofErr w:type="spellEnd"/>
      <w:r w:rsidRPr="005B0B56">
        <w:rPr>
          <w:rFonts w:ascii="Calibri" w:hAnsi="Calibri"/>
          <w:lang w:val="en-GB"/>
        </w:rPr>
        <w:t xml:space="preserve"> received about 150.000 tons of municipal waste.</w:t>
      </w:r>
      <w:r w:rsidRPr="005B0B56">
        <w:rPr>
          <w:rFonts w:ascii="Calibri" w:hAnsi="Calibri"/>
          <w:vertAlign w:val="superscript"/>
          <w:lang w:val="en-GB"/>
        </w:rPr>
        <w:footnoteReference w:id="35"/>
      </w:r>
      <w:r w:rsidRPr="005B0B56">
        <w:rPr>
          <w:rFonts w:ascii="Calibri" w:hAnsi="Calibri"/>
          <w:lang w:val="en-GB"/>
        </w:rPr>
        <w:t>The construction of 9 more waste management centres is planned.</w:t>
      </w:r>
      <w:r w:rsidRPr="005B0B56">
        <w:rPr>
          <w:rFonts w:ascii="Calibri" w:hAnsi="Calibri"/>
          <w:vertAlign w:val="superscript"/>
          <w:lang w:val="en-GB"/>
        </w:rPr>
        <w:t xml:space="preserve"> </w:t>
      </w:r>
      <w:r w:rsidRPr="005B0B56">
        <w:rPr>
          <w:rFonts w:ascii="Calibri" w:hAnsi="Calibri"/>
          <w:vertAlign w:val="superscript"/>
          <w:lang w:val="en-GB"/>
        </w:rPr>
        <w:footnoteReference w:id="36"/>
      </w:r>
      <w:r w:rsidRPr="005B0B56">
        <w:rPr>
          <w:rFonts w:ascii="Calibri" w:hAnsi="Calibri"/>
          <w:vertAlign w:val="superscript"/>
          <w:lang w:val="en-GB"/>
        </w:rPr>
        <w:t xml:space="preserve"> </w:t>
      </w:r>
    </w:p>
    <w:p w14:paraId="1B5510C0" w14:textId="39BAB308" w:rsidR="00990DF6" w:rsidRPr="00990DF6" w:rsidRDefault="00990DF6" w:rsidP="00457108">
      <w:pPr>
        <w:rPr>
          <w:rFonts w:ascii="Calibri" w:hAnsi="Calibri"/>
          <w:lang w:val="en-GB"/>
        </w:rPr>
      </w:pPr>
      <w:r w:rsidRPr="005B0B56">
        <w:rPr>
          <w:rFonts w:ascii="Calibri" w:hAnsi="Calibri"/>
          <w:lang w:val="en-GB"/>
        </w:rPr>
        <w:t>Target for reduction of biodegradable municipal waste disposal still is not being achieved. Disposed quantities of biodegradable municipal waste in 2019 exceed by 300.992 t the target for 2016</w:t>
      </w:r>
      <w:r w:rsidRPr="005B0B56">
        <w:rPr>
          <w:rFonts w:ascii="Calibri" w:hAnsi="Calibri"/>
          <w:vertAlign w:val="superscript"/>
          <w:lang w:val="en-GB"/>
        </w:rPr>
        <w:footnoteReference w:id="37"/>
      </w:r>
      <w:r w:rsidRPr="005B0B56">
        <w:rPr>
          <w:rFonts w:ascii="Calibri" w:hAnsi="Calibri"/>
          <w:lang w:val="en-GB"/>
        </w:rPr>
        <w:t xml:space="preserve"> stipulated by the Landfill Directive.</w:t>
      </w:r>
    </w:p>
    <w:p w14:paraId="38DC8204" w14:textId="22B9E89E" w:rsidR="00DD1ABC" w:rsidRPr="00AB7D1E" w:rsidRDefault="00C11AE3" w:rsidP="00837FAA">
      <w:pPr>
        <w:pStyle w:val="Heading4"/>
        <w:rPr>
          <w:lang w:val="en-US"/>
        </w:rPr>
      </w:pPr>
      <w:r>
        <w:rPr>
          <w:lang w:val="en-US"/>
        </w:rPr>
        <w:t>Medical waste</w:t>
      </w:r>
    </w:p>
    <w:p w14:paraId="69C352DD" w14:textId="03CEF763" w:rsidR="00F3471F" w:rsidRPr="00AB7D1E" w:rsidRDefault="00433783" w:rsidP="00AC570C">
      <w:pPr>
        <w:rPr>
          <w:lang w:val="en-US"/>
        </w:rPr>
      </w:pPr>
      <w:r w:rsidRPr="00AB7D1E">
        <w:rPr>
          <w:lang w:val="en-US"/>
        </w:rPr>
        <w:t xml:space="preserve">Regarding medical waste (radioactive </w:t>
      </w:r>
      <w:r w:rsidR="00513029" w:rsidRPr="00AB7D1E">
        <w:rPr>
          <w:lang w:val="en-US"/>
        </w:rPr>
        <w:t xml:space="preserve">medical waste excluded), in 2018 generated amount was </w:t>
      </w:r>
      <w:r w:rsidR="00DB01F7" w:rsidRPr="00AB7D1E">
        <w:rPr>
          <w:lang w:val="en-US"/>
        </w:rPr>
        <w:br/>
      </w:r>
      <w:r w:rsidR="00513029" w:rsidRPr="00AB7D1E">
        <w:rPr>
          <w:lang w:val="en-US"/>
        </w:rPr>
        <w:t>5.26</w:t>
      </w:r>
      <w:r w:rsidR="00CC0993" w:rsidRPr="00AB7D1E">
        <w:rPr>
          <w:lang w:val="en-US"/>
        </w:rPr>
        <w:t>2</w:t>
      </w:r>
      <w:r w:rsidR="00513029" w:rsidRPr="00AB7D1E">
        <w:rPr>
          <w:lang w:val="en-US"/>
        </w:rPr>
        <w:t xml:space="preserve"> t, out of which 4.105 t </w:t>
      </w:r>
      <w:r w:rsidR="007338F3" w:rsidRPr="00AB7D1E">
        <w:rPr>
          <w:lang w:val="en-US"/>
        </w:rPr>
        <w:t>wa</w:t>
      </w:r>
      <w:r w:rsidR="00513029" w:rsidRPr="00AB7D1E">
        <w:rPr>
          <w:lang w:val="en-US"/>
        </w:rPr>
        <w:t xml:space="preserve">s hazardous medical waste and 1.157 t of non-hazardous medical </w:t>
      </w:r>
      <w:r w:rsidR="00513029" w:rsidRPr="00AB7D1E">
        <w:rPr>
          <w:lang w:val="en-US"/>
        </w:rPr>
        <w:lastRenderedPageBreak/>
        <w:t>waste. About 5 t of medical waste originate</w:t>
      </w:r>
      <w:r w:rsidR="007338F3" w:rsidRPr="00AB7D1E">
        <w:rPr>
          <w:lang w:val="en-US"/>
        </w:rPr>
        <w:t>s</w:t>
      </w:r>
      <w:r w:rsidR="00513029" w:rsidRPr="00AB7D1E">
        <w:rPr>
          <w:lang w:val="en-US"/>
        </w:rPr>
        <w:t xml:space="preserve"> from households</w:t>
      </w:r>
      <w:r w:rsidR="00AC570C" w:rsidRPr="00AB7D1E">
        <w:rPr>
          <w:lang w:val="en-US"/>
        </w:rPr>
        <w:t>, while the largest share of medical waste originate</w:t>
      </w:r>
      <w:r w:rsidR="007338F3" w:rsidRPr="00AB7D1E">
        <w:rPr>
          <w:lang w:val="en-US"/>
        </w:rPr>
        <w:t>s</w:t>
      </w:r>
      <w:r w:rsidR="00AC570C" w:rsidRPr="00AB7D1E">
        <w:rPr>
          <w:lang w:val="en-US"/>
        </w:rPr>
        <w:t xml:space="preserve"> from the health care activities, especially hospitals.</w:t>
      </w:r>
      <w:r w:rsidR="009E13E5" w:rsidRPr="00AB7D1E">
        <w:rPr>
          <w:rStyle w:val="FootnoteReference"/>
          <w:lang w:val="en-US"/>
        </w:rPr>
        <w:footnoteReference w:id="38"/>
      </w:r>
      <w:r w:rsidR="00513029" w:rsidRPr="00AB7D1E">
        <w:rPr>
          <w:lang w:val="en-US"/>
        </w:rPr>
        <w:t xml:space="preserve"> </w:t>
      </w:r>
    </w:p>
    <w:p w14:paraId="795C97C8" w14:textId="143FEB0F" w:rsidR="00CC0993" w:rsidRPr="00AB7D1E" w:rsidRDefault="00D914E6" w:rsidP="00AC570C">
      <w:pPr>
        <w:rPr>
          <w:lang w:val="en-US"/>
        </w:rPr>
      </w:pPr>
      <w:r w:rsidRPr="00AB7D1E">
        <w:rPr>
          <w:noProof/>
          <w:lang w:val="en-US"/>
        </w:rPr>
        <w:drawing>
          <wp:inline distT="0" distB="0" distL="0" distR="0" wp14:anchorId="5CF0DF58" wp14:editId="3E40D5A6">
            <wp:extent cx="5326866" cy="2611817"/>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7428" cy="2641511"/>
                    </a:xfrm>
                    <a:prstGeom prst="rect">
                      <a:avLst/>
                    </a:prstGeom>
                    <a:noFill/>
                  </pic:spPr>
                </pic:pic>
              </a:graphicData>
            </a:graphic>
          </wp:inline>
        </w:drawing>
      </w:r>
    </w:p>
    <w:p w14:paraId="275EF7BC" w14:textId="4A006CFD" w:rsidR="0045245E" w:rsidRPr="00AB7D1E" w:rsidRDefault="00CC0993" w:rsidP="0044753A">
      <w:pPr>
        <w:pStyle w:val="Style2"/>
        <w:rPr>
          <w:lang w:val="en-US"/>
        </w:rPr>
      </w:pPr>
      <w:bookmarkStart w:id="53" w:name="_Toc56952689"/>
      <w:bookmarkStart w:id="54" w:name="_Hlk48834240"/>
      <w:r w:rsidRPr="00AB7D1E">
        <w:rPr>
          <w:lang w:val="en-US"/>
        </w:rPr>
        <w:t xml:space="preserve">Figure </w:t>
      </w:r>
      <w:r w:rsidRPr="00AB7D1E">
        <w:rPr>
          <w:lang w:val="en-US"/>
        </w:rPr>
        <w:fldChar w:fldCharType="begin"/>
      </w:r>
      <w:r w:rsidRPr="00AB7D1E">
        <w:rPr>
          <w:lang w:val="en-US"/>
        </w:rPr>
        <w:instrText xml:space="preserve"> SEQ Figure \* ARABIC </w:instrText>
      </w:r>
      <w:r w:rsidRPr="00AB7D1E">
        <w:rPr>
          <w:lang w:val="en-US"/>
        </w:rPr>
        <w:fldChar w:fldCharType="separate"/>
      </w:r>
      <w:r w:rsidR="007D1E1B">
        <w:rPr>
          <w:noProof/>
          <w:lang w:val="en-US"/>
        </w:rPr>
        <w:t>9</w:t>
      </w:r>
      <w:r w:rsidRPr="00AB7D1E">
        <w:rPr>
          <w:lang w:val="en-US"/>
        </w:rPr>
        <w:fldChar w:fldCharType="end"/>
      </w:r>
      <w:r w:rsidRPr="00AB7D1E">
        <w:rPr>
          <w:lang w:val="en-US"/>
        </w:rPr>
        <w:t>. Ge</w:t>
      </w:r>
      <w:r w:rsidR="00D914E6" w:rsidRPr="00AB7D1E">
        <w:rPr>
          <w:lang w:val="en-US"/>
        </w:rPr>
        <w:t>nerated medical waste in the Republic of Croatia for the period 2014-2018</w:t>
      </w:r>
      <w:r w:rsidR="0029338B">
        <w:rPr>
          <w:rStyle w:val="FootnoteReference"/>
          <w:lang w:val="en-US"/>
        </w:rPr>
        <w:footnoteReference w:id="39"/>
      </w:r>
      <w:bookmarkEnd w:id="53"/>
      <w:r w:rsidRPr="00AB7D1E">
        <w:rPr>
          <w:lang w:val="en-US"/>
        </w:rPr>
        <w:t xml:space="preserve"> </w:t>
      </w:r>
      <w:r w:rsidRPr="00AB7D1E">
        <w:rPr>
          <w:lang w:val="en-US"/>
        </w:rPr>
        <w:br/>
      </w:r>
      <w:bookmarkEnd w:id="54"/>
    </w:p>
    <w:p w14:paraId="57FF6015" w14:textId="5706AC79" w:rsidR="00D914E6" w:rsidRPr="00AB7D1E" w:rsidRDefault="00D914E6" w:rsidP="00D914E6">
      <w:pPr>
        <w:jc w:val="center"/>
        <w:rPr>
          <w:lang w:val="en-US"/>
        </w:rPr>
      </w:pPr>
      <w:r w:rsidRPr="00AB7D1E">
        <w:rPr>
          <w:noProof/>
          <w:lang w:val="en-US"/>
        </w:rPr>
        <w:drawing>
          <wp:inline distT="0" distB="0" distL="0" distR="0" wp14:anchorId="450C2B5F" wp14:editId="4053A113">
            <wp:extent cx="4141901" cy="250911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8929" cy="2519428"/>
                    </a:xfrm>
                    <a:prstGeom prst="rect">
                      <a:avLst/>
                    </a:prstGeom>
                    <a:noFill/>
                  </pic:spPr>
                </pic:pic>
              </a:graphicData>
            </a:graphic>
          </wp:inline>
        </w:drawing>
      </w:r>
    </w:p>
    <w:p w14:paraId="60C59DE9" w14:textId="012B4281" w:rsidR="0044753A" w:rsidRPr="00AB7D1E" w:rsidRDefault="0044753A" w:rsidP="0044753A">
      <w:pPr>
        <w:pStyle w:val="Style2"/>
        <w:rPr>
          <w:lang w:val="en-US"/>
        </w:rPr>
      </w:pPr>
      <w:bookmarkStart w:id="55" w:name="_Toc56952690"/>
      <w:r w:rsidRPr="00AB7D1E">
        <w:rPr>
          <w:lang w:val="en-US"/>
        </w:rPr>
        <w:t xml:space="preserve">Figure </w:t>
      </w:r>
      <w:r w:rsidRPr="00AB7D1E">
        <w:rPr>
          <w:lang w:val="en-US"/>
        </w:rPr>
        <w:fldChar w:fldCharType="begin"/>
      </w:r>
      <w:r w:rsidRPr="00AB7D1E">
        <w:rPr>
          <w:lang w:val="en-US"/>
        </w:rPr>
        <w:instrText xml:space="preserve"> SEQ Figure \* ARABIC </w:instrText>
      </w:r>
      <w:r w:rsidRPr="00AB7D1E">
        <w:rPr>
          <w:lang w:val="en-US"/>
        </w:rPr>
        <w:fldChar w:fldCharType="separate"/>
      </w:r>
      <w:r w:rsidR="007D1E1B">
        <w:rPr>
          <w:noProof/>
          <w:lang w:val="en-US"/>
        </w:rPr>
        <w:t>10</w:t>
      </w:r>
      <w:r w:rsidRPr="00AB7D1E">
        <w:rPr>
          <w:lang w:val="en-US"/>
        </w:rPr>
        <w:fldChar w:fldCharType="end"/>
      </w:r>
      <w:r w:rsidRPr="00AB7D1E">
        <w:rPr>
          <w:lang w:val="en-US"/>
        </w:rPr>
        <w:t>. Share of medical waste types produced in 2018</w:t>
      </w:r>
      <w:r w:rsidR="0029338B">
        <w:rPr>
          <w:rStyle w:val="FootnoteReference"/>
          <w:lang w:val="en-US"/>
        </w:rPr>
        <w:footnoteReference w:id="40"/>
      </w:r>
      <w:bookmarkEnd w:id="55"/>
      <w:r w:rsidRPr="00AB7D1E">
        <w:rPr>
          <w:lang w:val="en-US"/>
        </w:rPr>
        <w:br/>
      </w:r>
    </w:p>
    <w:p w14:paraId="639C2E73" w14:textId="71339253" w:rsidR="00FC7FBA" w:rsidRPr="00AB7D1E" w:rsidRDefault="00AE5854" w:rsidP="00AC570C">
      <w:pPr>
        <w:rPr>
          <w:lang w:val="en-US"/>
        </w:rPr>
      </w:pPr>
      <w:r w:rsidRPr="00AB7D1E">
        <w:rPr>
          <w:lang w:val="en-US"/>
        </w:rPr>
        <w:t>Most of the medical waste (about 90%) is treated by autoclaving and then sent to landfill</w:t>
      </w:r>
      <w:r w:rsidR="007338F3" w:rsidRPr="00AB7D1E">
        <w:rPr>
          <w:lang w:val="en-US"/>
        </w:rPr>
        <w:t>s</w:t>
      </w:r>
      <w:r w:rsidRPr="00AB7D1E">
        <w:rPr>
          <w:lang w:val="en-US"/>
        </w:rPr>
        <w:t xml:space="preserve"> as non-hazardous waste. Minor quantities of medical waste </w:t>
      </w:r>
      <w:r w:rsidR="007338F3" w:rsidRPr="00AB7D1E">
        <w:rPr>
          <w:lang w:val="en-US"/>
        </w:rPr>
        <w:t>are exported out of the country.</w:t>
      </w:r>
      <w:r w:rsidR="00AA40E3" w:rsidRPr="00AB7D1E">
        <w:rPr>
          <w:lang w:val="en-US"/>
        </w:rPr>
        <w:t xml:space="preserve"> </w:t>
      </w:r>
      <w:r w:rsidR="00FC7FBA" w:rsidRPr="00AB7D1E">
        <w:rPr>
          <w:lang w:val="en-US"/>
        </w:rPr>
        <w:t xml:space="preserve">As Croatia does not have </w:t>
      </w:r>
      <w:r w:rsidR="00D914E6" w:rsidRPr="00AB7D1E">
        <w:rPr>
          <w:lang w:val="en-US"/>
        </w:rPr>
        <w:t xml:space="preserve">waste </w:t>
      </w:r>
      <w:r w:rsidR="00FC7FBA" w:rsidRPr="00AB7D1E">
        <w:rPr>
          <w:lang w:val="en-US"/>
        </w:rPr>
        <w:t xml:space="preserve">energy recovery plant nor </w:t>
      </w:r>
      <w:r w:rsidR="00D914E6" w:rsidRPr="00AB7D1E">
        <w:rPr>
          <w:lang w:val="en-US"/>
        </w:rPr>
        <w:t xml:space="preserve">waste </w:t>
      </w:r>
      <w:r w:rsidR="00FC7FBA" w:rsidRPr="00AB7D1E">
        <w:rPr>
          <w:lang w:val="en-US"/>
        </w:rPr>
        <w:t>incineration plan</w:t>
      </w:r>
      <w:r w:rsidR="00C81BDD">
        <w:rPr>
          <w:lang w:val="en-US"/>
        </w:rPr>
        <w:t>t,</w:t>
      </w:r>
      <w:r w:rsidR="00FC7FBA" w:rsidRPr="00AB7D1E">
        <w:rPr>
          <w:lang w:val="en-US"/>
        </w:rPr>
        <w:t xml:space="preserve"> certain quantities of medical waste are exported from Croatia. In 2018 six companies exported 177 t of medical waste from Croatia (to Austria, Germany and Italy). Following waste types were exported: hazardous medical waste </w:t>
      </w:r>
      <w:r w:rsidR="00FC7FBA" w:rsidRPr="00AB7D1E">
        <w:rPr>
          <w:lang w:val="en-US"/>
        </w:rPr>
        <w:lastRenderedPageBreak/>
        <w:t xml:space="preserve">potentially infected, hazardous and non-hazardous chemicals, cytotoxic and cytostatic, </w:t>
      </w:r>
      <w:r w:rsidR="0044753A" w:rsidRPr="00AB7D1E">
        <w:rPr>
          <w:lang w:val="en-US"/>
        </w:rPr>
        <w:t>pharmaceuticals</w:t>
      </w:r>
      <w:r w:rsidR="00FC7FBA" w:rsidRPr="00AB7D1E">
        <w:rPr>
          <w:rStyle w:val="FootnoteReference"/>
          <w:lang w:val="en-US"/>
        </w:rPr>
        <w:footnoteReference w:id="41"/>
      </w:r>
      <w:r w:rsidR="00FC7FBA" w:rsidRPr="00AB7D1E">
        <w:rPr>
          <w:lang w:val="en-US"/>
        </w:rPr>
        <w:t>.</w:t>
      </w:r>
    </w:p>
    <w:p w14:paraId="0C6C44A3" w14:textId="06180C4A" w:rsidR="00995AFA" w:rsidRPr="00AB7D1E" w:rsidRDefault="00263AB3" w:rsidP="00AC570C">
      <w:pPr>
        <w:rPr>
          <w:lang w:val="en-US"/>
        </w:rPr>
      </w:pPr>
      <w:r w:rsidRPr="00AB7D1E">
        <w:rPr>
          <w:lang w:val="en-US"/>
        </w:rPr>
        <w:t>In the Republic of Croatia, about 50 m</w:t>
      </w:r>
      <w:r w:rsidR="000A744B" w:rsidRPr="00AB7D1E">
        <w:rPr>
          <w:vertAlign w:val="superscript"/>
          <w:lang w:val="en-US"/>
        </w:rPr>
        <w:t>3</w:t>
      </w:r>
      <w:r w:rsidRPr="00AB7D1E">
        <w:rPr>
          <w:lang w:val="en-US"/>
        </w:rPr>
        <w:t xml:space="preserve"> of spent ionizing radiation sources and other used radioactive substances with a total activity of approximately 16 </w:t>
      </w:r>
      <w:proofErr w:type="spellStart"/>
      <w:r w:rsidRPr="00AB7D1E">
        <w:rPr>
          <w:lang w:val="en-US"/>
        </w:rPr>
        <w:t>TBq</w:t>
      </w:r>
      <w:proofErr w:type="spellEnd"/>
      <w:r w:rsidRPr="00AB7D1E">
        <w:rPr>
          <w:lang w:val="en-US"/>
        </w:rPr>
        <w:t xml:space="preserve"> are temporarily stored. Radiation sources and radioactive substances are used in medicine (nuclear medicine and radiotherapy), industry (smoke detectors, lightning rods), and in research. </w:t>
      </w:r>
      <w:r w:rsidR="00995AFA" w:rsidRPr="00AB7D1E">
        <w:rPr>
          <w:lang w:val="en-US"/>
        </w:rPr>
        <w:t>Medical radioactive waste falls under low level radioactive waste.</w:t>
      </w:r>
      <w:r w:rsidR="00995AFA" w:rsidRPr="00AB7D1E">
        <w:rPr>
          <w:rStyle w:val="FootnoteReference"/>
          <w:lang w:val="en-US"/>
        </w:rPr>
        <w:footnoteReference w:id="42"/>
      </w:r>
      <w:r w:rsidR="00995AFA" w:rsidRPr="00AB7D1E">
        <w:rPr>
          <w:lang w:val="en-US"/>
        </w:rPr>
        <w:t xml:space="preserve"> Low level radioactive waste makes 90% of total radioactive waste volume, while share in radioactivity accounts to 1%.</w:t>
      </w:r>
    </w:p>
    <w:p w14:paraId="3EC0BF9E" w14:textId="6A2B4C51" w:rsidR="00370AE1" w:rsidRPr="00AB7D1E" w:rsidRDefault="00263AB3" w:rsidP="00AC570C">
      <w:pPr>
        <w:rPr>
          <w:lang w:val="en-US"/>
        </w:rPr>
      </w:pPr>
      <w:r w:rsidRPr="00AB7D1E">
        <w:rPr>
          <w:lang w:val="en-US"/>
        </w:rPr>
        <w:t xml:space="preserve">Currently, there is no permanent disposal site for low and intermediate level of radioactive waste. </w:t>
      </w:r>
      <w:proofErr w:type="gramStart"/>
      <w:r w:rsidR="00370AE1" w:rsidRPr="00AB7D1E">
        <w:rPr>
          <w:lang w:val="en-US"/>
        </w:rPr>
        <w:t>The majority of</w:t>
      </w:r>
      <w:proofErr w:type="gramEnd"/>
      <w:r w:rsidR="00370AE1" w:rsidRPr="00AB7D1E">
        <w:rPr>
          <w:lang w:val="en-US"/>
        </w:rPr>
        <w:t xml:space="preserve"> radioactive waste is in the temporary storage of the </w:t>
      </w:r>
      <w:proofErr w:type="spellStart"/>
      <w:r w:rsidR="00370AE1" w:rsidRPr="00AB7D1E">
        <w:rPr>
          <w:lang w:val="en-US"/>
        </w:rPr>
        <w:t>Ruđer</w:t>
      </w:r>
      <w:proofErr w:type="spellEnd"/>
      <w:r w:rsidR="00370AE1" w:rsidRPr="00AB7D1E">
        <w:rPr>
          <w:lang w:val="en-US"/>
        </w:rPr>
        <w:t xml:space="preserve"> </w:t>
      </w:r>
      <w:proofErr w:type="spellStart"/>
      <w:r w:rsidR="00370AE1" w:rsidRPr="00AB7D1E">
        <w:rPr>
          <w:lang w:val="en-US"/>
        </w:rPr>
        <w:t>Bošković</w:t>
      </w:r>
      <w:proofErr w:type="spellEnd"/>
      <w:r w:rsidR="00370AE1" w:rsidRPr="00AB7D1E">
        <w:rPr>
          <w:lang w:val="en-US"/>
        </w:rPr>
        <w:t xml:space="preserve"> Institute (RBI) and Institute for Medical Research (IMR) in Zagreb. The only active temporary storage of radioactive waste is in the RBI. </w:t>
      </w:r>
    </w:p>
    <w:p w14:paraId="0B0D164C" w14:textId="2A2D58D0" w:rsidR="00544F8C" w:rsidRPr="00AB7D1E" w:rsidRDefault="00775AAB" w:rsidP="00544F8C">
      <w:pPr>
        <w:pStyle w:val="Heading3"/>
        <w:rPr>
          <w:lang w:val="en-US"/>
        </w:rPr>
      </w:pPr>
      <w:bookmarkStart w:id="56" w:name="_Toc56954041"/>
      <w:r w:rsidRPr="00AB7D1E">
        <w:rPr>
          <w:lang w:val="en-US"/>
        </w:rPr>
        <w:t>Noise</w:t>
      </w:r>
      <w:bookmarkEnd w:id="56"/>
    </w:p>
    <w:p w14:paraId="687D992A" w14:textId="77777777" w:rsidR="00823BFE" w:rsidRPr="00AB7D1E" w:rsidRDefault="00823BFE" w:rsidP="00823BFE">
      <w:pPr>
        <w:rPr>
          <w:lang w:val="en-US"/>
        </w:rPr>
      </w:pPr>
      <w:r w:rsidRPr="00AB7D1E">
        <w:rPr>
          <w:lang w:val="en-US"/>
        </w:rPr>
        <w:t>Environmental noise is one of the environmental pressures with a potentially harmful effect on human health.</w:t>
      </w:r>
    </w:p>
    <w:p w14:paraId="3569C197" w14:textId="2FF8BDC8" w:rsidR="00823BFE" w:rsidRPr="00AB7D1E" w:rsidRDefault="00823BFE" w:rsidP="004E4D82">
      <w:pPr>
        <w:rPr>
          <w:lang w:val="en-US"/>
        </w:rPr>
      </w:pPr>
      <w:r w:rsidRPr="00AB7D1E">
        <w:rPr>
          <w:lang w:val="en-US"/>
        </w:rPr>
        <w:t>The body responsible for the implementation of noise protection measures in the Republic of Croatia is the Ministry of Health. Measures taken to avoid, prevent or reduce adverse effects on human health caused by environmental noise, including noise interference, are: determination of noise exposure by making noise maps based on methods for assessing environmental noise; ensuring the availability of public information on environmental noise; and development and adoption of action plans. In that way, the provisions of Directive 2002/49/ C on the assessment and management of environmental noise, the Noise Protection Act</w:t>
      </w:r>
      <w:r w:rsidRPr="00AB7D1E">
        <w:rPr>
          <w:rStyle w:val="FootnoteReference"/>
          <w:lang w:val="en-US"/>
        </w:rPr>
        <w:footnoteReference w:id="43"/>
      </w:r>
      <w:r w:rsidRPr="00AB7D1E">
        <w:rPr>
          <w:lang w:val="en-US"/>
        </w:rPr>
        <w:t xml:space="preserve"> and the Ordinance on the preparation and content of noise maps and action plans and on the calculation of permissible noise indicators</w:t>
      </w:r>
      <w:r w:rsidRPr="00AB7D1E">
        <w:rPr>
          <w:rStyle w:val="FootnoteReference"/>
          <w:lang w:val="en-US"/>
        </w:rPr>
        <w:footnoteReference w:id="44"/>
      </w:r>
      <w:r w:rsidRPr="00AB7D1E">
        <w:rPr>
          <w:lang w:val="en-US"/>
        </w:rPr>
        <w:t xml:space="preserve"> are implemented.</w:t>
      </w:r>
    </w:p>
    <w:p w14:paraId="353495D3" w14:textId="3E6E924F" w:rsidR="00823BFE" w:rsidRPr="00AB7D1E" w:rsidRDefault="00823BFE" w:rsidP="004E4D82">
      <w:pPr>
        <w:rPr>
          <w:lang w:val="en-US"/>
        </w:rPr>
      </w:pPr>
      <w:r w:rsidRPr="00AB7D1E">
        <w:rPr>
          <w:lang w:val="en-US"/>
        </w:rPr>
        <w:t xml:space="preserve">Strategic noise maps and action plans in accordance with the Noise Protection Act are an integral part of the Environmental Information System of the Republic of Croatia at the </w:t>
      </w:r>
      <w:proofErr w:type="spellStart"/>
      <w:r w:rsidRPr="00AB7D1E">
        <w:rPr>
          <w:lang w:val="en-US"/>
        </w:rPr>
        <w:t>M</w:t>
      </w:r>
      <w:r w:rsidR="005F7EA0" w:rsidRPr="00AB7D1E">
        <w:rPr>
          <w:lang w:val="en-US"/>
        </w:rPr>
        <w:t>o</w:t>
      </w:r>
      <w:r w:rsidRPr="00AB7D1E">
        <w:rPr>
          <w:lang w:val="en-US"/>
        </w:rPr>
        <w:t>ESD</w:t>
      </w:r>
      <w:proofErr w:type="spellEnd"/>
      <w:r w:rsidRPr="00AB7D1E">
        <w:rPr>
          <w:lang w:val="en-US"/>
        </w:rPr>
        <w:t>.</w:t>
      </w:r>
    </w:p>
    <w:p w14:paraId="56E558E7" w14:textId="65FA50C5" w:rsidR="00823BFE" w:rsidRPr="00AB7D1E" w:rsidRDefault="00823BFE" w:rsidP="00823BFE">
      <w:pPr>
        <w:rPr>
          <w:lang w:val="en-US"/>
        </w:rPr>
      </w:pPr>
      <w:r w:rsidRPr="00AB7D1E">
        <w:rPr>
          <w:lang w:val="en-US"/>
        </w:rPr>
        <w:t>The development of strategic noise maps and noise management action plans has a key role in protecti</w:t>
      </w:r>
      <w:r w:rsidR="00673973" w:rsidRPr="00AB7D1E">
        <w:rPr>
          <w:lang w:val="en-US"/>
        </w:rPr>
        <w:t xml:space="preserve">on of </w:t>
      </w:r>
      <w:r w:rsidRPr="00AB7D1E">
        <w:rPr>
          <w:lang w:val="en-US"/>
        </w:rPr>
        <w:t>the population from excessive noise exposure, especially in parts of settlements with high-density road transport, rail transport, airports and industrial plants and facilities.</w:t>
      </w:r>
    </w:p>
    <w:p w14:paraId="379072AE" w14:textId="4CBA37F0" w:rsidR="00823BFE" w:rsidRPr="00AB7D1E" w:rsidRDefault="00823BFE" w:rsidP="00823BFE">
      <w:pPr>
        <w:rPr>
          <w:lang w:val="en-US"/>
        </w:rPr>
      </w:pPr>
      <w:r w:rsidRPr="00AB7D1E">
        <w:rPr>
          <w:lang w:val="en-US"/>
        </w:rPr>
        <w:t>In accordance with the Noise Protection Act, strategic noise maps and action plans are prepared for populated areas with more than 100</w:t>
      </w:r>
      <w:r w:rsidR="007C5DB7" w:rsidRPr="00AB7D1E">
        <w:rPr>
          <w:lang w:val="en-US"/>
        </w:rPr>
        <w:t>.</w:t>
      </w:r>
      <w:r w:rsidRPr="00AB7D1E">
        <w:rPr>
          <w:lang w:val="en-US"/>
        </w:rPr>
        <w:t>000 inhabitants, for main roads with more than 3</w:t>
      </w:r>
      <w:r w:rsidR="007C5DB7" w:rsidRPr="00AB7D1E">
        <w:rPr>
          <w:lang w:val="en-US"/>
        </w:rPr>
        <w:t>.</w:t>
      </w:r>
      <w:r w:rsidRPr="00AB7D1E">
        <w:rPr>
          <w:lang w:val="en-US"/>
        </w:rPr>
        <w:t>000</w:t>
      </w:r>
      <w:r w:rsidR="007C5DB7" w:rsidRPr="00AB7D1E">
        <w:rPr>
          <w:lang w:val="en-US"/>
        </w:rPr>
        <w:t>.</w:t>
      </w:r>
      <w:r w:rsidRPr="00AB7D1E">
        <w:rPr>
          <w:lang w:val="en-US"/>
        </w:rPr>
        <w:t>000 vehicle passages per year, for main railways with more than 30</w:t>
      </w:r>
      <w:r w:rsidR="007C5DB7" w:rsidRPr="00AB7D1E">
        <w:rPr>
          <w:lang w:val="en-US"/>
        </w:rPr>
        <w:t>.</w:t>
      </w:r>
      <w:r w:rsidRPr="00AB7D1E">
        <w:rPr>
          <w:lang w:val="en-US"/>
        </w:rPr>
        <w:t>000 train passages per year, and major airports with more than 50</w:t>
      </w:r>
      <w:r w:rsidR="007C5DB7" w:rsidRPr="00AB7D1E">
        <w:rPr>
          <w:lang w:val="en-US"/>
        </w:rPr>
        <w:t>.</w:t>
      </w:r>
      <w:r w:rsidRPr="00AB7D1E">
        <w:rPr>
          <w:lang w:val="en-US"/>
        </w:rPr>
        <w:t>000 operations (</w:t>
      </w:r>
      <w:r w:rsidR="0080741D" w:rsidRPr="00AB7D1E">
        <w:rPr>
          <w:lang w:val="en-US"/>
        </w:rPr>
        <w:t>take-offs</w:t>
      </w:r>
      <w:r w:rsidRPr="00AB7D1E">
        <w:rPr>
          <w:lang w:val="en-US"/>
        </w:rPr>
        <w:t xml:space="preserve"> and landings) per year.</w:t>
      </w:r>
    </w:p>
    <w:p w14:paraId="40B63D62" w14:textId="07738F10" w:rsidR="00823BFE" w:rsidRPr="00AB7D1E" w:rsidRDefault="00823BFE" w:rsidP="00823BFE">
      <w:pPr>
        <w:rPr>
          <w:lang w:val="en-US"/>
        </w:rPr>
      </w:pPr>
      <w:r w:rsidRPr="00AB7D1E">
        <w:rPr>
          <w:lang w:val="en-US"/>
        </w:rPr>
        <w:t xml:space="preserve">According to publicly available data on population exposure to environmental noise </w:t>
      </w:r>
      <w:r w:rsidR="00750BFC" w:rsidRPr="00AB7D1E">
        <w:rPr>
          <w:rStyle w:val="FootnoteReference"/>
          <w:lang w:val="en-US"/>
        </w:rPr>
        <w:footnoteReference w:id="45"/>
      </w:r>
      <w:r w:rsidR="00750BFC" w:rsidRPr="00AB7D1E">
        <w:rPr>
          <w:lang w:val="en-US"/>
        </w:rPr>
        <w:t xml:space="preserve">, </w:t>
      </w:r>
      <w:r w:rsidRPr="00AB7D1E">
        <w:rPr>
          <w:lang w:val="en-US"/>
        </w:rPr>
        <w:t xml:space="preserve">one of the main sources of noise </w:t>
      </w:r>
      <w:r w:rsidR="00F241A3" w:rsidRPr="00AB7D1E">
        <w:rPr>
          <w:lang w:val="en-US"/>
        </w:rPr>
        <w:t>is</w:t>
      </w:r>
      <w:r w:rsidRPr="00AB7D1E">
        <w:rPr>
          <w:lang w:val="en-US"/>
        </w:rPr>
        <w:t xml:space="preserve"> road traffic</w:t>
      </w:r>
      <w:r w:rsidR="00750BFC" w:rsidRPr="00AB7D1E">
        <w:rPr>
          <w:lang w:val="en-US"/>
        </w:rPr>
        <w:t>. T</w:t>
      </w:r>
      <w:r w:rsidRPr="00AB7D1E">
        <w:rPr>
          <w:lang w:val="en-US"/>
        </w:rPr>
        <w:t xml:space="preserve">he share of exposed population to noise greater than 55 dB (A) varies </w:t>
      </w:r>
      <w:r w:rsidR="00750BFC" w:rsidRPr="00AB7D1E">
        <w:rPr>
          <w:lang w:val="en-US"/>
        </w:rPr>
        <w:t xml:space="preserve">from 33% to 21% </w:t>
      </w:r>
      <w:r w:rsidRPr="00AB7D1E">
        <w:rPr>
          <w:lang w:val="en-US"/>
        </w:rPr>
        <w:t>in the 4 largest cities</w:t>
      </w:r>
      <w:r w:rsidR="00750BFC" w:rsidRPr="00AB7D1E">
        <w:rPr>
          <w:lang w:val="en-US"/>
        </w:rPr>
        <w:t xml:space="preserve"> (Zagreb, Osijek, Rijeka, Split)</w:t>
      </w:r>
      <w:r w:rsidRPr="00AB7D1E">
        <w:rPr>
          <w:lang w:val="en-US"/>
        </w:rPr>
        <w:t>, while significantly less inhabitants are exposed to noise greater than 65 dB (A).</w:t>
      </w:r>
    </w:p>
    <w:p w14:paraId="5AAED0AA" w14:textId="195F2AB1" w:rsidR="00775AAB" w:rsidRPr="00AB7D1E" w:rsidRDefault="00775AAB" w:rsidP="00775AAB">
      <w:pPr>
        <w:pStyle w:val="Heading3"/>
        <w:rPr>
          <w:lang w:val="en-US"/>
        </w:rPr>
      </w:pPr>
      <w:bookmarkStart w:id="57" w:name="_Toc56954042"/>
      <w:r w:rsidRPr="00AB7D1E">
        <w:rPr>
          <w:lang w:val="en-US"/>
        </w:rPr>
        <w:lastRenderedPageBreak/>
        <w:t>Nature protection</w:t>
      </w:r>
      <w:bookmarkEnd w:id="57"/>
    </w:p>
    <w:p w14:paraId="7D60F0D7" w14:textId="0DEAA949" w:rsidR="00B10E76" w:rsidRPr="00AB7D1E" w:rsidRDefault="00B10E76" w:rsidP="00F43980">
      <w:pPr>
        <w:rPr>
          <w:lang w:val="en-US"/>
        </w:rPr>
      </w:pPr>
      <w:r w:rsidRPr="00AB7D1E">
        <w:rPr>
          <w:lang w:val="en-US"/>
        </w:rPr>
        <w:t xml:space="preserve">In Croatia, a legislative and institutional framework for nature protection has been established, as a basis for the implementation of activities for the conservation of all components of biodiversity. The state of nature is determined to a certain extent (inventory and mapping), monitored and assessed (red lists), and nature conservation is ensured by the implementation of appropriate mechanisms and measures for nature protection. Biodiversity data are evaluated, organized and made publicly available through the Nature Protection Information System at the </w:t>
      </w:r>
      <w:proofErr w:type="spellStart"/>
      <w:r w:rsidRPr="00AB7D1E">
        <w:rPr>
          <w:lang w:val="en-US"/>
        </w:rPr>
        <w:t>M</w:t>
      </w:r>
      <w:r w:rsidR="005F7EA0" w:rsidRPr="00AB7D1E">
        <w:rPr>
          <w:lang w:val="en-US"/>
        </w:rPr>
        <w:t>o</w:t>
      </w:r>
      <w:r w:rsidRPr="00AB7D1E">
        <w:rPr>
          <w:lang w:val="en-US"/>
        </w:rPr>
        <w:t>ESD</w:t>
      </w:r>
      <w:proofErr w:type="spellEnd"/>
      <w:r w:rsidRPr="00AB7D1E">
        <w:rPr>
          <w:lang w:val="en-US"/>
        </w:rPr>
        <w:t>. The starting point for targeted species protection is their legal protection, which also enables the regulation of international trade in endangered species. The oldest mechanism for biodiversity conservation is the protection of the area and includes the declaration of certain parts of nature as protected, as well as appropriate management. The Ecological Network of the Republic of Croatia (Natura 2000) was proclaimed in 2013, and it covers 36</w:t>
      </w:r>
      <w:r w:rsidR="004C2F5D" w:rsidRPr="00AB7D1E">
        <w:rPr>
          <w:lang w:val="en-US"/>
        </w:rPr>
        <w:t>,</w:t>
      </w:r>
      <w:r w:rsidRPr="00AB7D1E">
        <w:rPr>
          <w:lang w:val="en-US"/>
        </w:rPr>
        <w:t>7% of the land territory and 1</w:t>
      </w:r>
      <w:r w:rsidR="004C2F5D" w:rsidRPr="00AB7D1E">
        <w:rPr>
          <w:lang w:val="en-US"/>
        </w:rPr>
        <w:t>,</w:t>
      </w:r>
      <w:r w:rsidRPr="00AB7D1E">
        <w:rPr>
          <w:lang w:val="en-US"/>
        </w:rPr>
        <w:t>.4% of the territorial sea and inland waters. It consists of 781 areas; that is, 743 species conservation areas and habitat types and 38 bird conservation areas.</w:t>
      </w:r>
    </w:p>
    <w:p w14:paraId="3B693C0B" w14:textId="77777777" w:rsidR="00F02FEC" w:rsidRPr="00AB7D1E" w:rsidRDefault="00F02FEC" w:rsidP="00F02FEC">
      <w:pPr>
        <w:rPr>
          <w:lang w:val="en-US"/>
        </w:rPr>
      </w:pPr>
      <w:r w:rsidRPr="00AB7D1E">
        <w:rPr>
          <w:lang w:val="en-US"/>
        </w:rPr>
        <w:t>The conservation of the target species and habitat types of the ecological network is primarily ensured by the implementation of the procedure for assessing the acceptability of plans, programs and interventions that may have a significant impact on them. Biodiversity conservation is also ensured by integrating nature protection measures into natural resource management plans and spatial plans. But a significant number of species are still endangered.</w:t>
      </w:r>
    </w:p>
    <w:p w14:paraId="32540C01" w14:textId="4F315846" w:rsidR="00F02FEC" w:rsidRPr="00AB7D1E" w:rsidRDefault="00F02FEC" w:rsidP="00F02FEC">
      <w:pPr>
        <w:rPr>
          <w:lang w:val="en-US"/>
        </w:rPr>
      </w:pPr>
      <w:r w:rsidRPr="00AB7D1E">
        <w:rPr>
          <w:lang w:val="en-US"/>
        </w:rPr>
        <w:t>Croatia is characterized by a great diversity of species and habitats.</w:t>
      </w:r>
    </w:p>
    <w:p w14:paraId="0D739239" w14:textId="17A433DD" w:rsidR="009F1598" w:rsidRPr="00AB7D1E" w:rsidRDefault="009F1598" w:rsidP="00F43980">
      <w:pPr>
        <w:rPr>
          <w:lang w:val="en-US"/>
        </w:rPr>
      </w:pPr>
      <w:r w:rsidRPr="00AB7D1E">
        <w:rPr>
          <w:lang w:val="en-US"/>
        </w:rPr>
        <w:t xml:space="preserve">Through the development of a new </w:t>
      </w:r>
      <w:r w:rsidR="005F7EA0" w:rsidRPr="00AB7D1E">
        <w:rPr>
          <w:lang w:val="en-US"/>
        </w:rPr>
        <w:t>m</w:t>
      </w:r>
      <w:r w:rsidRPr="00AB7D1E">
        <w:rPr>
          <w:lang w:val="en-US"/>
        </w:rPr>
        <w:t>ap of terrestrial non-forest habitats, 155 habitat types were mapped in 58% of the territory of Croatia. Cultivated non-forest areas and habitats with weed and ruderal vegetation are non-forest habitat type covering the largest area of 24%. Habitats are still largely preserved, and the main threats are human impacts and disturbances and changes in agricultural practices that have resulted in the succession and reduction of the area of certain habitat types.</w:t>
      </w:r>
    </w:p>
    <w:p w14:paraId="13797537" w14:textId="76A465B0" w:rsidR="002944A0" w:rsidRPr="00AB7D1E" w:rsidRDefault="002944A0" w:rsidP="00F43980">
      <w:pPr>
        <w:rPr>
          <w:lang w:val="en-US"/>
        </w:rPr>
      </w:pPr>
      <w:r w:rsidRPr="00AB7D1E">
        <w:rPr>
          <w:lang w:val="en-US"/>
        </w:rPr>
        <w:t>in Croatia, 40</w:t>
      </w:r>
      <w:r w:rsidR="007C5DB7" w:rsidRPr="00AB7D1E">
        <w:rPr>
          <w:lang w:val="en-US"/>
        </w:rPr>
        <w:t>.</w:t>
      </w:r>
      <w:r w:rsidRPr="00AB7D1E">
        <w:rPr>
          <w:lang w:val="en-US"/>
        </w:rPr>
        <w:t>000 species have been recorded, most of them (about 25</w:t>
      </w:r>
      <w:r w:rsidR="007C5DB7" w:rsidRPr="00AB7D1E">
        <w:rPr>
          <w:lang w:val="en-US"/>
        </w:rPr>
        <w:t>.</w:t>
      </w:r>
      <w:r w:rsidRPr="00AB7D1E">
        <w:rPr>
          <w:lang w:val="en-US"/>
        </w:rPr>
        <w:t>000) invertebrates, but it is estimated that 50</w:t>
      </w:r>
      <w:r w:rsidR="007C5DB7" w:rsidRPr="00AB7D1E">
        <w:rPr>
          <w:lang w:val="en-US"/>
        </w:rPr>
        <w:t>.</w:t>
      </w:r>
      <w:r w:rsidRPr="00AB7D1E">
        <w:rPr>
          <w:lang w:val="en-US"/>
        </w:rPr>
        <w:t>000 to 100</w:t>
      </w:r>
      <w:r w:rsidR="007C5DB7" w:rsidRPr="00AB7D1E">
        <w:rPr>
          <w:lang w:val="en-US"/>
        </w:rPr>
        <w:t>.</w:t>
      </w:r>
      <w:r w:rsidRPr="00AB7D1E">
        <w:rPr>
          <w:lang w:val="en-US"/>
        </w:rPr>
        <w:t xml:space="preserve">000 are present. Every year, scientists record, discover and describe new species and subspecies. Such findings are rarer when it comes to fish, amphibians and reptiles, birds and mammals, as well as vascular flora as these groups are relatively well known. On the other hand, groups such as algae, mosses, fungi, and invertebrates are very poorly researched. This is supported by the fact that every year several dozen new species of invertebrates are identified for the fauna of Croatia, of which a significant number are described as new species for science. The wild species richness of Croatia lies not only in their diversity but also in their endemicity. The main centers of endemic flora are the mountains </w:t>
      </w:r>
      <w:proofErr w:type="spellStart"/>
      <w:r w:rsidRPr="00AB7D1E">
        <w:rPr>
          <w:lang w:val="en-US"/>
        </w:rPr>
        <w:t>Velebit</w:t>
      </w:r>
      <w:proofErr w:type="spellEnd"/>
      <w:r w:rsidRPr="00AB7D1E">
        <w:rPr>
          <w:lang w:val="en-US"/>
        </w:rPr>
        <w:t xml:space="preserve"> and </w:t>
      </w:r>
      <w:proofErr w:type="spellStart"/>
      <w:r w:rsidRPr="00AB7D1E">
        <w:rPr>
          <w:lang w:val="en-US"/>
        </w:rPr>
        <w:t>Biokovo</w:t>
      </w:r>
      <w:proofErr w:type="spellEnd"/>
      <w:r w:rsidRPr="00AB7D1E">
        <w:rPr>
          <w:lang w:val="en-US"/>
        </w:rPr>
        <w:t>, while the endemic fauna is most present in underground habitats (cave invertebrates, human fish), on islands (lizards, snails) and in karst rivers of the Adriatic basin (gulls and little heads).</w:t>
      </w:r>
    </w:p>
    <w:p w14:paraId="2EF4F78C" w14:textId="116665BA" w:rsidR="007E183D" w:rsidRPr="00AB7D1E" w:rsidRDefault="007E183D" w:rsidP="007E183D">
      <w:pPr>
        <w:rPr>
          <w:lang w:val="en-US"/>
        </w:rPr>
      </w:pPr>
      <w:r w:rsidRPr="00AB7D1E">
        <w:rPr>
          <w:lang w:val="en-US"/>
        </w:rPr>
        <w:t>The Nature Protection Act</w:t>
      </w:r>
      <w:r w:rsidRPr="00AB7D1E">
        <w:rPr>
          <w:rStyle w:val="FootnoteReference"/>
          <w:lang w:val="en-US"/>
        </w:rPr>
        <w:footnoteReference w:id="46"/>
      </w:r>
      <w:r w:rsidRPr="00AB7D1E">
        <w:rPr>
          <w:lang w:val="en-US"/>
        </w:rPr>
        <w:t xml:space="preserve"> defines 9 national categories of protection. According to the Register of Protected Areas in the Republic of Croatia, a total of 409 protected areas in various categories are protected. Data from the Register of Protected Areas are public and available on the web portal of the Nature Protection Information System at </w:t>
      </w:r>
      <w:proofErr w:type="spellStart"/>
      <w:r w:rsidRPr="00AB7D1E">
        <w:rPr>
          <w:lang w:val="en-US"/>
        </w:rPr>
        <w:t>M</w:t>
      </w:r>
      <w:r w:rsidR="005F7EA0" w:rsidRPr="00AB7D1E">
        <w:rPr>
          <w:lang w:val="en-US"/>
        </w:rPr>
        <w:t>o</w:t>
      </w:r>
      <w:r w:rsidRPr="00AB7D1E">
        <w:rPr>
          <w:lang w:val="en-US"/>
        </w:rPr>
        <w:t>ESD</w:t>
      </w:r>
      <w:proofErr w:type="spellEnd"/>
      <w:r w:rsidRPr="00AB7D1E">
        <w:rPr>
          <w:rStyle w:val="FootnoteReference"/>
          <w:lang w:val="en-US"/>
        </w:rPr>
        <w:footnoteReference w:id="47"/>
      </w:r>
      <w:r w:rsidRPr="00AB7D1E">
        <w:rPr>
          <w:lang w:val="en-US"/>
        </w:rPr>
        <w:t>.</w:t>
      </w:r>
    </w:p>
    <w:p w14:paraId="700BF813" w14:textId="3CC8F94D" w:rsidR="00970CE6" w:rsidRDefault="007E183D" w:rsidP="007E183D">
      <w:pPr>
        <w:rPr>
          <w:lang w:val="en-US"/>
        </w:rPr>
      </w:pPr>
      <w:r w:rsidRPr="00AB7D1E">
        <w:rPr>
          <w:lang w:val="en-US"/>
        </w:rPr>
        <w:lastRenderedPageBreak/>
        <w:t>Today, protected areas cover 8</w:t>
      </w:r>
      <w:r w:rsidR="005F69C7" w:rsidRPr="00AB7D1E">
        <w:rPr>
          <w:lang w:val="en-US"/>
        </w:rPr>
        <w:t>,</w:t>
      </w:r>
      <w:r w:rsidRPr="00AB7D1E">
        <w:rPr>
          <w:lang w:val="en-US"/>
        </w:rPr>
        <w:t>61% of the total area of the Republic of Croatia, i.e. 12</w:t>
      </w:r>
      <w:r w:rsidR="004C2F5D" w:rsidRPr="00AB7D1E">
        <w:rPr>
          <w:lang w:val="en-US"/>
        </w:rPr>
        <w:t>,</w:t>
      </w:r>
      <w:r w:rsidRPr="00AB7D1E">
        <w:rPr>
          <w:lang w:val="en-US"/>
        </w:rPr>
        <w:t>32% of the land territory and 1</w:t>
      </w:r>
      <w:r w:rsidR="004C2F5D" w:rsidRPr="00AB7D1E">
        <w:rPr>
          <w:lang w:val="en-US"/>
        </w:rPr>
        <w:t>,</w:t>
      </w:r>
      <w:r w:rsidRPr="00AB7D1E">
        <w:rPr>
          <w:lang w:val="en-US"/>
        </w:rPr>
        <w:t>95% of the territorial sea. The largest part of the protected area are nature parks (4</w:t>
      </w:r>
      <w:r w:rsidR="004C2F5D" w:rsidRPr="00AB7D1E">
        <w:rPr>
          <w:lang w:val="en-US"/>
        </w:rPr>
        <w:t>,</w:t>
      </w:r>
      <w:r w:rsidRPr="00AB7D1E">
        <w:rPr>
          <w:lang w:val="en-US"/>
        </w:rPr>
        <w:t>90% of the total state territory).</w:t>
      </w:r>
    </w:p>
    <w:p w14:paraId="05B78B06" w14:textId="60C0D303" w:rsidR="00F17887" w:rsidRPr="00AB7D1E" w:rsidRDefault="00F17887" w:rsidP="007D1E1B">
      <w:pPr>
        <w:pStyle w:val="Style1"/>
      </w:pPr>
      <w:bookmarkStart w:id="58" w:name="_Ref47636672"/>
      <w:bookmarkStart w:id="59" w:name="_Toc56952704"/>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4</w:t>
      </w:r>
      <w:r w:rsidR="00DF4A34" w:rsidRPr="00AB7D1E">
        <w:fldChar w:fldCharType="end"/>
      </w:r>
      <w:bookmarkEnd w:id="58"/>
      <w:r w:rsidRPr="00AB7D1E">
        <w:t>. Categories of protected areas according to the Nature Protection Act</w:t>
      </w:r>
      <w:bookmarkEnd w:id="59"/>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1134"/>
        <w:gridCol w:w="992"/>
        <w:gridCol w:w="1418"/>
        <w:gridCol w:w="2550"/>
      </w:tblGrid>
      <w:tr w:rsidR="00917F59" w:rsidRPr="00AB7D1E" w14:paraId="229DE0C9" w14:textId="3456C216" w:rsidTr="00E522CD">
        <w:trPr>
          <w:tblHeader/>
        </w:trPr>
        <w:tc>
          <w:tcPr>
            <w:tcW w:w="1838" w:type="dxa"/>
            <w:shd w:val="clear" w:color="auto" w:fill="CEDBE6" w:themeFill="background2"/>
            <w:vAlign w:val="center"/>
          </w:tcPr>
          <w:p w14:paraId="1C1C95AD" w14:textId="29CF2978"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Category</w:t>
            </w:r>
          </w:p>
        </w:tc>
        <w:tc>
          <w:tcPr>
            <w:tcW w:w="1134" w:type="dxa"/>
            <w:shd w:val="clear" w:color="auto" w:fill="CEDBE6" w:themeFill="background2"/>
            <w:vAlign w:val="center"/>
          </w:tcPr>
          <w:p w14:paraId="0FA6DB67" w14:textId="6D9BDD27"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Number of protected areas</w:t>
            </w:r>
          </w:p>
        </w:tc>
        <w:tc>
          <w:tcPr>
            <w:tcW w:w="1134" w:type="dxa"/>
            <w:shd w:val="clear" w:color="auto" w:fill="CEDBE6" w:themeFill="background2"/>
            <w:vAlign w:val="center"/>
          </w:tcPr>
          <w:p w14:paraId="0F3BB1D2" w14:textId="0A4ED775"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Surface (km</w:t>
            </w:r>
            <w:r w:rsidRPr="00AB7D1E">
              <w:rPr>
                <w:b/>
                <w:bCs/>
                <w:sz w:val="20"/>
                <w:szCs w:val="20"/>
                <w:vertAlign w:val="superscript"/>
                <w:lang w:val="en-US"/>
              </w:rPr>
              <w:t>2</w:t>
            </w:r>
            <w:r w:rsidRPr="00AB7D1E">
              <w:rPr>
                <w:b/>
                <w:bCs/>
                <w:sz w:val="20"/>
                <w:szCs w:val="20"/>
                <w:lang w:val="en-US"/>
              </w:rPr>
              <w:t>)</w:t>
            </w:r>
          </w:p>
        </w:tc>
        <w:tc>
          <w:tcPr>
            <w:tcW w:w="992" w:type="dxa"/>
            <w:shd w:val="clear" w:color="auto" w:fill="CEDBE6" w:themeFill="background2"/>
            <w:vAlign w:val="center"/>
          </w:tcPr>
          <w:p w14:paraId="00218FFF" w14:textId="1CBF0D85"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 of national surface</w:t>
            </w:r>
          </w:p>
        </w:tc>
        <w:tc>
          <w:tcPr>
            <w:tcW w:w="1418" w:type="dxa"/>
            <w:shd w:val="clear" w:color="auto" w:fill="CEDBE6" w:themeFill="background2"/>
            <w:vAlign w:val="center"/>
          </w:tcPr>
          <w:p w14:paraId="4426B769" w14:textId="29F7A051"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Management level</w:t>
            </w:r>
          </w:p>
        </w:tc>
        <w:tc>
          <w:tcPr>
            <w:tcW w:w="2550" w:type="dxa"/>
            <w:shd w:val="clear" w:color="auto" w:fill="CEDBE6" w:themeFill="background2"/>
            <w:vAlign w:val="center"/>
          </w:tcPr>
          <w:p w14:paraId="7F60A66C" w14:textId="509D437B" w:rsidR="00917F59" w:rsidRPr="00AB7D1E" w:rsidRDefault="00917F59" w:rsidP="006E3107">
            <w:pPr>
              <w:spacing w:before="0" w:after="0" w:line="240" w:lineRule="auto"/>
              <w:jc w:val="center"/>
              <w:rPr>
                <w:b/>
                <w:bCs/>
                <w:sz w:val="20"/>
                <w:szCs w:val="20"/>
                <w:lang w:val="en-US"/>
              </w:rPr>
            </w:pPr>
            <w:r w:rsidRPr="00AB7D1E">
              <w:rPr>
                <w:b/>
                <w:bCs/>
                <w:sz w:val="20"/>
                <w:szCs w:val="20"/>
                <w:lang w:val="en-US"/>
              </w:rPr>
              <w:t>Declaration</w:t>
            </w:r>
          </w:p>
        </w:tc>
      </w:tr>
      <w:tr w:rsidR="00917F59" w:rsidRPr="00AB7D1E" w14:paraId="5367EA33" w14:textId="39DD74AC" w:rsidTr="003C0A75">
        <w:tc>
          <w:tcPr>
            <w:tcW w:w="1838" w:type="dxa"/>
            <w:vAlign w:val="center"/>
          </w:tcPr>
          <w:p w14:paraId="1DC54CE0" w14:textId="1D80FD68" w:rsidR="00917F59" w:rsidRPr="00AB7D1E" w:rsidRDefault="00917F59" w:rsidP="006E3107">
            <w:pPr>
              <w:spacing w:before="0" w:after="0" w:line="240" w:lineRule="auto"/>
              <w:rPr>
                <w:sz w:val="20"/>
                <w:szCs w:val="20"/>
                <w:lang w:val="en-US"/>
              </w:rPr>
            </w:pPr>
            <w:r w:rsidRPr="00AB7D1E">
              <w:rPr>
                <w:sz w:val="20"/>
                <w:szCs w:val="20"/>
                <w:lang w:val="en-US"/>
              </w:rPr>
              <w:t>Strict Reserve</w:t>
            </w:r>
          </w:p>
        </w:tc>
        <w:tc>
          <w:tcPr>
            <w:tcW w:w="1134" w:type="dxa"/>
            <w:vAlign w:val="center"/>
          </w:tcPr>
          <w:p w14:paraId="3522E4AC" w14:textId="622D3684" w:rsidR="00917F59" w:rsidRPr="00AB7D1E" w:rsidRDefault="00917F59" w:rsidP="006E3107">
            <w:pPr>
              <w:spacing w:before="0" w:after="0" w:line="240" w:lineRule="auto"/>
              <w:jc w:val="right"/>
              <w:rPr>
                <w:sz w:val="20"/>
                <w:szCs w:val="20"/>
                <w:lang w:val="en-US"/>
              </w:rPr>
            </w:pPr>
            <w:r w:rsidRPr="00AB7D1E">
              <w:rPr>
                <w:sz w:val="20"/>
                <w:szCs w:val="20"/>
                <w:lang w:val="en-US"/>
              </w:rPr>
              <w:t>2</w:t>
            </w:r>
          </w:p>
        </w:tc>
        <w:tc>
          <w:tcPr>
            <w:tcW w:w="1134" w:type="dxa"/>
            <w:vAlign w:val="center"/>
          </w:tcPr>
          <w:p w14:paraId="16AB7646" w14:textId="6667B242" w:rsidR="00917F59" w:rsidRPr="00AB7D1E" w:rsidRDefault="00917F59" w:rsidP="006E3107">
            <w:pPr>
              <w:spacing w:before="0" w:after="0" w:line="240" w:lineRule="auto"/>
              <w:jc w:val="right"/>
              <w:rPr>
                <w:sz w:val="20"/>
                <w:szCs w:val="20"/>
                <w:lang w:val="en-US"/>
              </w:rPr>
            </w:pPr>
            <w:r w:rsidRPr="00AB7D1E">
              <w:rPr>
                <w:sz w:val="20"/>
                <w:szCs w:val="20"/>
                <w:lang w:val="en-US"/>
              </w:rPr>
              <w:t>24,19</w:t>
            </w:r>
          </w:p>
        </w:tc>
        <w:tc>
          <w:tcPr>
            <w:tcW w:w="992" w:type="dxa"/>
            <w:vAlign w:val="center"/>
          </w:tcPr>
          <w:p w14:paraId="4AE52276" w14:textId="1868CBF6" w:rsidR="00917F59" w:rsidRPr="00AB7D1E" w:rsidRDefault="00917F59" w:rsidP="006E3107">
            <w:pPr>
              <w:spacing w:before="0" w:after="0" w:line="240" w:lineRule="auto"/>
              <w:jc w:val="right"/>
              <w:rPr>
                <w:sz w:val="20"/>
                <w:szCs w:val="20"/>
                <w:lang w:val="en-US"/>
              </w:rPr>
            </w:pPr>
            <w:r w:rsidRPr="00AB7D1E">
              <w:rPr>
                <w:sz w:val="20"/>
                <w:szCs w:val="20"/>
                <w:lang w:val="en-US"/>
              </w:rPr>
              <w:t>0,03</w:t>
            </w:r>
          </w:p>
        </w:tc>
        <w:tc>
          <w:tcPr>
            <w:tcW w:w="1418" w:type="dxa"/>
            <w:vAlign w:val="center"/>
          </w:tcPr>
          <w:p w14:paraId="555E2C42" w14:textId="44472CFA" w:rsidR="00917F59" w:rsidRPr="00AB7D1E" w:rsidRDefault="00917F59" w:rsidP="006E3107">
            <w:pPr>
              <w:spacing w:before="0" w:after="0" w:line="240" w:lineRule="auto"/>
              <w:rPr>
                <w:sz w:val="20"/>
                <w:szCs w:val="20"/>
                <w:lang w:val="en-US"/>
              </w:rPr>
            </w:pPr>
            <w:r w:rsidRPr="00AB7D1E">
              <w:rPr>
                <w:sz w:val="20"/>
                <w:szCs w:val="20"/>
                <w:lang w:val="en-US"/>
              </w:rPr>
              <w:t>State and county</w:t>
            </w:r>
          </w:p>
        </w:tc>
        <w:tc>
          <w:tcPr>
            <w:tcW w:w="2550" w:type="dxa"/>
            <w:vAlign w:val="center"/>
          </w:tcPr>
          <w:p w14:paraId="7FD1B2A3" w14:textId="73D9385C" w:rsidR="00917F59" w:rsidRPr="00AB7D1E" w:rsidRDefault="00917F59" w:rsidP="006E3107">
            <w:pPr>
              <w:spacing w:before="0" w:after="0" w:line="240" w:lineRule="auto"/>
              <w:rPr>
                <w:sz w:val="20"/>
                <w:szCs w:val="20"/>
                <w:lang w:val="en-US"/>
              </w:rPr>
            </w:pPr>
            <w:r w:rsidRPr="00AB7D1E">
              <w:rPr>
                <w:sz w:val="20"/>
                <w:szCs w:val="20"/>
                <w:lang w:val="en-US"/>
              </w:rPr>
              <w:t>Government</w:t>
            </w:r>
          </w:p>
        </w:tc>
      </w:tr>
      <w:tr w:rsidR="00917F59" w:rsidRPr="00AB7D1E" w14:paraId="32FDE537" w14:textId="2ABF1459" w:rsidTr="003C0A75">
        <w:tc>
          <w:tcPr>
            <w:tcW w:w="1838" w:type="dxa"/>
            <w:vAlign w:val="center"/>
          </w:tcPr>
          <w:p w14:paraId="54907E7E" w14:textId="65009805" w:rsidR="00917F59" w:rsidRPr="00AB7D1E" w:rsidRDefault="00917F59" w:rsidP="006E3107">
            <w:pPr>
              <w:spacing w:before="0" w:after="0" w:line="240" w:lineRule="auto"/>
              <w:rPr>
                <w:sz w:val="20"/>
                <w:szCs w:val="20"/>
                <w:lang w:val="en-US"/>
              </w:rPr>
            </w:pPr>
            <w:r w:rsidRPr="00AB7D1E">
              <w:rPr>
                <w:sz w:val="20"/>
                <w:szCs w:val="20"/>
                <w:lang w:val="en-US"/>
              </w:rPr>
              <w:t>National Park</w:t>
            </w:r>
          </w:p>
        </w:tc>
        <w:tc>
          <w:tcPr>
            <w:tcW w:w="1134" w:type="dxa"/>
            <w:vAlign w:val="center"/>
          </w:tcPr>
          <w:p w14:paraId="46518B0E" w14:textId="7B91415D" w:rsidR="00917F59" w:rsidRPr="00AB7D1E" w:rsidRDefault="00917F59" w:rsidP="006E3107">
            <w:pPr>
              <w:spacing w:before="0" w:after="0" w:line="240" w:lineRule="auto"/>
              <w:jc w:val="right"/>
              <w:rPr>
                <w:sz w:val="20"/>
                <w:szCs w:val="20"/>
                <w:lang w:val="en-US"/>
              </w:rPr>
            </w:pPr>
            <w:r w:rsidRPr="00AB7D1E">
              <w:rPr>
                <w:sz w:val="20"/>
                <w:szCs w:val="20"/>
                <w:lang w:val="en-US"/>
              </w:rPr>
              <w:t>8</w:t>
            </w:r>
          </w:p>
        </w:tc>
        <w:tc>
          <w:tcPr>
            <w:tcW w:w="1134" w:type="dxa"/>
            <w:vAlign w:val="center"/>
          </w:tcPr>
          <w:p w14:paraId="4150656A" w14:textId="7AD55E0E" w:rsidR="00917F59" w:rsidRPr="00AB7D1E" w:rsidRDefault="00917F59" w:rsidP="006E3107">
            <w:pPr>
              <w:spacing w:before="0" w:after="0" w:line="240" w:lineRule="auto"/>
              <w:jc w:val="right"/>
              <w:rPr>
                <w:sz w:val="20"/>
                <w:szCs w:val="20"/>
                <w:lang w:val="en-US"/>
              </w:rPr>
            </w:pPr>
            <w:r w:rsidRPr="00AB7D1E">
              <w:rPr>
                <w:sz w:val="20"/>
                <w:szCs w:val="20"/>
                <w:lang w:val="en-US"/>
              </w:rPr>
              <w:t>979,63</w:t>
            </w:r>
          </w:p>
        </w:tc>
        <w:tc>
          <w:tcPr>
            <w:tcW w:w="992" w:type="dxa"/>
            <w:vAlign w:val="center"/>
          </w:tcPr>
          <w:p w14:paraId="444F585E" w14:textId="685C907A" w:rsidR="00917F59" w:rsidRPr="00AB7D1E" w:rsidRDefault="00917F59" w:rsidP="006E3107">
            <w:pPr>
              <w:spacing w:before="0" w:after="0" w:line="240" w:lineRule="auto"/>
              <w:jc w:val="right"/>
              <w:rPr>
                <w:sz w:val="20"/>
                <w:szCs w:val="20"/>
                <w:lang w:val="en-US"/>
              </w:rPr>
            </w:pPr>
            <w:r w:rsidRPr="00AB7D1E">
              <w:rPr>
                <w:sz w:val="20"/>
                <w:szCs w:val="20"/>
                <w:lang w:val="en-US"/>
              </w:rPr>
              <w:t>1,10</w:t>
            </w:r>
          </w:p>
        </w:tc>
        <w:tc>
          <w:tcPr>
            <w:tcW w:w="1418" w:type="dxa"/>
            <w:vAlign w:val="center"/>
          </w:tcPr>
          <w:p w14:paraId="3561E7A8" w14:textId="0211CB0F" w:rsidR="00917F59" w:rsidRPr="00AB7D1E" w:rsidRDefault="00917F59" w:rsidP="006E3107">
            <w:pPr>
              <w:spacing w:before="0" w:after="0" w:line="240" w:lineRule="auto"/>
              <w:rPr>
                <w:sz w:val="20"/>
                <w:szCs w:val="20"/>
                <w:lang w:val="en-US"/>
              </w:rPr>
            </w:pPr>
            <w:r w:rsidRPr="00AB7D1E">
              <w:rPr>
                <w:sz w:val="20"/>
                <w:szCs w:val="20"/>
                <w:lang w:val="en-US"/>
              </w:rPr>
              <w:t>State</w:t>
            </w:r>
          </w:p>
        </w:tc>
        <w:tc>
          <w:tcPr>
            <w:tcW w:w="2550" w:type="dxa"/>
            <w:vAlign w:val="center"/>
          </w:tcPr>
          <w:p w14:paraId="7F7C5AFE" w14:textId="16A16A37" w:rsidR="00917F59" w:rsidRPr="00AB7D1E" w:rsidRDefault="00917F59" w:rsidP="006E3107">
            <w:pPr>
              <w:spacing w:before="0" w:after="0" w:line="240" w:lineRule="auto"/>
              <w:rPr>
                <w:sz w:val="20"/>
                <w:szCs w:val="20"/>
                <w:lang w:val="en-US"/>
              </w:rPr>
            </w:pPr>
            <w:r w:rsidRPr="00AB7D1E">
              <w:rPr>
                <w:sz w:val="20"/>
                <w:szCs w:val="20"/>
                <w:lang w:val="en-US"/>
              </w:rPr>
              <w:t xml:space="preserve">Croatian Parliament </w:t>
            </w:r>
          </w:p>
        </w:tc>
      </w:tr>
      <w:tr w:rsidR="00917F59" w:rsidRPr="00AB7D1E" w14:paraId="7CF7DAB0" w14:textId="60BBB91C" w:rsidTr="003C0A75">
        <w:tc>
          <w:tcPr>
            <w:tcW w:w="1838" w:type="dxa"/>
            <w:vAlign w:val="center"/>
          </w:tcPr>
          <w:p w14:paraId="514F4B5E" w14:textId="00046B7C" w:rsidR="00917F59" w:rsidRPr="00AB7D1E" w:rsidRDefault="00917F59" w:rsidP="006E3107">
            <w:pPr>
              <w:spacing w:before="0" w:after="0" w:line="240" w:lineRule="auto"/>
              <w:rPr>
                <w:sz w:val="20"/>
                <w:szCs w:val="20"/>
                <w:lang w:val="en-US"/>
              </w:rPr>
            </w:pPr>
            <w:r w:rsidRPr="00AB7D1E">
              <w:rPr>
                <w:sz w:val="20"/>
                <w:szCs w:val="20"/>
                <w:lang w:val="en-US"/>
              </w:rPr>
              <w:t>Special Reserve</w:t>
            </w:r>
          </w:p>
        </w:tc>
        <w:tc>
          <w:tcPr>
            <w:tcW w:w="1134" w:type="dxa"/>
            <w:vAlign w:val="center"/>
          </w:tcPr>
          <w:p w14:paraId="6A0B2D90" w14:textId="3234320A" w:rsidR="00917F59" w:rsidRPr="00AB7D1E" w:rsidRDefault="00917F59" w:rsidP="006E3107">
            <w:pPr>
              <w:spacing w:before="0" w:after="0" w:line="240" w:lineRule="auto"/>
              <w:jc w:val="right"/>
              <w:rPr>
                <w:sz w:val="20"/>
                <w:szCs w:val="20"/>
                <w:lang w:val="en-US"/>
              </w:rPr>
            </w:pPr>
            <w:r w:rsidRPr="00AB7D1E">
              <w:rPr>
                <w:sz w:val="20"/>
                <w:szCs w:val="20"/>
                <w:lang w:val="en-US"/>
              </w:rPr>
              <w:t>77</w:t>
            </w:r>
          </w:p>
        </w:tc>
        <w:tc>
          <w:tcPr>
            <w:tcW w:w="1134" w:type="dxa"/>
            <w:vAlign w:val="center"/>
          </w:tcPr>
          <w:p w14:paraId="49DFD40A" w14:textId="4F28D987" w:rsidR="00917F59" w:rsidRPr="00AB7D1E" w:rsidRDefault="00917F59" w:rsidP="006E3107">
            <w:pPr>
              <w:spacing w:before="0" w:after="0" w:line="240" w:lineRule="auto"/>
              <w:jc w:val="right"/>
              <w:rPr>
                <w:sz w:val="20"/>
                <w:szCs w:val="20"/>
                <w:lang w:val="en-US"/>
              </w:rPr>
            </w:pPr>
            <w:r w:rsidRPr="00AB7D1E">
              <w:rPr>
                <w:sz w:val="20"/>
                <w:szCs w:val="20"/>
                <w:lang w:val="en-US"/>
              </w:rPr>
              <w:t>400,11</w:t>
            </w:r>
          </w:p>
        </w:tc>
        <w:tc>
          <w:tcPr>
            <w:tcW w:w="992" w:type="dxa"/>
            <w:vAlign w:val="center"/>
          </w:tcPr>
          <w:p w14:paraId="2AD65E99" w14:textId="48C3EF0C" w:rsidR="00917F59" w:rsidRPr="00AB7D1E" w:rsidRDefault="00917F59" w:rsidP="006E3107">
            <w:pPr>
              <w:spacing w:before="0" w:after="0" w:line="240" w:lineRule="auto"/>
              <w:jc w:val="right"/>
              <w:rPr>
                <w:sz w:val="20"/>
                <w:szCs w:val="20"/>
                <w:lang w:val="en-US"/>
              </w:rPr>
            </w:pPr>
            <w:r w:rsidRPr="00AB7D1E">
              <w:rPr>
                <w:sz w:val="20"/>
                <w:szCs w:val="20"/>
                <w:lang w:val="en-US"/>
              </w:rPr>
              <w:t>0,45</w:t>
            </w:r>
          </w:p>
        </w:tc>
        <w:tc>
          <w:tcPr>
            <w:tcW w:w="1418" w:type="dxa"/>
            <w:vAlign w:val="center"/>
          </w:tcPr>
          <w:p w14:paraId="26D02F3F" w14:textId="195004F1" w:rsidR="00917F59" w:rsidRPr="00AB7D1E" w:rsidRDefault="00917F59" w:rsidP="006E3107">
            <w:pPr>
              <w:spacing w:before="0" w:after="0" w:line="240" w:lineRule="auto"/>
              <w:rPr>
                <w:sz w:val="20"/>
                <w:szCs w:val="20"/>
                <w:lang w:val="en-US"/>
              </w:rPr>
            </w:pPr>
            <w:r w:rsidRPr="00AB7D1E">
              <w:rPr>
                <w:sz w:val="20"/>
                <w:szCs w:val="20"/>
                <w:lang w:val="en-US"/>
              </w:rPr>
              <w:t>State, county, municipality, city</w:t>
            </w:r>
          </w:p>
        </w:tc>
        <w:tc>
          <w:tcPr>
            <w:tcW w:w="2550" w:type="dxa"/>
            <w:vAlign w:val="center"/>
          </w:tcPr>
          <w:p w14:paraId="1CB9444F" w14:textId="07AAA1B4" w:rsidR="00917F59" w:rsidRPr="00AB7D1E" w:rsidRDefault="00917F59" w:rsidP="006E3107">
            <w:pPr>
              <w:spacing w:before="0" w:after="0" w:line="240" w:lineRule="auto"/>
              <w:rPr>
                <w:sz w:val="20"/>
                <w:szCs w:val="20"/>
                <w:lang w:val="en-US"/>
              </w:rPr>
            </w:pPr>
            <w:r w:rsidRPr="00AB7D1E">
              <w:rPr>
                <w:sz w:val="20"/>
                <w:szCs w:val="20"/>
                <w:lang w:val="en-US"/>
              </w:rPr>
              <w:t>Government</w:t>
            </w:r>
          </w:p>
        </w:tc>
      </w:tr>
      <w:tr w:rsidR="00917F59" w:rsidRPr="00AB7D1E" w14:paraId="38C8BB74" w14:textId="0A7E5C13" w:rsidTr="003C0A75">
        <w:tc>
          <w:tcPr>
            <w:tcW w:w="1838" w:type="dxa"/>
            <w:vAlign w:val="center"/>
          </w:tcPr>
          <w:p w14:paraId="4B8D7A3D" w14:textId="0247A7F0" w:rsidR="00917F59" w:rsidRPr="00AB7D1E" w:rsidRDefault="00917F59" w:rsidP="006E3107">
            <w:pPr>
              <w:spacing w:before="0" w:after="0" w:line="240" w:lineRule="auto"/>
              <w:rPr>
                <w:sz w:val="20"/>
                <w:szCs w:val="20"/>
                <w:lang w:val="en-US"/>
              </w:rPr>
            </w:pPr>
            <w:r w:rsidRPr="00AB7D1E">
              <w:rPr>
                <w:sz w:val="20"/>
                <w:szCs w:val="20"/>
                <w:lang w:val="en-US"/>
              </w:rPr>
              <w:t>Nature Park</w:t>
            </w:r>
          </w:p>
        </w:tc>
        <w:tc>
          <w:tcPr>
            <w:tcW w:w="1134" w:type="dxa"/>
            <w:vAlign w:val="center"/>
          </w:tcPr>
          <w:p w14:paraId="0D974A02" w14:textId="52EC2511" w:rsidR="00917F59" w:rsidRPr="00AB7D1E" w:rsidRDefault="00917F59" w:rsidP="006E3107">
            <w:pPr>
              <w:spacing w:before="0" w:after="0" w:line="240" w:lineRule="auto"/>
              <w:jc w:val="right"/>
              <w:rPr>
                <w:sz w:val="20"/>
                <w:szCs w:val="20"/>
                <w:lang w:val="en-US"/>
              </w:rPr>
            </w:pPr>
            <w:r w:rsidRPr="00AB7D1E">
              <w:rPr>
                <w:sz w:val="20"/>
                <w:szCs w:val="20"/>
                <w:lang w:val="en-US"/>
              </w:rPr>
              <w:t>11</w:t>
            </w:r>
          </w:p>
        </w:tc>
        <w:tc>
          <w:tcPr>
            <w:tcW w:w="1134" w:type="dxa"/>
            <w:vAlign w:val="center"/>
          </w:tcPr>
          <w:p w14:paraId="7FFEEC04" w14:textId="18F815A8" w:rsidR="00917F59" w:rsidRPr="00AB7D1E" w:rsidRDefault="00917F59" w:rsidP="006E3107">
            <w:pPr>
              <w:spacing w:before="0" w:after="0" w:line="240" w:lineRule="auto"/>
              <w:jc w:val="right"/>
              <w:rPr>
                <w:sz w:val="20"/>
                <w:szCs w:val="20"/>
                <w:lang w:val="en-US"/>
              </w:rPr>
            </w:pPr>
            <w:r w:rsidRPr="00AB7D1E">
              <w:rPr>
                <w:sz w:val="20"/>
                <w:szCs w:val="20"/>
                <w:lang w:val="en-US"/>
              </w:rPr>
              <w:t>4</w:t>
            </w:r>
            <w:r w:rsidR="007C5DB7" w:rsidRPr="00AB7D1E">
              <w:rPr>
                <w:sz w:val="20"/>
                <w:szCs w:val="20"/>
                <w:lang w:val="en-US"/>
              </w:rPr>
              <w:t>.</w:t>
            </w:r>
            <w:r w:rsidRPr="00AB7D1E">
              <w:rPr>
                <w:sz w:val="20"/>
                <w:szCs w:val="20"/>
                <w:lang w:val="en-US"/>
              </w:rPr>
              <w:t>320,48</w:t>
            </w:r>
          </w:p>
        </w:tc>
        <w:tc>
          <w:tcPr>
            <w:tcW w:w="992" w:type="dxa"/>
            <w:vAlign w:val="center"/>
          </w:tcPr>
          <w:p w14:paraId="71B1459E" w14:textId="551AF263" w:rsidR="00917F59" w:rsidRPr="00AB7D1E" w:rsidRDefault="00917F59" w:rsidP="006E3107">
            <w:pPr>
              <w:spacing w:before="0" w:after="0" w:line="240" w:lineRule="auto"/>
              <w:jc w:val="right"/>
              <w:rPr>
                <w:sz w:val="20"/>
                <w:szCs w:val="20"/>
                <w:lang w:val="en-US"/>
              </w:rPr>
            </w:pPr>
            <w:r w:rsidRPr="00AB7D1E">
              <w:rPr>
                <w:sz w:val="20"/>
                <w:szCs w:val="20"/>
                <w:lang w:val="en-US"/>
              </w:rPr>
              <w:t>4,55</w:t>
            </w:r>
          </w:p>
        </w:tc>
        <w:tc>
          <w:tcPr>
            <w:tcW w:w="1418" w:type="dxa"/>
            <w:vAlign w:val="center"/>
          </w:tcPr>
          <w:p w14:paraId="7C23B43C" w14:textId="2C72E27D" w:rsidR="00917F59" w:rsidRPr="00AB7D1E" w:rsidRDefault="00917F59" w:rsidP="006E3107">
            <w:pPr>
              <w:spacing w:before="0" w:after="0" w:line="240" w:lineRule="auto"/>
              <w:rPr>
                <w:sz w:val="20"/>
                <w:szCs w:val="20"/>
                <w:lang w:val="en-US"/>
              </w:rPr>
            </w:pPr>
            <w:r w:rsidRPr="00AB7D1E">
              <w:rPr>
                <w:sz w:val="20"/>
                <w:szCs w:val="20"/>
                <w:lang w:val="en-US"/>
              </w:rPr>
              <w:t>State</w:t>
            </w:r>
          </w:p>
        </w:tc>
        <w:tc>
          <w:tcPr>
            <w:tcW w:w="2550" w:type="dxa"/>
            <w:vAlign w:val="center"/>
          </w:tcPr>
          <w:p w14:paraId="2C9F026C" w14:textId="380A242C" w:rsidR="00917F59" w:rsidRPr="00AB7D1E" w:rsidRDefault="00917F59" w:rsidP="006E3107">
            <w:pPr>
              <w:spacing w:before="0" w:after="0" w:line="240" w:lineRule="auto"/>
              <w:rPr>
                <w:sz w:val="20"/>
                <w:szCs w:val="20"/>
                <w:lang w:val="en-US"/>
              </w:rPr>
            </w:pPr>
            <w:r w:rsidRPr="00AB7D1E">
              <w:rPr>
                <w:sz w:val="20"/>
                <w:szCs w:val="20"/>
                <w:lang w:val="en-US"/>
              </w:rPr>
              <w:t xml:space="preserve">Croatian Parliament </w:t>
            </w:r>
          </w:p>
        </w:tc>
      </w:tr>
      <w:tr w:rsidR="00917F59" w:rsidRPr="00AB7D1E" w14:paraId="27B35F06" w14:textId="6B2CA194" w:rsidTr="003C0A75">
        <w:tc>
          <w:tcPr>
            <w:tcW w:w="1838" w:type="dxa"/>
            <w:vAlign w:val="center"/>
          </w:tcPr>
          <w:p w14:paraId="07CC3121" w14:textId="5678C1F5" w:rsidR="00917F59" w:rsidRPr="00AB7D1E" w:rsidRDefault="00917F59" w:rsidP="006E3107">
            <w:pPr>
              <w:spacing w:before="0" w:after="0" w:line="240" w:lineRule="auto"/>
              <w:rPr>
                <w:sz w:val="20"/>
                <w:szCs w:val="20"/>
                <w:lang w:val="en-US"/>
              </w:rPr>
            </w:pPr>
            <w:r w:rsidRPr="00AB7D1E">
              <w:rPr>
                <w:sz w:val="20"/>
                <w:szCs w:val="20"/>
                <w:lang w:val="en-US"/>
              </w:rPr>
              <w:t>Regional Park</w:t>
            </w:r>
          </w:p>
        </w:tc>
        <w:tc>
          <w:tcPr>
            <w:tcW w:w="1134" w:type="dxa"/>
            <w:vAlign w:val="center"/>
          </w:tcPr>
          <w:p w14:paraId="3F856640" w14:textId="4856E52D" w:rsidR="00917F59" w:rsidRPr="00AB7D1E" w:rsidRDefault="00917F59" w:rsidP="006E3107">
            <w:pPr>
              <w:spacing w:before="0" w:after="0" w:line="240" w:lineRule="auto"/>
              <w:jc w:val="right"/>
              <w:rPr>
                <w:sz w:val="20"/>
                <w:szCs w:val="20"/>
                <w:lang w:val="en-US"/>
              </w:rPr>
            </w:pPr>
            <w:r w:rsidRPr="00AB7D1E">
              <w:rPr>
                <w:sz w:val="20"/>
                <w:szCs w:val="20"/>
                <w:lang w:val="en-US"/>
              </w:rPr>
              <w:t>2</w:t>
            </w:r>
          </w:p>
        </w:tc>
        <w:tc>
          <w:tcPr>
            <w:tcW w:w="1134" w:type="dxa"/>
            <w:vAlign w:val="center"/>
          </w:tcPr>
          <w:p w14:paraId="7BB085FB" w14:textId="3091B1B7" w:rsidR="00917F59" w:rsidRPr="00AB7D1E" w:rsidRDefault="00917F59" w:rsidP="006E3107">
            <w:pPr>
              <w:spacing w:before="0" w:after="0" w:line="240" w:lineRule="auto"/>
              <w:jc w:val="right"/>
              <w:rPr>
                <w:sz w:val="20"/>
                <w:szCs w:val="20"/>
                <w:lang w:val="en-US"/>
              </w:rPr>
            </w:pPr>
            <w:r w:rsidRPr="00AB7D1E">
              <w:rPr>
                <w:sz w:val="20"/>
                <w:szCs w:val="20"/>
                <w:lang w:val="en-US"/>
              </w:rPr>
              <w:t>1.025,56</w:t>
            </w:r>
          </w:p>
        </w:tc>
        <w:tc>
          <w:tcPr>
            <w:tcW w:w="992" w:type="dxa"/>
            <w:vAlign w:val="center"/>
          </w:tcPr>
          <w:p w14:paraId="3E10DB21" w14:textId="0A37325C" w:rsidR="00917F59" w:rsidRPr="00AB7D1E" w:rsidRDefault="00917F59" w:rsidP="006E3107">
            <w:pPr>
              <w:spacing w:before="0" w:after="0" w:line="240" w:lineRule="auto"/>
              <w:jc w:val="right"/>
              <w:rPr>
                <w:sz w:val="20"/>
                <w:szCs w:val="20"/>
                <w:lang w:val="en-US"/>
              </w:rPr>
            </w:pPr>
            <w:r w:rsidRPr="00AB7D1E">
              <w:rPr>
                <w:sz w:val="20"/>
                <w:szCs w:val="20"/>
                <w:lang w:val="en-US"/>
              </w:rPr>
              <w:t>1,16</w:t>
            </w:r>
          </w:p>
        </w:tc>
        <w:tc>
          <w:tcPr>
            <w:tcW w:w="1418" w:type="dxa"/>
            <w:vAlign w:val="center"/>
          </w:tcPr>
          <w:p w14:paraId="5340677A" w14:textId="2B0BBD13" w:rsidR="00917F59" w:rsidRPr="00AB7D1E" w:rsidRDefault="00917F59" w:rsidP="006E3107">
            <w:pPr>
              <w:spacing w:before="0" w:after="0" w:line="240" w:lineRule="auto"/>
              <w:rPr>
                <w:sz w:val="20"/>
                <w:szCs w:val="20"/>
                <w:lang w:val="en-US"/>
              </w:rPr>
            </w:pPr>
            <w:r w:rsidRPr="00AB7D1E">
              <w:rPr>
                <w:sz w:val="20"/>
                <w:szCs w:val="20"/>
                <w:lang w:val="en-US"/>
              </w:rPr>
              <w:t>County</w:t>
            </w:r>
          </w:p>
        </w:tc>
        <w:tc>
          <w:tcPr>
            <w:tcW w:w="2550" w:type="dxa"/>
            <w:vAlign w:val="center"/>
          </w:tcPr>
          <w:p w14:paraId="2A3F9B62" w14:textId="6537F4D8" w:rsidR="00917F59" w:rsidRPr="00AB7D1E" w:rsidRDefault="00917F59" w:rsidP="006E3107">
            <w:pPr>
              <w:spacing w:before="0" w:after="0" w:line="240" w:lineRule="auto"/>
              <w:rPr>
                <w:sz w:val="20"/>
                <w:szCs w:val="20"/>
                <w:lang w:val="en-US"/>
              </w:rPr>
            </w:pPr>
            <w:r w:rsidRPr="00AB7D1E">
              <w:rPr>
                <w:sz w:val="20"/>
                <w:szCs w:val="20"/>
                <w:lang w:val="en-US"/>
              </w:rPr>
              <w:t xml:space="preserve">Representative body of the competent regional self-government unit </w:t>
            </w:r>
          </w:p>
        </w:tc>
      </w:tr>
      <w:tr w:rsidR="00917F59" w:rsidRPr="00AB7D1E" w14:paraId="3B915E08" w14:textId="6538D8BD" w:rsidTr="003C0A75">
        <w:tc>
          <w:tcPr>
            <w:tcW w:w="1838" w:type="dxa"/>
            <w:vAlign w:val="center"/>
          </w:tcPr>
          <w:p w14:paraId="27514172" w14:textId="02DD16A0" w:rsidR="00917F59" w:rsidRPr="00AB7D1E" w:rsidRDefault="00917F59" w:rsidP="006E3107">
            <w:pPr>
              <w:spacing w:before="0" w:after="0" w:line="240" w:lineRule="auto"/>
              <w:rPr>
                <w:sz w:val="20"/>
                <w:szCs w:val="20"/>
                <w:lang w:val="en-US"/>
              </w:rPr>
            </w:pPr>
            <w:r w:rsidRPr="00AB7D1E">
              <w:rPr>
                <w:sz w:val="20"/>
                <w:szCs w:val="20"/>
                <w:lang w:val="en-US"/>
              </w:rPr>
              <w:t>Monument of nature</w:t>
            </w:r>
          </w:p>
        </w:tc>
        <w:tc>
          <w:tcPr>
            <w:tcW w:w="1134" w:type="dxa"/>
            <w:vAlign w:val="center"/>
          </w:tcPr>
          <w:p w14:paraId="73488B34" w14:textId="28B9805A" w:rsidR="00917F59" w:rsidRPr="00AB7D1E" w:rsidRDefault="00917F59" w:rsidP="006E3107">
            <w:pPr>
              <w:spacing w:before="0" w:after="0" w:line="240" w:lineRule="auto"/>
              <w:jc w:val="right"/>
              <w:rPr>
                <w:sz w:val="20"/>
                <w:szCs w:val="20"/>
                <w:lang w:val="en-US"/>
              </w:rPr>
            </w:pPr>
            <w:r w:rsidRPr="00AB7D1E">
              <w:rPr>
                <w:sz w:val="20"/>
                <w:szCs w:val="20"/>
                <w:lang w:val="en-US"/>
              </w:rPr>
              <w:t>79</w:t>
            </w:r>
          </w:p>
        </w:tc>
        <w:tc>
          <w:tcPr>
            <w:tcW w:w="1134" w:type="dxa"/>
            <w:vAlign w:val="center"/>
          </w:tcPr>
          <w:p w14:paraId="41112D19" w14:textId="6ACF473A" w:rsidR="00917F59" w:rsidRPr="00AB7D1E" w:rsidRDefault="00917F59" w:rsidP="006E3107">
            <w:pPr>
              <w:spacing w:before="0" w:after="0" w:line="240" w:lineRule="auto"/>
              <w:jc w:val="right"/>
              <w:rPr>
                <w:sz w:val="20"/>
                <w:szCs w:val="20"/>
                <w:lang w:val="en-US"/>
              </w:rPr>
            </w:pPr>
            <w:r w:rsidRPr="00AB7D1E">
              <w:rPr>
                <w:sz w:val="20"/>
                <w:szCs w:val="20"/>
                <w:lang w:val="en-US"/>
              </w:rPr>
              <w:t>2,04</w:t>
            </w:r>
          </w:p>
        </w:tc>
        <w:tc>
          <w:tcPr>
            <w:tcW w:w="992" w:type="dxa"/>
            <w:vAlign w:val="center"/>
          </w:tcPr>
          <w:p w14:paraId="4AFBDE70" w14:textId="16DF8794" w:rsidR="00917F59" w:rsidRPr="00AB7D1E" w:rsidRDefault="00917F59" w:rsidP="006E3107">
            <w:pPr>
              <w:spacing w:before="0" w:after="0" w:line="240" w:lineRule="auto"/>
              <w:jc w:val="right"/>
              <w:rPr>
                <w:sz w:val="20"/>
                <w:szCs w:val="20"/>
                <w:lang w:val="en-US"/>
              </w:rPr>
            </w:pPr>
            <w:r w:rsidRPr="00AB7D1E">
              <w:rPr>
                <w:sz w:val="20"/>
                <w:szCs w:val="20"/>
                <w:lang w:val="en-US"/>
              </w:rPr>
              <w:t>0,002</w:t>
            </w:r>
          </w:p>
        </w:tc>
        <w:tc>
          <w:tcPr>
            <w:tcW w:w="1418" w:type="dxa"/>
            <w:vAlign w:val="center"/>
          </w:tcPr>
          <w:p w14:paraId="5785D578" w14:textId="6D338BB4" w:rsidR="00917F59" w:rsidRPr="00AB7D1E" w:rsidRDefault="00917F59" w:rsidP="006E3107">
            <w:pPr>
              <w:spacing w:before="0" w:after="0" w:line="240" w:lineRule="auto"/>
              <w:rPr>
                <w:sz w:val="20"/>
                <w:szCs w:val="20"/>
                <w:lang w:val="en-US"/>
              </w:rPr>
            </w:pPr>
            <w:r w:rsidRPr="00AB7D1E">
              <w:rPr>
                <w:sz w:val="20"/>
                <w:szCs w:val="20"/>
                <w:lang w:val="en-US"/>
              </w:rPr>
              <w:t>County and municipality</w:t>
            </w:r>
          </w:p>
        </w:tc>
        <w:tc>
          <w:tcPr>
            <w:tcW w:w="2550" w:type="dxa"/>
            <w:vAlign w:val="center"/>
          </w:tcPr>
          <w:p w14:paraId="50DFB834" w14:textId="45567396" w:rsidR="00917F59" w:rsidRPr="00AB7D1E" w:rsidRDefault="00917F59" w:rsidP="006E3107">
            <w:pPr>
              <w:spacing w:before="0" w:after="0" w:line="240" w:lineRule="auto"/>
              <w:rPr>
                <w:sz w:val="20"/>
                <w:szCs w:val="20"/>
                <w:lang w:val="en-US"/>
              </w:rPr>
            </w:pPr>
            <w:r w:rsidRPr="00AB7D1E">
              <w:rPr>
                <w:sz w:val="20"/>
                <w:szCs w:val="20"/>
                <w:lang w:val="en-US"/>
              </w:rPr>
              <w:t>Representative body of the competent regional self-government unit</w:t>
            </w:r>
          </w:p>
        </w:tc>
      </w:tr>
      <w:tr w:rsidR="00917F59" w:rsidRPr="00AB7D1E" w14:paraId="71864022" w14:textId="31AA9229" w:rsidTr="003C0A75">
        <w:tc>
          <w:tcPr>
            <w:tcW w:w="1838" w:type="dxa"/>
            <w:vAlign w:val="center"/>
          </w:tcPr>
          <w:p w14:paraId="52D12F99" w14:textId="0B46831D" w:rsidR="00917F59" w:rsidRPr="00AB7D1E" w:rsidRDefault="00917F59" w:rsidP="006E3107">
            <w:pPr>
              <w:spacing w:before="0" w:after="0" w:line="240" w:lineRule="auto"/>
              <w:rPr>
                <w:sz w:val="20"/>
                <w:szCs w:val="20"/>
                <w:lang w:val="en-US"/>
              </w:rPr>
            </w:pPr>
            <w:r w:rsidRPr="00AB7D1E">
              <w:rPr>
                <w:sz w:val="20"/>
                <w:szCs w:val="20"/>
                <w:lang w:val="en-US"/>
              </w:rPr>
              <w:t>Significant Landscape</w:t>
            </w:r>
          </w:p>
        </w:tc>
        <w:tc>
          <w:tcPr>
            <w:tcW w:w="1134" w:type="dxa"/>
            <w:vAlign w:val="center"/>
          </w:tcPr>
          <w:p w14:paraId="3E1BE07E" w14:textId="46FB75B4" w:rsidR="00917F59" w:rsidRPr="00AB7D1E" w:rsidRDefault="00917F59" w:rsidP="006E3107">
            <w:pPr>
              <w:spacing w:before="0" w:after="0" w:line="240" w:lineRule="auto"/>
              <w:jc w:val="right"/>
              <w:rPr>
                <w:sz w:val="20"/>
                <w:szCs w:val="20"/>
                <w:lang w:val="en-US"/>
              </w:rPr>
            </w:pPr>
            <w:r w:rsidRPr="00AB7D1E">
              <w:rPr>
                <w:sz w:val="20"/>
                <w:szCs w:val="20"/>
                <w:lang w:val="en-US"/>
              </w:rPr>
              <w:t>83</w:t>
            </w:r>
          </w:p>
        </w:tc>
        <w:tc>
          <w:tcPr>
            <w:tcW w:w="1134" w:type="dxa"/>
            <w:vAlign w:val="center"/>
          </w:tcPr>
          <w:p w14:paraId="4E80086E" w14:textId="605B7D4A" w:rsidR="00917F59" w:rsidRPr="00AB7D1E" w:rsidRDefault="00917F59" w:rsidP="006E3107">
            <w:pPr>
              <w:spacing w:before="0" w:after="0" w:line="240" w:lineRule="auto"/>
              <w:jc w:val="right"/>
              <w:rPr>
                <w:sz w:val="20"/>
                <w:szCs w:val="20"/>
                <w:lang w:val="en-US"/>
              </w:rPr>
            </w:pPr>
            <w:r w:rsidRPr="00AB7D1E">
              <w:rPr>
                <w:sz w:val="20"/>
                <w:szCs w:val="20"/>
                <w:lang w:val="en-US"/>
              </w:rPr>
              <w:t>1.387,61</w:t>
            </w:r>
          </w:p>
        </w:tc>
        <w:tc>
          <w:tcPr>
            <w:tcW w:w="992" w:type="dxa"/>
            <w:vAlign w:val="center"/>
          </w:tcPr>
          <w:p w14:paraId="20D048D1" w14:textId="023466C5" w:rsidR="00917F59" w:rsidRPr="00AB7D1E" w:rsidRDefault="00917F59" w:rsidP="006E3107">
            <w:pPr>
              <w:spacing w:before="0" w:after="0" w:line="240" w:lineRule="auto"/>
              <w:jc w:val="right"/>
              <w:rPr>
                <w:sz w:val="20"/>
                <w:szCs w:val="20"/>
                <w:lang w:val="en-US"/>
              </w:rPr>
            </w:pPr>
            <w:r w:rsidRPr="00AB7D1E">
              <w:rPr>
                <w:sz w:val="20"/>
                <w:szCs w:val="20"/>
                <w:lang w:val="en-US"/>
              </w:rPr>
              <w:t>1,35</w:t>
            </w:r>
          </w:p>
        </w:tc>
        <w:tc>
          <w:tcPr>
            <w:tcW w:w="1418" w:type="dxa"/>
            <w:vAlign w:val="center"/>
          </w:tcPr>
          <w:p w14:paraId="7B2FC763" w14:textId="1FE67E1C" w:rsidR="00917F59" w:rsidRPr="00AB7D1E" w:rsidRDefault="00917F59" w:rsidP="006E3107">
            <w:pPr>
              <w:spacing w:before="0" w:after="0" w:line="240" w:lineRule="auto"/>
              <w:rPr>
                <w:sz w:val="20"/>
                <w:szCs w:val="20"/>
                <w:lang w:val="en-US"/>
              </w:rPr>
            </w:pPr>
            <w:r w:rsidRPr="00AB7D1E">
              <w:rPr>
                <w:sz w:val="20"/>
                <w:szCs w:val="20"/>
                <w:lang w:val="en-US"/>
              </w:rPr>
              <w:t>County and municipality</w:t>
            </w:r>
          </w:p>
        </w:tc>
        <w:tc>
          <w:tcPr>
            <w:tcW w:w="2550" w:type="dxa"/>
            <w:vAlign w:val="center"/>
          </w:tcPr>
          <w:p w14:paraId="77B5FE9D" w14:textId="6880CB1E" w:rsidR="00917F59" w:rsidRPr="00AB7D1E" w:rsidRDefault="00917F59" w:rsidP="006E3107">
            <w:pPr>
              <w:spacing w:before="0" w:after="0" w:line="240" w:lineRule="auto"/>
              <w:rPr>
                <w:sz w:val="20"/>
                <w:szCs w:val="20"/>
                <w:lang w:val="en-US"/>
              </w:rPr>
            </w:pPr>
            <w:r w:rsidRPr="00AB7D1E">
              <w:rPr>
                <w:sz w:val="20"/>
                <w:szCs w:val="20"/>
                <w:lang w:val="en-US"/>
              </w:rPr>
              <w:t>Representative body of the competent regional self-government unit</w:t>
            </w:r>
          </w:p>
        </w:tc>
      </w:tr>
      <w:tr w:rsidR="00917F59" w:rsidRPr="00AB7D1E" w14:paraId="049BEE99" w14:textId="1BF5D76E" w:rsidTr="003C0A75">
        <w:tc>
          <w:tcPr>
            <w:tcW w:w="1838" w:type="dxa"/>
            <w:vAlign w:val="center"/>
          </w:tcPr>
          <w:p w14:paraId="7470D76F" w14:textId="731150F4" w:rsidR="00917F59" w:rsidRPr="00AB7D1E" w:rsidRDefault="00917F59" w:rsidP="006E3107">
            <w:pPr>
              <w:spacing w:before="0" w:after="0" w:line="240" w:lineRule="auto"/>
              <w:rPr>
                <w:sz w:val="20"/>
                <w:szCs w:val="20"/>
                <w:lang w:val="en-US"/>
              </w:rPr>
            </w:pPr>
            <w:r w:rsidRPr="00AB7D1E">
              <w:rPr>
                <w:sz w:val="20"/>
                <w:szCs w:val="20"/>
                <w:lang w:val="en-US"/>
              </w:rPr>
              <w:t>Park - Forest</w:t>
            </w:r>
          </w:p>
        </w:tc>
        <w:tc>
          <w:tcPr>
            <w:tcW w:w="1134" w:type="dxa"/>
            <w:vAlign w:val="center"/>
          </w:tcPr>
          <w:p w14:paraId="2805A2A1" w14:textId="0E6724D5" w:rsidR="00917F59" w:rsidRPr="00AB7D1E" w:rsidRDefault="00917F59" w:rsidP="006E3107">
            <w:pPr>
              <w:spacing w:before="0" w:after="0" w:line="240" w:lineRule="auto"/>
              <w:jc w:val="right"/>
              <w:rPr>
                <w:sz w:val="20"/>
                <w:szCs w:val="20"/>
                <w:lang w:val="en-US"/>
              </w:rPr>
            </w:pPr>
            <w:r w:rsidRPr="00AB7D1E">
              <w:rPr>
                <w:sz w:val="20"/>
                <w:szCs w:val="20"/>
                <w:lang w:val="en-US"/>
              </w:rPr>
              <w:t>27</w:t>
            </w:r>
          </w:p>
        </w:tc>
        <w:tc>
          <w:tcPr>
            <w:tcW w:w="1134" w:type="dxa"/>
            <w:vAlign w:val="center"/>
          </w:tcPr>
          <w:p w14:paraId="7B3CC424" w14:textId="09E2F2CB" w:rsidR="00917F59" w:rsidRPr="00AB7D1E" w:rsidRDefault="00917F59" w:rsidP="006E3107">
            <w:pPr>
              <w:spacing w:before="0" w:after="0" w:line="240" w:lineRule="auto"/>
              <w:jc w:val="right"/>
              <w:rPr>
                <w:sz w:val="20"/>
                <w:szCs w:val="20"/>
                <w:lang w:val="en-US"/>
              </w:rPr>
            </w:pPr>
            <w:r w:rsidRPr="00AB7D1E">
              <w:rPr>
                <w:sz w:val="20"/>
                <w:szCs w:val="20"/>
                <w:lang w:val="en-US"/>
              </w:rPr>
              <w:t>29,62</w:t>
            </w:r>
          </w:p>
        </w:tc>
        <w:tc>
          <w:tcPr>
            <w:tcW w:w="992" w:type="dxa"/>
            <w:vAlign w:val="center"/>
          </w:tcPr>
          <w:p w14:paraId="653D881F" w14:textId="3ACA0AA2" w:rsidR="00917F59" w:rsidRPr="00AB7D1E" w:rsidRDefault="00917F59" w:rsidP="006E3107">
            <w:pPr>
              <w:spacing w:before="0" w:after="0" w:line="240" w:lineRule="auto"/>
              <w:jc w:val="right"/>
              <w:rPr>
                <w:sz w:val="20"/>
                <w:szCs w:val="20"/>
                <w:lang w:val="en-US"/>
              </w:rPr>
            </w:pPr>
            <w:r w:rsidRPr="00AB7D1E">
              <w:rPr>
                <w:sz w:val="20"/>
                <w:szCs w:val="20"/>
                <w:lang w:val="en-US"/>
              </w:rPr>
              <w:t>0,03</w:t>
            </w:r>
          </w:p>
        </w:tc>
        <w:tc>
          <w:tcPr>
            <w:tcW w:w="1418" w:type="dxa"/>
            <w:vAlign w:val="center"/>
          </w:tcPr>
          <w:p w14:paraId="0E6AB479" w14:textId="08B2CCD0" w:rsidR="00917F59" w:rsidRPr="00AB7D1E" w:rsidRDefault="00917F59" w:rsidP="006E3107">
            <w:pPr>
              <w:spacing w:before="0" w:after="0" w:line="240" w:lineRule="auto"/>
              <w:rPr>
                <w:sz w:val="20"/>
                <w:szCs w:val="20"/>
                <w:lang w:val="en-US"/>
              </w:rPr>
            </w:pPr>
            <w:r w:rsidRPr="00AB7D1E">
              <w:rPr>
                <w:sz w:val="20"/>
                <w:szCs w:val="20"/>
                <w:lang w:val="en-US"/>
              </w:rPr>
              <w:t>County, municipality and city</w:t>
            </w:r>
          </w:p>
        </w:tc>
        <w:tc>
          <w:tcPr>
            <w:tcW w:w="2550" w:type="dxa"/>
            <w:vAlign w:val="center"/>
          </w:tcPr>
          <w:p w14:paraId="41565D52" w14:textId="51AB1C59" w:rsidR="00917F59" w:rsidRPr="00AB7D1E" w:rsidRDefault="00917F59" w:rsidP="006E3107">
            <w:pPr>
              <w:spacing w:before="0" w:after="0" w:line="240" w:lineRule="auto"/>
              <w:rPr>
                <w:sz w:val="20"/>
                <w:szCs w:val="20"/>
                <w:lang w:val="en-US"/>
              </w:rPr>
            </w:pPr>
            <w:r w:rsidRPr="00AB7D1E">
              <w:rPr>
                <w:sz w:val="20"/>
                <w:szCs w:val="20"/>
                <w:lang w:val="en-US"/>
              </w:rPr>
              <w:t>Representative body of the competent regional self-government unit</w:t>
            </w:r>
          </w:p>
        </w:tc>
      </w:tr>
      <w:tr w:rsidR="00917F59" w:rsidRPr="00AB7D1E" w14:paraId="63453D13" w14:textId="2946DBC5" w:rsidTr="003C0A75">
        <w:tc>
          <w:tcPr>
            <w:tcW w:w="1838" w:type="dxa"/>
            <w:vAlign w:val="center"/>
          </w:tcPr>
          <w:p w14:paraId="343E084D" w14:textId="6DF1A25C" w:rsidR="00917F59" w:rsidRPr="00AB7D1E" w:rsidRDefault="00917F59" w:rsidP="006E3107">
            <w:pPr>
              <w:spacing w:before="0" w:after="0" w:line="240" w:lineRule="auto"/>
              <w:rPr>
                <w:sz w:val="20"/>
                <w:szCs w:val="20"/>
                <w:lang w:val="en-US"/>
              </w:rPr>
            </w:pPr>
            <w:r w:rsidRPr="00AB7D1E">
              <w:rPr>
                <w:sz w:val="20"/>
                <w:szCs w:val="20"/>
                <w:lang w:val="en-US"/>
              </w:rPr>
              <w:t>Monument of park architecture</w:t>
            </w:r>
          </w:p>
        </w:tc>
        <w:tc>
          <w:tcPr>
            <w:tcW w:w="1134" w:type="dxa"/>
            <w:vAlign w:val="center"/>
          </w:tcPr>
          <w:p w14:paraId="4AD13688" w14:textId="6DA1A77B" w:rsidR="00917F59" w:rsidRPr="00AB7D1E" w:rsidRDefault="00917F59" w:rsidP="006E3107">
            <w:pPr>
              <w:spacing w:before="0" w:after="0" w:line="240" w:lineRule="auto"/>
              <w:jc w:val="right"/>
              <w:rPr>
                <w:sz w:val="20"/>
                <w:szCs w:val="20"/>
                <w:lang w:val="en-US"/>
              </w:rPr>
            </w:pPr>
            <w:r w:rsidRPr="00AB7D1E">
              <w:rPr>
                <w:sz w:val="20"/>
                <w:szCs w:val="20"/>
                <w:lang w:val="en-US"/>
              </w:rPr>
              <w:t>120</w:t>
            </w:r>
          </w:p>
        </w:tc>
        <w:tc>
          <w:tcPr>
            <w:tcW w:w="1134" w:type="dxa"/>
            <w:vAlign w:val="center"/>
          </w:tcPr>
          <w:p w14:paraId="5725E0F6" w14:textId="1845991C" w:rsidR="00917F59" w:rsidRPr="00AB7D1E" w:rsidRDefault="00917F59" w:rsidP="006E3107">
            <w:pPr>
              <w:spacing w:before="0" w:after="0" w:line="240" w:lineRule="auto"/>
              <w:jc w:val="right"/>
              <w:rPr>
                <w:sz w:val="20"/>
                <w:szCs w:val="20"/>
                <w:lang w:val="en-US"/>
              </w:rPr>
            </w:pPr>
            <w:r w:rsidRPr="00AB7D1E">
              <w:rPr>
                <w:sz w:val="20"/>
                <w:szCs w:val="20"/>
                <w:lang w:val="en-US"/>
              </w:rPr>
              <w:t>10,01</w:t>
            </w:r>
          </w:p>
        </w:tc>
        <w:tc>
          <w:tcPr>
            <w:tcW w:w="992" w:type="dxa"/>
            <w:vAlign w:val="center"/>
          </w:tcPr>
          <w:p w14:paraId="63342A3C" w14:textId="28F8695B" w:rsidR="00917F59" w:rsidRPr="00AB7D1E" w:rsidRDefault="00917F59" w:rsidP="006E3107">
            <w:pPr>
              <w:spacing w:before="0" w:after="0" w:line="240" w:lineRule="auto"/>
              <w:jc w:val="right"/>
              <w:rPr>
                <w:sz w:val="20"/>
                <w:szCs w:val="20"/>
                <w:lang w:val="en-US"/>
              </w:rPr>
            </w:pPr>
            <w:r w:rsidRPr="00AB7D1E">
              <w:rPr>
                <w:sz w:val="20"/>
                <w:szCs w:val="20"/>
                <w:lang w:val="en-US"/>
              </w:rPr>
              <w:t>0,01</w:t>
            </w:r>
          </w:p>
        </w:tc>
        <w:tc>
          <w:tcPr>
            <w:tcW w:w="1418" w:type="dxa"/>
            <w:vAlign w:val="center"/>
          </w:tcPr>
          <w:p w14:paraId="6F4395DA" w14:textId="097C0FBE" w:rsidR="00917F59" w:rsidRPr="00AB7D1E" w:rsidRDefault="00917F59" w:rsidP="006E3107">
            <w:pPr>
              <w:spacing w:before="0" w:after="0" w:line="240" w:lineRule="auto"/>
              <w:rPr>
                <w:sz w:val="20"/>
                <w:szCs w:val="20"/>
                <w:lang w:val="en-US"/>
              </w:rPr>
            </w:pPr>
            <w:r w:rsidRPr="00AB7D1E">
              <w:rPr>
                <w:sz w:val="20"/>
                <w:szCs w:val="20"/>
                <w:lang w:val="en-US"/>
              </w:rPr>
              <w:t>County</w:t>
            </w:r>
          </w:p>
        </w:tc>
        <w:tc>
          <w:tcPr>
            <w:tcW w:w="2550" w:type="dxa"/>
            <w:vAlign w:val="center"/>
          </w:tcPr>
          <w:p w14:paraId="1E69EB43" w14:textId="7774972E" w:rsidR="00917F59" w:rsidRPr="00AB7D1E" w:rsidRDefault="00917F59" w:rsidP="006E3107">
            <w:pPr>
              <w:spacing w:before="0" w:after="0" w:line="240" w:lineRule="auto"/>
              <w:rPr>
                <w:sz w:val="20"/>
                <w:szCs w:val="20"/>
                <w:lang w:val="en-US"/>
              </w:rPr>
            </w:pPr>
            <w:r w:rsidRPr="00AB7D1E">
              <w:rPr>
                <w:sz w:val="20"/>
                <w:szCs w:val="20"/>
                <w:lang w:val="en-US"/>
              </w:rPr>
              <w:t xml:space="preserve">Representative body of the competent regional self-government unit </w:t>
            </w:r>
          </w:p>
        </w:tc>
      </w:tr>
      <w:tr w:rsidR="00917F59" w:rsidRPr="00AB7D1E" w14:paraId="3BEA56D2" w14:textId="607322E2" w:rsidTr="003C0A75">
        <w:tc>
          <w:tcPr>
            <w:tcW w:w="1838" w:type="dxa"/>
            <w:vAlign w:val="center"/>
          </w:tcPr>
          <w:p w14:paraId="36CAF7F9" w14:textId="2FBD49DF" w:rsidR="00917F59" w:rsidRPr="00AB7D1E" w:rsidRDefault="00917F59" w:rsidP="006E3107">
            <w:pPr>
              <w:spacing w:before="0" w:after="0" w:line="240" w:lineRule="auto"/>
              <w:rPr>
                <w:sz w:val="20"/>
                <w:szCs w:val="20"/>
                <w:lang w:val="en-US"/>
              </w:rPr>
            </w:pPr>
            <w:r w:rsidRPr="00AB7D1E">
              <w:rPr>
                <w:sz w:val="20"/>
                <w:szCs w:val="20"/>
                <w:lang w:val="en-US"/>
              </w:rPr>
              <w:t xml:space="preserve">Area of protected areas within other protected areas </w:t>
            </w:r>
            <w:r w:rsidR="00414286" w:rsidRPr="00AB7D1E">
              <w:rPr>
                <w:rStyle w:val="FootnoteReference"/>
                <w:sz w:val="20"/>
                <w:szCs w:val="20"/>
                <w:lang w:val="en-US"/>
              </w:rPr>
              <w:footnoteReference w:id="48"/>
            </w:r>
            <w:r w:rsidRPr="00AB7D1E">
              <w:rPr>
                <w:sz w:val="20"/>
                <w:szCs w:val="20"/>
                <w:lang w:val="en-US"/>
              </w:rPr>
              <w:t>*</w:t>
            </w:r>
          </w:p>
        </w:tc>
        <w:tc>
          <w:tcPr>
            <w:tcW w:w="1134" w:type="dxa"/>
            <w:vAlign w:val="center"/>
          </w:tcPr>
          <w:p w14:paraId="2397CDEC" w14:textId="77777777" w:rsidR="00917F59" w:rsidRPr="00AB7D1E" w:rsidRDefault="00917F59" w:rsidP="006E3107">
            <w:pPr>
              <w:spacing w:before="0" w:after="0" w:line="240" w:lineRule="auto"/>
              <w:jc w:val="right"/>
              <w:rPr>
                <w:sz w:val="20"/>
                <w:szCs w:val="20"/>
                <w:lang w:val="en-US"/>
              </w:rPr>
            </w:pPr>
          </w:p>
        </w:tc>
        <w:tc>
          <w:tcPr>
            <w:tcW w:w="1134" w:type="dxa"/>
            <w:vAlign w:val="center"/>
          </w:tcPr>
          <w:p w14:paraId="11C38EA2" w14:textId="37203405" w:rsidR="00917F59" w:rsidRPr="00AB7D1E" w:rsidRDefault="00917F59" w:rsidP="006E3107">
            <w:pPr>
              <w:spacing w:before="0" w:after="0" w:line="240" w:lineRule="auto"/>
              <w:jc w:val="right"/>
              <w:rPr>
                <w:sz w:val="20"/>
                <w:szCs w:val="20"/>
                <w:lang w:val="en-US"/>
              </w:rPr>
            </w:pPr>
            <w:r w:rsidRPr="00AB7D1E">
              <w:rPr>
                <w:sz w:val="20"/>
                <w:szCs w:val="20"/>
                <w:lang w:val="en-US"/>
              </w:rPr>
              <w:t>593,23</w:t>
            </w:r>
          </w:p>
        </w:tc>
        <w:tc>
          <w:tcPr>
            <w:tcW w:w="992" w:type="dxa"/>
            <w:vAlign w:val="center"/>
          </w:tcPr>
          <w:p w14:paraId="1643A3A9" w14:textId="01BF19DA" w:rsidR="00917F59" w:rsidRPr="00AB7D1E" w:rsidRDefault="00917F59" w:rsidP="006E3107">
            <w:pPr>
              <w:spacing w:before="0" w:after="0" w:line="240" w:lineRule="auto"/>
              <w:jc w:val="right"/>
              <w:rPr>
                <w:sz w:val="20"/>
                <w:szCs w:val="20"/>
                <w:lang w:val="en-US"/>
              </w:rPr>
            </w:pPr>
            <w:r w:rsidRPr="00AB7D1E">
              <w:rPr>
                <w:sz w:val="20"/>
                <w:szCs w:val="20"/>
                <w:lang w:val="en-US"/>
              </w:rPr>
              <w:t>0,67</w:t>
            </w:r>
          </w:p>
        </w:tc>
        <w:tc>
          <w:tcPr>
            <w:tcW w:w="1418" w:type="dxa"/>
            <w:vAlign w:val="center"/>
          </w:tcPr>
          <w:p w14:paraId="2EAA70DB" w14:textId="77777777" w:rsidR="00917F59" w:rsidRPr="00AB7D1E" w:rsidRDefault="00917F59" w:rsidP="006E3107">
            <w:pPr>
              <w:spacing w:before="0" w:after="0" w:line="240" w:lineRule="auto"/>
              <w:rPr>
                <w:sz w:val="20"/>
                <w:szCs w:val="20"/>
                <w:lang w:val="en-US"/>
              </w:rPr>
            </w:pPr>
          </w:p>
        </w:tc>
        <w:tc>
          <w:tcPr>
            <w:tcW w:w="2550" w:type="dxa"/>
            <w:vAlign w:val="center"/>
          </w:tcPr>
          <w:p w14:paraId="3C0E251F" w14:textId="77777777" w:rsidR="00917F59" w:rsidRPr="00AB7D1E" w:rsidRDefault="00917F59" w:rsidP="006E3107">
            <w:pPr>
              <w:spacing w:before="0" w:after="0" w:line="240" w:lineRule="auto"/>
              <w:rPr>
                <w:sz w:val="20"/>
                <w:szCs w:val="20"/>
                <w:lang w:val="en-US"/>
              </w:rPr>
            </w:pPr>
          </w:p>
        </w:tc>
      </w:tr>
      <w:tr w:rsidR="00917F59" w:rsidRPr="00AB7D1E" w14:paraId="6BA6375F" w14:textId="05B2FB1E" w:rsidTr="00E522CD">
        <w:tc>
          <w:tcPr>
            <w:tcW w:w="1838" w:type="dxa"/>
          </w:tcPr>
          <w:p w14:paraId="6D1D2D5F" w14:textId="0D40BF8E" w:rsidR="00917F59" w:rsidRPr="00AB7D1E" w:rsidRDefault="00917F59" w:rsidP="006E3107">
            <w:pPr>
              <w:spacing w:before="0" w:after="0" w:line="240" w:lineRule="auto"/>
              <w:rPr>
                <w:b/>
                <w:bCs/>
                <w:sz w:val="20"/>
                <w:szCs w:val="20"/>
                <w:lang w:val="en-US"/>
              </w:rPr>
            </w:pPr>
            <w:r w:rsidRPr="00AB7D1E">
              <w:rPr>
                <w:b/>
                <w:bCs/>
                <w:sz w:val="20"/>
                <w:szCs w:val="20"/>
                <w:lang w:val="en-US"/>
              </w:rPr>
              <w:t>Total</w:t>
            </w:r>
          </w:p>
        </w:tc>
        <w:tc>
          <w:tcPr>
            <w:tcW w:w="1134" w:type="dxa"/>
          </w:tcPr>
          <w:p w14:paraId="136282FC" w14:textId="34B17891" w:rsidR="00917F59" w:rsidRPr="00AB7D1E" w:rsidRDefault="00917F59" w:rsidP="006E3107">
            <w:pPr>
              <w:spacing w:before="0" w:after="0" w:line="240" w:lineRule="auto"/>
              <w:jc w:val="right"/>
              <w:rPr>
                <w:b/>
                <w:bCs/>
                <w:sz w:val="20"/>
                <w:szCs w:val="20"/>
                <w:lang w:val="en-US"/>
              </w:rPr>
            </w:pPr>
            <w:r w:rsidRPr="00AB7D1E">
              <w:rPr>
                <w:b/>
                <w:bCs/>
                <w:sz w:val="20"/>
                <w:szCs w:val="20"/>
                <w:lang w:val="en-US"/>
              </w:rPr>
              <w:t>409</w:t>
            </w:r>
          </w:p>
        </w:tc>
        <w:tc>
          <w:tcPr>
            <w:tcW w:w="1134" w:type="dxa"/>
          </w:tcPr>
          <w:p w14:paraId="4547BF8F" w14:textId="30E2687C" w:rsidR="00917F59" w:rsidRPr="00AB7D1E" w:rsidRDefault="00917F59" w:rsidP="006E3107">
            <w:pPr>
              <w:spacing w:before="0" w:after="0" w:line="240" w:lineRule="auto"/>
              <w:jc w:val="right"/>
              <w:rPr>
                <w:b/>
                <w:bCs/>
                <w:sz w:val="20"/>
                <w:szCs w:val="20"/>
                <w:lang w:val="en-US"/>
              </w:rPr>
            </w:pPr>
            <w:r w:rsidRPr="00AB7D1E">
              <w:rPr>
                <w:b/>
                <w:bCs/>
                <w:sz w:val="20"/>
                <w:szCs w:val="20"/>
                <w:lang w:val="en-US"/>
              </w:rPr>
              <w:t>7.585,97</w:t>
            </w:r>
          </w:p>
        </w:tc>
        <w:tc>
          <w:tcPr>
            <w:tcW w:w="992" w:type="dxa"/>
          </w:tcPr>
          <w:p w14:paraId="6C8CABC3" w14:textId="53193842" w:rsidR="00917F59" w:rsidRPr="00AB7D1E" w:rsidRDefault="00917F59" w:rsidP="006E3107">
            <w:pPr>
              <w:spacing w:before="0" w:after="0" w:line="240" w:lineRule="auto"/>
              <w:jc w:val="right"/>
              <w:rPr>
                <w:b/>
                <w:bCs/>
                <w:sz w:val="20"/>
                <w:szCs w:val="20"/>
                <w:lang w:val="en-US"/>
              </w:rPr>
            </w:pPr>
            <w:r w:rsidRPr="00AB7D1E">
              <w:rPr>
                <w:b/>
                <w:bCs/>
                <w:sz w:val="20"/>
                <w:szCs w:val="20"/>
                <w:lang w:val="en-US"/>
              </w:rPr>
              <w:t>8,61</w:t>
            </w:r>
          </w:p>
        </w:tc>
        <w:tc>
          <w:tcPr>
            <w:tcW w:w="1418" w:type="dxa"/>
          </w:tcPr>
          <w:p w14:paraId="4627BCCF" w14:textId="77777777" w:rsidR="00917F59" w:rsidRPr="00AB7D1E" w:rsidRDefault="00917F59" w:rsidP="006E3107">
            <w:pPr>
              <w:spacing w:before="0" w:after="0" w:line="240" w:lineRule="auto"/>
              <w:rPr>
                <w:sz w:val="20"/>
                <w:szCs w:val="20"/>
                <w:lang w:val="en-US"/>
              </w:rPr>
            </w:pPr>
          </w:p>
        </w:tc>
        <w:tc>
          <w:tcPr>
            <w:tcW w:w="2550" w:type="dxa"/>
          </w:tcPr>
          <w:p w14:paraId="3E58741B" w14:textId="77777777" w:rsidR="00917F59" w:rsidRPr="00AB7D1E" w:rsidRDefault="00917F59" w:rsidP="006E3107">
            <w:pPr>
              <w:spacing w:before="0" w:after="0" w:line="240" w:lineRule="auto"/>
              <w:rPr>
                <w:sz w:val="20"/>
                <w:szCs w:val="20"/>
                <w:lang w:val="en-US"/>
              </w:rPr>
            </w:pPr>
          </w:p>
        </w:tc>
      </w:tr>
    </w:tbl>
    <w:p w14:paraId="5ED32AEF" w14:textId="3FFAFE85" w:rsidR="00936C61" w:rsidRDefault="00936C61" w:rsidP="00936C61"/>
    <w:p w14:paraId="2F5ADEBF" w14:textId="77777777" w:rsidR="00936C61" w:rsidRDefault="00936C61" w:rsidP="00936C61">
      <w:pPr>
        <w:rPr>
          <w:lang w:val="en-GB"/>
        </w:rPr>
      </w:pPr>
      <w:r w:rsidRPr="00672ECC">
        <w:rPr>
          <w:lang w:val="en-GB"/>
        </w:rPr>
        <w:t xml:space="preserve">Some areas in City of Zagreb, Zagreb County and </w:t>
      </w:r>
      <w:proofErr w:type="spellStart"/>
      <w:r w:rsidRPr="00672ECC">
        <w:rPr>
          <w:lang w:val="en-GB"/>
        </w:rPr>
        <w:t>Krapina</w:t>
      </w:r>
      <w:proofErr w:type="spellEnd"/>
      <w:r w:rsidRPr="00672ECC">
        <w:rPr>
          <w:lang w:val="en-GB"/>
        </w:rPr>
        <w:t xml:space="preserve"> – </w:t>
      </w:r>
      <w:proofErr w:type="spellStart"/>
      <w:r w:rsidRPr="00672ECC">
        <w:rPr>
          <w:lang w:val="en-GB"/>
        </w:rPr>
        <w:t>Zagorje</w:t>
      </w:r>
      <w:proofErr w:type="spellEnd"/>
      <w:r w:rsidRPr="00672ECC">
        <w:rPr>
          <w:lang w:val="en-GB"/>
        </w:rPr>
        <w:t xml:space="preserve"> County fall within the Ecological Network of the Republic of Croatia (Natura 2000) and </w:t>
      </w:r>
      <w:r>
        <w:rPr>
          <w:lang w:val="en-GB"/>
        </w:rPr>
        <w:t xml:space="preserve">nature </w:t>
      </w:r>
      <w:r w:rsidRPr="00672ECC">
        <w:rPr>
          <w:lang w:val="en-GB"/>
        </w:rPr>
        <w:t>protected areas.</w:t>
      </w:r>
    </w:p>
    <w:p w14:paraId="4C2001C7" w14:textId="77777777" w:rsidR="00936C61" w:rsidRDefault="00936C61" w:rsidP="00936C61">
      <w:pPr>
        <w:rPr>
          <w:lang w:val="en-GB"/>
        </w:rPr>
      </w:pPr>
    </w:p>
    <w:p w14:paraId="02F11892" w14:textId="77777777" w:rsidR="00936C61" w:rsidRDefault="00936C61" w:rsidP="00936C61">
      <w:pPr>
        <w:rPr>
          <w:lang w:val="en-GB"/>
        </w:rPr>
      </w:pPr>
    </w:p>
    <w:p w14:paraId="76485461" w14:textId="77777777" w:rsidR="00936C61" w:rsidRDefault="00936C61" w:rsidP="00936C61">
      <w:pPr>
        <w:jc w:val="center"/>
        <w:rPr>
          <w:lang w:val="en-GB"/>
        </w:rPr>
      </w:pPr>
      <w:r>
        <w:rPr>
          <w:noProof/>
        </w:rPr>
        <w:lastRenderedPageBreak/>
        <w:drawing>
          <wp:inline distT="0" distB="0" distL="0" distR="0" wp14:anchorId="710D34A4" wp14:editId="22A95AA3">
            <wp:extent cx="3774643" cy="36650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1613" cy="3681554"/>
                    </a:xfrm>
                    <a:prstGeom prst="rect">
                      <a:avLst/>
                    </a:prstGeom>
                    <a:noFill/>
                    <a:ln>
                      <a:noFill/>
                    </a:ln>
                  </pic:spPr>
                </pic:pic>
              </a:graphicData>
            </a:graphic>
          </wp:inline>
        </w:drawing>
      </w:r>
      <w:r w:rsidRPr="00716CE5">
        <w:rPr>
          <w:noProof/>
        </w:rPr>
        <w:t xml:space="preserve"> </w:t>
      </w:r>
      <w:r w:rsidRPr="00716CE5">
        <w:rPr>
          <w:noProof/>
        </w:rPr>
        <w:drawing>
          <wp:inline distT="0" distB="0" distL="0" distR="0" wp14:anchorId="5606D7C9" wp14:editId="5F91192D">
            <wp:extent cx="4026974" cy="114225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91" r="21632" b="12353"/>
                    <a:stretch/>
                  </pic:blipFill>
                  <pic:spPr bwMode="auto">
                    <a:xfrm>
                      <a:off x="0" y="0"/>
                      <a:ext cx="4047798" cy="1148163"/>
                    </a:xfrm>
                    <a:prstGeom prst="rect">
                      <a:avLst/>
                    </a:prstGeom>
                    <a:ln>
                      <a:noFill/>
                    </a:ln>
                    <a:extLst>
                      <a:ext uri="{53640926-AAD7-44D8-BBD7-CCE9431645EC}">
                        <a14:shadowObscured xmlns:a14="http://schemas.microsoft.com/office/drawing/2010/main"/>
                      </a:ext>
                    </a:extLst>
                  </pic:spPr>
                </pic:pic>
              </a:graphicData>
            </a:graphic>
          </wp:inline>
        </w:drawing>
      </w:r>
    </w:p>
    <w:p w14:paraId="4FDA080C" w14:textId="4906AE83" w:rsidR="00936C61" w:rsidRPr="0030688C" w:rsidRDefault="00936C61" w:rsidP="00936C61">
      <w:pPr>
        <w:jc w:val="center"/>
        <w:rPr>
          <w:sz w:val="20"/>
          <w:szCs w:val="20"/>
          <w:highlight w:val="yellow"/>
          <w:lang w:val="en-GB"/>
        </w:rPr>
      </w:pPr>
      <w:bookmarkStart w:id="60" w:name="_Toc51794091"/>
      <w:bookmarkStart w:id="61" w:name="_Toc56952691"/>
      <w:r w:rsidRPr="0030688C">
        <w:rPr>
          <w:sz w:val="20"/>
          <w:szCs w:val="20"/>
          <w:lang w:val="en-GB"/>
        </w:rPr>
        <w:t xml:space="preserve">Figure </w:t>
      </w:r>
      <w:r w:rsidRPr="0030688C">
        <w:rPr>
          <w:sz w:val="20"/>
          <w:szCs w:val="20"/>
          <w:lang w:val="en-GB"/>
        </w:rPr>
        <w:fldChar w:fldCharType="begin"/>
      </w:r>
      <w:r w:rsidRPr="0030688C">
        <w:rPr>
          <w:sz w:val="20"/>
          <w:szCs w:val="20"/>
          <w:lang w:val="en-GB"/>
        </w:rPr>
        <w:instrText xml:space="preserve"> SEQ Figure \* ARABIC </w:instrText>
      </w:r>
      <w:r w:rsidRPr="0030688C">
        <w:rPr>
          <w:sz w:val="20"/>
          <w:szCs w:val="20"/>
          <w:lang w:val="en-GB"/>
        </w:rPr>
        <w:fldChar w:fldCharType="separate"/>
      </w:r>
      <w:r w:rsidR="007D1E1B">
        <w:rPr>
          <w:noProof/>
          <w:sz w:val="20"/>
          <w:szCs w:val="20"/>
          <w:lang w:val="en-GB"/>
        </w:rPr>
        <w:t>11</w:t>
      </w:r>
      <w:r w:rsidRPr="0030688C">
        <w:rPr>
          <w:sz w:val="20"/>
          <w:szCs w:val="20"/>
          <w:lang w:val="en-GB"/>
        </w:rPr>
        <w:fldChar w:fldCharType="end"/>
      </w:r>
      <w:r w:rsidRPr="0030688C">
        <w:rPr>
          <w:sz w:val="20"/>
          <w:szCs w:val="20"/>
          <w:lang w:val="en-GB"/>
        </w:rPr>
        <w:t>. Ecological Network for Component 1 (Natura 2000)</w:t>
      </w:r>
      <w:r w:rsidRPr="0030688C">
        <w:rPr>
          <w:rStyle w:val="FootnoteReference"/>
          <w:sz w:val="20"/>
          <w:szCs w:val="20"/>
          <w:lang w:val="en-GB"/>
        </w:rPr>
        <w:footnoteReference w:id="49"/>
      </w:r>
      <w:bookmarkEnd w:id="60"/>
      <w:bookmarkEnd w:id="61"/>
    </w:p>
    <w:p w14:paraId="7A739A09" w14:textId="7284DE2C" w:rsidR="00936C61" w:rsidRPr="00672ECC" w:rsidRDefault="00936C61" w:rsidP="00936C61">
      <w:pPr>
        <w:rPr>
          <w:lang w:val="en-GB"/>
        </w:rPr>
      </w:pPr>
      <w:r>
        <w:rPr>
          <w:lang w:val="en-GB"/>
        </w:rPr>
        <w:t xml:space="preserve">Detailed map of </w:t>
      </w:r>
      <w:r w:rsidRPr="00716CE5">
        <w:rPr>
          <w:lang w:val="en-GB"/>
        </w:rPr>
        <w:t>Ecological Network for Component 1 (Natura 2000)</w:t>
      </w:r>
      <w:r>
        <w:rPr>
          <w:lang w:val="en-GB"/>
        </w:rPr>
        <w:t xml:space="preserve"> is given </w:t>
      </w:r>
      <w:proofErr w:type="gramStart"/>
      <w:r>
        <w:rPr>
          <w:lang w:val="en-GB"/>
        </w:rPr>
        <w:t>in</w:t>
      </w:r>
      <w:r w:rsidR="005D4417">
        <w:rPr>
          <w:lang w:val="en-GB"/>
        </w:rPr>
        <w:t xml:space="preserve"> </w:t>
      </w:r>
      <w:r w:rsidRPr="002E29F6">
        <w:rPr>
          <w:lang w:val="en-GB"/>
        </w:rPr>
        <w:t>.</w:t>
      </w:r>
      <w:proofErr w:type="gramEnd"/>
    </w:p>
    <w:p w14:paraId="3FE937C4" w14:textId="232C61F1" w:rsidR="00936C61" w:rsidRPr="007D1E1B" w:rsidRDefault="00936C61" w:rsidP="00936C61">
      <w:pPr>
        <w:pStyle w:val="Caption"/>
        <w:rPr>
          <w:sz w:val="20"/>
          <w:szCs w:val="20"/>
          <w:lang w:val="en-GB"/>
        </w:rPr>
      </w:pPr>
      <w:bookmarkStart w:id="63" w:name="_Toc51794146"/>
      <w:bookmarkStart w:id="64" w:name="_Toc56952705"/>
      <w:r w:rsidRPr="007D1E1B">
        <w:rPr>
          <w:sz w:val="20"/>
          <w:szCs w:val="20"/>
          <w:lang w:val="en-GB"/>
        </w:rPr>
        <w:t xml:space="preserve">Table </w:t>
      </w:r>
      <w:r w:rsidRPr="007D1E1B">
        <w:rPr>
          <w:sz w:val="20"/>
          <w:szCs w:val="20"/>
          <w:lang w:val="en-GB"/>
        </w:rPr>
        <w:fldChar w:fldCharType="begin"/>
      </w:r>
      <w:r w:rsidRPr="007D1E1B">
        <w:rPr>
          <w:sz w:val="20"/>
          <w:szCs w:val="20"/>
          <w:lang w:val="en-GB"/>
        </w:rPr>
        <w:instrText xml:space="preserve"> SEQ Table \* ARABIC </w:instrText>
      </w:r>
      <w:r w:rsidRPr="007D1E1B">
        <w:rPr>
          <w:sz w:val="20"/>
          <w:szCs w:val="20"/>
          <w:lang w:val="en-GB"/>
        </w:rPr>
        <w:fldChar w:fldCharType="separate"/>
      </w:r>
      <w:r w:rsidR="007D1E1B" w:rsidRPr="007D1E1B">
        <w:rPr>
          <w:noProof/>
          <w:sz w:val="20"/>
          <w:szCs w:val="20"/>
          <w:lang w:val="en-GB"/>
        </w:rPr>
        <w:t>5</w:t>
      </w:r>
      <w:r w:rsidRPr="007D1E1B">
        <w:rPr>
          <w:sz w:val="20"/>
          <w:szCs w:val="20"/>
          <w:lang w:val="en-GB"/>
        </w:rPr>
        <w:fldChar w:fldCharType="end"/>
      </w:r>
      <w:r w:rsidRPr="007D1E1B">
        <w:rPr>
          <w:sz w:val="20"/>
          <w:szCs w:val="20"/>
          <w:lang w:val="en-GB"/>
        </w:rPr>
        <w:t xml:space="preserve">. List of nature protected areas in the City of Zagreb, Zagreb County and </w:t>
      </w:r>
      <w:proofErr w:type="spellStart"/>
      <w:r w:rsidRPr="007D1E1B">
        <w:rPr>
          <w:sz w:val="20"/>
          <w:szCs w:val="20"/>
          <w:lang w:val="en-GB"/>
        </w:rPr>
        <w:t>Krapina</w:t>
      </w:r>
      <w:proofErr w:type="spellEnd"/>
      <w:r w:rsidRPr="007D1E1B">
        <w:rPr>
          <w:sz w:val="20"/>
          <w:szCs w:val="20"/>
          <w:lang w:val="en-GB"/>
        </w:rPr>
        <w:t xml:space="preserve"> –</w:t>
      </w:r>
      <w:proofErr w:type="spellStart"/>
      <w:r w:rsidRPr="007D1E1B">
        <w:rPr>
          <w:sz w:val="20"/>
          <w:szCs w:val="20"/>
          <w:lang w:val="en-GB"/>
        </w:rPr>
        <w:t>Zagorje</w:t>
      </w:r>
      <w:proofErr w:type="spellEnd"/>
      <w:r w:rsidRPr="007D1E1B">
        <w:rPr>
          <w:sz w:val="20"/>
          <w:szCs w:val="20"/>
          <w:lang w:val="en-GB"/>
        </w:rPr>
        <w:t xml:space="preserve"> County</w:t>
      </w:r>
      <w:bookmarkEnd w:id="63"/>
      <w:bookmarkEnd w:id="64"/>
    </w:p>
    <w:tbl>
      <w:tblPr>
        <w:tblStyle w:val="TABLICAHAOP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1559"/>
        <w:gridCol w:w="1559"/>
        <w:gridCol w:w="3261"/>
      </w:tblGrid>
      <w:tr w:rsidR="00936C61" w:rsidRPr="00B92A4F" w14:paraId="34876A28" w14:textId="77777777" w:rsidTr="007D4F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right w:val="single" w:sz="4" w:space="0" w:color="auto"/>
            </w:tcBorders>
            <w:shd w:val="clear" w:color="auto" w:fill="CEDBE6" w:themeFill="background2"/>
          </w:tcPr>
          <w:p w14:paraId="7445F9A0" w14:textId="77777777" w:rsidR="00936C61" w:rsidRPr="00B92A4F" w:rsidRDefault="00936C61" w:rsidP="007D4FEA">
            <w:pPr>
              <w:suppressAutoHyphens w:val="0"/>
              <w:spacing w:before="0" w:after="0" w:line="240" w:lineRule="auto"/>
              <w:jc w:val="center"/>
              <w:rPr>
                <w:rFonts w:cstheme="minorHAnsi"/>
                <w:b/>
                <w:bCs/>
                <w:sz w:val="16"/>
                <w:szCs w:val="16"/>
                <w:lang w:val="en-GB"/>
              </w:rPr>
            </w:pPr>
            <w:r w:rsidRPr="00B92A4F">
              <w:rPr>
                <w:rFonts w:cstheme="minorHAnsi"/>
                <w:b/>
                <w:bCs/>
                <w:sz w:val="16"/>
                <w:szCs w:val="16"/>
                <w:lang w:val="en-GB"/>
              </w:rPr>
              <w:t>County</w:t>
            </w:r>
          </w:p>
        </w:tc>
        <w:tc>
          <w:tcPr>
            <w:tcW w:w="1418" w:type="dxa"/>
            <w:tcBorders>
              <w:left w:val="single" w:sz="4" w:space="0" w:color="auto"/>
              <w:bottom w:val="single" w:sz="4" w:space="0" w:color="auto"/>
              <w:right w:val="single" w:sz="4" w:space="0" w:color="auto"/>
            </w:tcBorders>
            <w:shd w:val="clear" w:color="auto" w:fill="CEDBE6" w:themeFill="background2"/>
          </w:tcPr>
          <w:p w14:paraId="3B8660A4" w14:textId="77777777" w:rsidR="00936C61" w:rsidRPr="00B92A4F" w:rsidRDefault="00936C61" w:rsidP="007D4FEA">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lang w:val="en-GB"/>
              </w:rPr>
            </w:pPr>
            <w:r w:rsidRPr="00B92A4F">
              <w:rPr>
                <w:rFonts w:cstheme="minorHAnsi"/>
                <w:b/>
                <w:bCs/>
                <w:sz w:val="16"/>
                <w:szCs w:val="16"/>
                <w:lang w:val="en-GB"/>
              </w:rPr>
              <w:t xml:space="preserve">Number of </w:t>
            </w:r>
            <w:proofErr w:type="gramStart"/>
            <w:r w:rsidRPr="00B35E5E">
              <w:rPr>
                <w:rFonts w:cstheme="minorHAnsi"/>
                <w:b/>
                <w:bCs/>
                <w:sz w:val="16"/>
                <w:szCs w:val="16"/>
                <w:lang w:val="en-GB"/>
              </w:rPr>
              <w:t>nature</w:t>
            </w:r>
            <w:proofErr w:type="gramEnd"/>
            <w:r w:rsidRPr="00B35E5E">
              <w:rPr>
                <w:rFonts w:cstheme="minorHAnsi"/>
                <w:b/>
                <w:bCs/>
                <w:sz w:val="16"/>
                <w:szCs w:val="16"/>
                <w:lang w:val="en-GB"/>
              </w:rPr>
              <w:t xml:space="preserve"> </w:t>
            </w:r>
            <w:r w:rsidRPr="00B92A4F">
              <w:rPr>
                <w:rFonts w:cstheme="minorHAnsi"/>
                <w:b/>
                <w:bCs/>
                <w:sz w:val="16"/>
                <w:szCs w:val="16"/>
                <w:lang w:val="en-GB"/>
              </w:rPr>
              <w:t>protected areas</w:t>
            </w:r>
          </w:p>
        </w:tc>
        <w:tc>
          <w:tcPr>
            <w:tcW w:w="1559" w:type="dxa"/>
            <w:tcBorders>
              <w:left w:val="single" w:sz="4" w:space="0" w:color="auto"/>
              <w:bottom w:val="single" w:sz="4" w:space="0" w:color="auto"/>
              <w:right w:val="single" w:sz="4" w:space="0" w:color="auto"/>
            </w:tcBorders>
            <w:shd w:val="clear" w:color="auto" w:fill="CEDBE6" w:themeFill="background2"/>
          </w:tcPr>
          <w:p w14:paraId="2D36549D" w14:textId="77777777" w:rsidR="00936C61" w:rsidRPr="00B92A4F" w:rsidRDefault="00936C61" w:rsidP="007D4FEA">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lang w:val="en-GB"/>
              </w:rPr>
            </w:pPr>
            <w:r w:rsidRPr="00B92A4F">
              <w:rPr>
                <w:rFonts w:cstheme="minorHAnsi"/>
                <w:b/>
                <w:bCs/>
                <w:sz w:val="16"/>
                <w:szCs w:val="16"/>
                <w:lang w:val="en-GB"/>
              </w:rPr>
              <w:t>Total protected surface</w:t>
            </w:r>
          </w:p>
        </w:tc>
        <w:tc>
          <w:tcPr>
            <w:tcW w:w="1559" w:type="dxa"/>
            <w:tcBorders>
              <w:left w:val="single" w:sz="4" w:space="0" w:color="auto"/>
              <w:bottom w:val="single" w:sz="4" w:space="0" w:color="auto"/>
              <w:right w:val="single" w:sz="4" w:space="0" w:color="auto"/>
            </w:tcBorders>
            <w:shd w:val="clear" w:color="auto" w:fill="CEDBE6" w:themeFill="background2"/>
          </w:tcPr>
          <w:p w14:paraId="1858C721" w14:textId="77777777" w:rsidR="00936C61" w:rsidRPr="00B92A4F" w:rsidRDefault="00936C61" w:rsidP="007D4FEA">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lang w:val="en-GB"/>
              </w:rPr>
            </w:pPr>
            <w:r w:rsidRPr="00B92A4F">
              <w:rPr>
                <w:rFonts w:cstheme="minorHAnsi"/>
                <w:b/>
                <w:bCs/>
                <w:sz w:val="16"/>
                <w:szCs w:val="16"/>
                <w:lang w:val="en-GB"/>
              </w:rPr>
              <w:t xml:space="preserve">Type of </w:t>
            </w:r>
            <w:r w:rsidRPr="00B35E5E">
              <w:rPr>
                <w:rFonts w:cstheme="minorHAnsi"/>
                <w:b/>
                <w:bCs/>
                <w:sz w:val="16"/>
                <w:szCs w:val="16"/>
                <w:lang w:val="en-GB"/>
              </w:rPr>
              <w:t xml:space="preserve">nature </w:t>
            </w:r>
            <w:r w:rsidRPr="00B92A4F">
              <w:rPr>
                <w:rFonts w:cstheme="minorHAnsi"/>
                <w:b/>
                <w:bCs/>
                <w:sz w:val="16"/>
                <w:szCs w:val="16"/>
                <w:lang w:val="en-GB"/>
              </w:rPr>
              <w:t>protected area</w:t>
            </w:r>
          </w:p>
        </w:tc>
        <w:tc>
          <w:tcPr>
            <w:tcW w:w="3261" w:type="dxa"/>
            <w:tcBorders>
              <w:left w:val="single" w:sz="4" w:space="0" w:color="auto"/>
              <w:bottom w:val="single" w:sz="4" w:space="0" w:color="auto"/>
            </w:tcBorders>
            <w:shd w:val="clear" w:color="auto" w:fill="CEDBE6" w:themeFill="background2"/>
          </w:tcPr>
          <w:p w14:paraId="20DC0A64" w14:textId="77777777" w:rsidR="00936C61" w:rsidRPr="00B92A4F" w:rsidRDefault="00936C61" w:rsidP="007D4FEA">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sz w:val="16"/>
                <w:szCs w:val="16"/>
                <w:lang w:val="en-GB"/>
              </w:rPr>
            </w:pPr>
            <w:r w:rsidRPr="00B35E5E">
              <w:rPr>
                <w:rFonts w:cstheme="minorHAnsi"/>
                <w:b/>
                <w:bCs/>
                <w:sz w:val="16"/>
                <w:szCs w:val="16"/>
                <w:lang w:val="en-GB"/>
              </w:rPr>
              <w:t>Nature p</w:t>
            </w:r>
            <w:r w:rsidRPr="00B92A4F">
              <w:rPr>
                <w:rFonts w:cstheme="minorHAnsi"/>
                <w:b/>
                <w:bCs/>
                <w:sz w:val="16"/>
                <w:szCs w:val="16"/>
                <w:lang w:val="en-GB"/>
              </w:rPr>
              <w:t>rotected areas</w:t>
            </w:r>
          </w:p>
        </w:tc>
      </w:tr>
      <w:tr w:rsidR="00936C61" w:rsidRPr="00B92A4F" w14:paraId="1B2EFD51"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4" w:space="0" w:color="auto"/>
              <w:bottom w:val="none" w:sz="0" w:space="0" w:color="auto"/>
            </w:tcBorders>
            <w:shd w:val="clear" w:color="auto" w:fill="auto"/>
          </w:tcPr>
          <w:p w14:paraId="4A00537A" w14:textId="77777777" w:rsidR="00936C61" w:rsidRPr="00B92A4F" w:rsidRDefault="00936C61" w:rsidP="007D4FEA">
            <w:pPr>
              <w:suppressAutoHyphens w:val="0"/>
              <w:spacing w:before="0" w:after="0" w:line="240" w:lineRule="auto"/>
              <w:jc w:val="left"/>
              <w:rPr>
                <w:rFonts w:cstheme="minorHAnsi"/>
                <w:sz w:val="16"/>
                <w:szCs w:val="16"/>
                <w:lang w:val="en-GB"/>
              </w:rPr>
            </w:pPr>
            <w:r w:rsidRPr="00B92A4F">
              <w:rPr>
                <w:rFonts w:cstheme="minorHAnsi"/>
                <w:sz w:val="16"/>
                <w:szCs w:val="16"/>
                <w:lang w:val="en-GB"/>
              </w:rPr>
              <w:t>Grad Zagreb</w:t>
            </w:r>
          </w:p>
        </w:tc>
        <w:tc>
          <w:tcPr>
            <w:tcW w:w="1418" w:type="dxa"/>
            <w:vMerge w:val="restart"/>
            <w:tcBorders>
              <w:top w:val="single" w:sz="4" w:space="0" w:color="auto"/>
            </w:tcBorders>
            <w:shd w:val="clear" w:color="auto" w:fill="auto"/>
          </w:tcPr>
          <w:p w14:paraId="098F4C16"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32</w:t>
            </w:r>
          </w:p>
        </w:tc>
        <w:tc>
          <w:tcPr>
            <w:tcW w:w="1559" w:type="dxa"/>
            <w:vMerge w:val="restart"/>
            <w:tcBorders>
              <w:top w:val="single" w:sz="4" w:space="0" w:color="auto"/>
            </w:tcBorders>
            <w:shd w:val="clear" w:color="auto" w:fill="auto"/>
          </w:tcPr>
          <w:p w14:paraId="59669685"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10420 ha (16,249%)</w:t>
            </w:r>
          </w:p>
        </w:tc>
        <w:tc>
          <w:tcPr>
            <w:tcW w:w="1559" w:type="dxa"/>
            <w:tcBorders>
              <w:top w:val="single" w:sz="4" w:space="0" w:color="auto"/>
            </w:tcBorders>
            <w:shd w:val="clear" w:color="auto" w:fill="auto"/>
          </w:tcPr>
          <w:p w14:paraId="4FA964CD"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Special reserve</w:t>
            </w:r>
          </w:p>
        </w:tc>
        <w:tc>
          <w:tcPr>
            <w:tcW w:w="3261" w:type="dxa"/>
            <w:tcBorders>
              <w:top w:val="single" w:sz="4" w:space="0" w:color="auto"/>
            </w:tcBorders>
            <w:shd w:val="clear" w:color="auto" w:fill="auto"/>
          </w:tcPr>
          <w:p w14:paraId="308CE94F"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9 – </w:t>
            </w:r>
          </w:p>
          <w:p w14:paraId="28DF5790"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RAUCHOVA LUGARNICA - DESNA TRNAVA, TUSTI VRH - KREMENJAK, STUPNIČKI LUG, PUŠINJAK - GORŠČICA, BLIZNEC - ŠUMAREV GROB, MIKULIĆ POTOK - VRABEČKA GORA, BABJI ZUB - PONIKVE, GRAČEC - LUKOVICA - REBAR, MARKOVČAK - BISTRA</w:t>
            </w:r>
          </w:p>
        </w:tc>
      </w:tr>
      <w:tr w:rsidR="00936C61" w:rsidRPr="00B92A4F" w14:paraId="5AE49E9D"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74B8C345"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6F282CC5"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734A6166"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07876C30"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Nature park</w:t>
            </w:r>
          </w:p>
        </w:tc>
        <w:tc>
          <w:tcPr>
            <w:tcW w:w="3261" w:type="dxa"/>
            <w:shd w:val="clear" w:color="auto" w:fill="auto"/>
          </w:tcPr>
          <w:p w14:paraId="714E10BA"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1 </w:t>
            </w:r>
            <w:proofErr w:type="gramStart"/>
            <w:r w:rsidRPr="00B92A4F">
              <w:rPr>
                <w:rFonts w:cstheme="minorHAnsi"/>
                <w:sz w:val="16"/>
                <w:szCs w:val="16"/>
                <w:lang w:val="en-GB"/>
              </w:rPr>
              <w:t>–  MEDVEDNICA</w:t>
            </w:r>
            <w:proofErr w:type="gramEnd"/>
          </w:p>
        </w:tc>
      </w:tr>
      <w:tr w:rsidR="00936C61" w:rsidRPr="00B92A4F" w14:paraId="6C13B505"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0FA5CE5F"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66EAC41D"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57726FD0"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5C387240"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Monument of nature, </w:t>
            </w:r>
          </w:p>
        </w:tc>
        <w:tc>
          <w:tcPr>
            <w:tcW w:w="3261" w:type="dxa"/>
            <w:shd w:val="clear" w:color="auto" w:fill="auto"/>
          </w:tcPr>
          <w:p w14:paraId="7C83EC78"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1 - VETERNICA</w:t>
            </w:r>
          </w:p>
        </w:tc>
      </w:tr>
      <w:tr w:rsidR="00936C61" w:rsidRPr="00B92A4F" w14:paraId="760C266A"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4B1483B7"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6D0DE9E8"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49D34EBC"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4A805A0A"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Significant landscape</w:t>
            </w:r>
          </w:p>
        </w:tc>
        <w:tc>
          <w:tcPr>
            <w:tcW w:w="3261" w:type="dxa"/>
            <w:shd w:val="clear" w:color="auto" w:fill="auto"/>
          </w:tcPr>
          <w:p w14:paraId="390B0002"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3 - GORANEC, SAVICA, LIPA NA MEDVEDNICI</w:t>
            </w:r>
          </w:p>
        </w:tc>
      </w:tr>
      <w:tr w:rsidR="00936C61" w:rsidRPr="00B92A4F" w14:paraId="31841C19"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4B2A9A9B"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3C7A0DF1"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3175A407"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09227358"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Monument of park architecture</w:t>
            </w:r>
          </w:p>
        </w:tc>
        <w:tc>
          <w:tcPr>
            <w:tcW w:w="3261" w:type="dxa"/>
            <w:shd w:val="clear" w:color="auto" w:fill="auto"/>
          </w:tcPr>
          <w:p w14:paraId="09AF9F6F"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18 - ZAGREB - MAMUTOVAC II, ZAGREB - VRT U PRILAZU GJURE DEŽELIĆA, ZAGREB - PARK UZ DVORAC JUNKOVIĆ, ZAGREB - PARK OPATOVINA, ZAGREB - PARK U JURJEVSKOJ 30, ZAGREB - PARK ZRINJEVAC, ZAGREB - PARK MAKSIMIR, ZAGREB - PARK KRALJA PETRA </w:t>
            </w:r>
            <w:r w:rsidRPr="00B92A4F">
              <w:rPr>
                <w:rFonts w:cstheme="minorHAnsi"/>
                <w:sz w:val="16"/>
                <w:szCs w:val="16"/>
                <w:lang w:val="en-GB"/>
              </w:rPr>
              <w:lastRenderedPageBreak/>
              <w:t>SVAČIĆA, ZAGREB - LEUSTEKOV PARK, BOTANIČKI VRT FARMACEUTSKO-BIOKEMIJSKOG FAKULTETA, ZAGREB - PARK KRALJA PETRA KREŠIMIRA IV., ZAGREB - PERIVOJ SRPANJSKIH ŽRTAVA, BOTANIČKI VRT PRIRODOSLOVNO-MATEMATIČKOG FAKULTETA, ZAGREB - PARK KRALJA TOMISLAVA, ZAGREB - PARK JOSIPA JURJA STROSSMAYERA, ZAGREB - PARK RIBNJAK, ZAGREB - PARK U JURJEVSKOJ 27, ZAGREB - MALLINOV PARK</w:t>
            </w:r>
          </w:p>
        </w:tc>
      </w:tr>
      <w:tr w:rsidR="00936C61" w:rsidRPr="00B92A4F" w14:paraId="4F9F31D7"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val="restart"/>
            <w:tcBorders>
              <w:top w:val="none" w:sz="0" w:space="0" w:color="auto"/>
              <w:bottom w:val="none" w:sz="0" w:space="0" w:color="auto"/>
            </w:tcBorders>
            <w:shd w:val="clear" w:color="auto" w:fill="auto"/>
          </w:tcPr>
          <w:p w14:paraId="3436BC75" w14:textId="77777777" w:rsidR="00936C61" w:rsidRPr="00B92A4F" w:rsidRDefault="00936C61" w:rsidP="007D4FEA">
            <w:pPr>
              <w:suppressAutoHyphens w:val="0"/>
              <w:spacing w:before="0" w:after="0" w:line="240" w:lineRule="auto"/>
              <w:jc w:val="left"/>
              <w:rPr>
                <w:rFonts w:cstheme="minorHAnsi"/>
                <w:sz w:val="16"/>
                <w:szCs w:val="16"/>
                <w:lang w:val="en-GB"/>
              </w:rPr>
            </w:pPr>
            <w:proofErr w:type="spellStart"/>
            <w:r w:rsidRPr="00B92A4F">
              <w:rPr>
                <w:rFonts w:cstheme="minorHAnsi"/>
                <w:sz w:val="16"/>
                <w:szCs w:val="16"/>
                <w:lang w:val="en-GB"/>
              </w:rPr>
              <w:lastRenderedPageBreak/>
              <w:t>Zagrebačka</w:t>
            </w:r>
            <w:proofErr w:type="spellEnd"/>
            <w:r w:rsidRPr="00B92A4F">
              <w:rPr>
                <w:rFonts w:cstheme="minorHAnsi"/>
                <w:sz w:val="16"/>
                <w:szCs w:val="16"/>
                <w:lang w:val="en-GB"/>
              </w:rPr>
              <w:t xml:space="preserve"> </w:t>
            </w:r>
            <w:proofErr w:type="spellStart"/>
            <w:r w:rsidRPr="00B92A4F">
              <w:rPr>
                <w:rFonts w:cstheme="minorHAnsi"/>
                <w:sz w:val="16"/>
                <w:szCs w:val="16"/>
                <w:lang w:val="en-GB"/>
              </w:rPr>
              <w:t>županija</w:t>
            </w:r>
            <w:proofErr w:type="spellEnd"/>
          </w:p>
        </w:tc>
        <w:tc>
          <w:tcPr>
            <w:tcW w:w="1418" w:type="dxa"/>
            <w:vMerge w:val="restart"/>
            <w:shd w:val="clear" w:color="auto" w:fill="auto"/>
          </w:tcPr>
          <w:p w14:paraId="32E89205"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34</w:t>
            </w:r>
          </w:p>
        </w:tc>
        <w:tc>
          <w:tcPr>
            <w:tcW w:w="1559" w:type="dxa"/>
            <w:vMerge w:val="restart"/>
            <w:shd w:val="clear" w:color="auto" w:fill="auto"/>
          </w:tcPr>
          <w:p w14:paraId="1F36A887"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37878,59 ha</w:t>
            </w:r>
          </w:p>
          <w:p w14:paraId="0EEC0D4D"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(12,379%)</w:t>
            </w:r>
          </w:p>
        </w:tc>
        <w:tc>
          <w:tcPr>
            <w:tcW w:w="1559" w:type="dxa"/>
            <w:shd w:val="clear" w:color="auto" w:fill="auto"/>
          </w:tcPr>
          <w:p w14:paraId="10C6F6AD"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Special reserve</w:t>
            </w:r>
          </w:p>
        </w:tc>
        <w:tc>
          <w:tcPr>
            <w:tcW w:w="3261" w:type="dxa"/>
            <w:shd w:val="clear" w:color="auto" w:fill="auto"/>
          </w:tcPr>
          <w:p w14:paraId="3BF20B10"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12 - JASTREBARSKI LUGOVI, CRET DUBRAVICA, ČESMA, JAPETIĆ, BREŽULJAK KOD SMEROVIŠĆA, NOVAKUŠA, CRNA MLAKA, STUPNIČKI LUG, SAVA - STRMEC, VAROŠKI LUG - ŠUMA, VAROŠKI LUG, MARKOVČAK - BISTRA</w:t>
            </w:r>
          </w:p>
        </w:tc>
      </w:tr>
      <w:tr w:rsidR="00936C61" w:rsidRPr="00B92A4F" w14:paraId="3F2E7C24"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2947D475"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43AE4DB1"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10E75A31"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167BC9F1"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Nature park</w:t>
            </w:r>
          </w:p>
        </w:tc>
        <w:tc>
          <w:tcPr>
            <w:tcW w:w="3261" w:type="dxa"/>
            <w:shd w:val="clear" w:color="auto" w:fill="auto"/>
          </w:tcPr>
          <w:p w14:paraId="25FEE89C"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3 - LONJSKO POLJE, ŽUMBERAK - SAMOBORSKO GORJE, MEDVEDNICA</w:t>
            </w:r>
          </w:p>
        </w:tc>
      </w:tr>
      <w:tr w:rsidR="00936C61" w:rsidRPr="00B92A4F" w14:paraId="759369E8"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755D5840"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190F9407"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05AE7EED"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12480E49"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 xml:space="preserve">Monument of nature, </w:t>
            </w:r>
          </w:p>
        </w:tc>
        <w:tc>
          <w:tcPr>
            <w:tcW w:w="3261" w:type="dxa"/>
            <w:shd w:val="clear" w:color="auto" w:fill="auto"/>
          </w:tcPr>
          <w:p w14:paraId="7158C53B"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3 - HRAST U RAKITOVCU, GRGOSOVA SPILJA, TISA U ŠUPLJAKU</w:t>
            </w:r>
          </w:p>
        </w:tc>
      </w:tr>
      <w:tr w:rsidR="00936C61" w:rsidRPr="00B92A4F" w14:paraId="5FED4A28"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3352E4B0"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0E1C1413"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663AD219"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799B07EF"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Significant landscape</w:t>
            </w:r>
          </w:p>
        </w:tc>
        <w:tc>
          <w:tcPr>
            <w:tcW w:w="3261" w:type="dxa"/>
            <w:shd w:val="clear" w:color="auto" w:fill="auto"/>
          </w:tcPr>
          <w:p w14:paraId="4B8C4985"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4 - ODRANSKO POLJE, SLAPNICA, TUROPOLJSKI LUG, ZELINSKA GLAVA</w:t>
            </w:r>
          </w:p>
        </w:tc>
      </w:tr>
      <w:tr w:rsidR="00936C61" w:rsidRPr="00B92A4F" w14:paraId="133A0AFA"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2D42CE61"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76F41DA7"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0E227546"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5AF9BD98"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Forest park</w:t>
            </w:r>
          </w:p>
        </w:tc>
        <w:tc>
          <w:tcPr>
            <w:tcW w:w="3261" w:type="dxa"/>
            <w:shd w:val="clear" w:color="auto" w:fill="auto"/>
          </w:tcPr>
          <w:p w14:paraId="39EB4EC7"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3 - TEPEC-PALAČNIK, STRAŽNIK, OKIĆ-GRAD</w:t>
            </w:r>
          </w:p>
        </w:tc>
      </w:tr>
      <w:tr w:rsidR="00936C61" w:rsidRPr="00B92A4F" w14:paraId="1D736FCB"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34C3D4C4"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57C622AB"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672CCE30" w14:textId="77777777" w:rsidR="00936C61" w:rsidRPr="00B92A4F" w:rsidRDefault="00936C61" w:rsidP="007D4FEA">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3CEEFFFF"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Monument of park architecture</w:t>
            </w:r>
          </w:p>
        </w:tc>
        <w:tc>
          <w:tcPr>
            <w:tcW w:w="3261" w:type="dxa"/>
            <w:shd w:val="clear" w:color="auto" w:fill="auto"/>
          </w:tcPr>
          <w:p w14:paraId="37DFBD71"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9 - LUŽNICA - PARK OKO DVORCA, SAMOBOR - TISA, SAMOBOR - PARK U LANGOVOJ 39, SAMOBOR - PARK BISTRAC, SAMOBOR - PARK MOJMIR, LUG SAMOBORSKI - PARK OKO DVORCA, BOŽJAKOVINA - PARK OKO DVORCA, JASTREBARSKO - PARK UZ DVORAC, GORNJA BISTRA - PARK OKO DVORCA</w:t>
            </w:r>
          </w:p>
        </w:tc>
      </w:tr>
      <w:tr w:rsidR="00936C61" w:rsidRPr="00B92A4F" w14:paraId="411DB377"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val="restart"/>
            <w:tcBorders>
              <w:top w:val="none" w:sz="0" w:space="0" w:color="auto"/>
              <w:bottom w:val="none" w:sz="0" w:space="0" w:color="auto"/>
            </w:tcBorders>
            <w:shd w:val="clear" w:color="auto" w:fill="auto"/>
          </w:tcPr>
          <w:p w14:paraId="70948D1E" w14:textId="77777777" w:rsidR="00936C61" w:rsidRPr="00B92A4F" w:rsidRDefault="00936C61" w:rsidP="007D4FEA">
            <w:pPr>
              <w:suppressAutoHyphens w:val="0"/>
              <w:spacing w:before="0" w:after="0" w:line="240" w:lineRule="auto"/>
              <w:jc w:val="left"/>
              <w:rPr>
                <w:rFonts w:cstheme="minorHAnsi"/>
                <w:sz w:val="16"/>
                <w:szCs w:val="16"/>
                <w:lang w:val="en-GB"/>
              </w:rPr>
            </w:pPr>
            <w:proofErr w:type="spellStart"/>
            <w:r w:rsidRPr="00B92A4F">
              <w:rPr>
                <w:rFonts w:cstheme="minorHAnsi"/>
                <w:sz w:val="16"/>
                <w:szCs w:val="16"/>
                <w:lang w:val="en-GB"/>
              </w:rPr>
              <w:t>Krapinsko</w:t>
            </w:r>
            <w:proofErr w:type="spellEnd"/>
            <w:r w:rsidRPr="00B92A4F">
              <w:rPr>
                <w:rFonts w:cstheme="minorHAnsi"/>
                <w:sz w:val="16"/>
                <w:szCs w:val="16"/>
                <w:lang w:val="en-GB"/>
              </w:rPr>
              <w:t xml:space="preserve"> – </w:t>
            </w:r>
            <w:proofErr w:type="spellStart"/>
            <w:r w:rsidRPr="00B92A4F">
              <w:rPr>
                <w:rFonts w:cstheme="minorHAnsi"/>
                <w:sz w:val="16"/>
                <w:szCs w:val="16"/>
                <w:lang w:val="en-GB"/>
              </w:rPr>
              <w:t>zagorska</w:t>
            </w:r>
            <w:proofErr w:type="spellEnd"/>
            <w:r w:rsidRPr="00B92A4F">
              <w:rPr>
                <w:rFonts w:cstheme="minorHAnsi"/>
                <w:sz w:val="16"/>
                <w:szCs w:val="16"/>
                <w:lang w:val="en-GB"/>
              </w:rPr>
              <w:t xml:space="preserve"> </w:t>
            </w:r>
            <w:proofErr w:type="spellStart"/>
            <w:r w:rsidRPr="00B92A4F">
              <w:rPr>
                <w:rFonts w:cstheme="minorHAnsi"/>
                <w:sz w:val="16"/>
                <w:szCs w:val="16"/>
                <w:lang w:val="en-GB"/>
              </w:rPr>
              <w:t>županija</w:t>
            </w:r>
            <w:proofErr w:type="spellEnd"/>
          </w:p>
        </w:tc>
        <w:tc>
          <w:tcPr>
            <w:tcW w:w="1418" w:type="dxa"/>
            <w:vMerge w:val="restart"/>
            <w:shd w:val="clear" w:color="auto" w:fill="auto"/>
          </w:tcPr>
          <w:p w14:paraId="0DF6B7F4"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22</w:t>
            </w:r>
          </w:p>
        </w:tc>
        <w:tc>
          <w:tcPr>
            <w:tcW w:w="1559" w:type="dxa"/>
            <w:vMerge w:val="restart"/>
            <w:shd w:val="clear" w:color="auto" w:fill="auto"/>
          </w:tcPr>
          <w:p w14:paraId="4CFBCF73" w14:textId="77777777" w:rsidR="00936C61" w:rsidRPr="00B92A4F" w:rsidRDefault="00936C61" w:rsidP="007D4FEA">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6017,61 ha (4,896 %)</w:t>
            </w:r>
          </w:p>
        </w:tc>
        <w:tc>
          <w:tcPr>
            <w:tcW w:w="1559" w:type="dxa"/>
            <w:shd w:val="clear" w:color="auto" w:fill="auto"/>
          </w:tcPr>
          <w:p w14:paraId="73525760"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Special reserve</w:t>
            </w:r>
          </w:p>
        </w:tc>
        <w:tc>
          <w:tcPr>
            <w:tcW w:w="3261" w:type="dxa"/>
            <w:shd w:val="clear" w:color="auto" w:fill="auto"/>
          </w:tcPr>
          <w:p w14:paraId="38EEED98"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3 - RAUCHOVA LUGARNICA - DESNA TRNAVA, PUŠINJAK - GORŠČICA, MARKOVČAK - BISTRA</w:t>
            </w:r>
          </w:p>
        </w:tc>
      </w:tr>
      <w:tr w:rsidR="00936C61" w:rsidRPr="00B92A4F" w14:paraId="7D8F561D"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2B7AAE81"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1C854F46"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413F040D"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298B3579"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r w:rsidRPr="00B92A4F">
              <w:rPr>
                <w:rFonts w:cstheme="minorHAnsi"/>
                <w:sz w:val="16"/>
                <w:szCs w:val="16"/>
                <w:lang w:val="en-GB"/>
              </w:rPr>
              <w:t>Nature park</w:t>
            </w:r>
          </w:p>
        </w:tc>
        <w:tc>
          <w:tcPr>
            <w:tcW w:w="3261" w:type="dxa"/>
            <w:shd w:val="clear" w:color="auto" w:fill="auto"/>
          </w:tcPr>
          <w:p w14:paraId="5C8F3920"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1 - MEDVEDNICA</w:t>
            </w:r>
          </w:p>
        </w:tc>
      </w:tr>
      <w:tr w:rsidR="00936C61" w:rsidRPr="00B92A4F" w14:paraId="5CBF551D"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7EE7A066"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170171A7"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2D71CC3E"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01B51F53"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B92A4F">
              <w:rPr>
                <w:rFonts w:cstheme="minorHAnsi"/>
                <w:sz w:val="16"/>
                <w:szCs w:val="16"/>
                <w:lang w:val="en-GB"/>
              </w:rPr>
              <w:t>Monument of nature,</w:t>
            </w:r>
          </w:p>
        </w:tc>
        <w:tc>
          <w:tcPr>
            <w:tcW w:w="3261" w:type="dxa"/>
            <w:shd w:val="clear" w:color="auto" w:fill="auto"/>
          </w:tcPr>
          <w:p w14:paraId="1C7F5A7E"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4 - TISA NA HORVATOVIM STUBAMA, GUPČEVA LIPA, HRAST GALŽENJAK, HUŠNJAKOVO</w:t>
            </w:r>
          </w:p>
        </w:tc>
      </w:tr>
      <w:tr w:rsidR="00936C61" w:rsidRPr="00B92A4F" w14:paraId="6D48F637" w14:textId="77777777" w:rsidTr="007D4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bottom w:val="none" w:sz="0" w:space="0" w:color="auto"/>
            </w:tcBorders>
            <w:shd w:val="clear" w:color="auto" w:fill="auto"/>
          </w:tcPr>
          <w:p w14:paraId="33311300"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7CB2BC31"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vMerge/>
            <w:shd w:val="clear" w:color="auto" w:fill="auto"/>
          </w:tcPr>
          <w:p w14:paraId="6FEA91CB"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cstheme="minorHAnsi"/>
                <w:sz w:val="16"/>
                <w:szCs w:val="16"/>
                <w:lang w:val="en-GB"/>
              </w:rPr>
            </w:pPr>
          </w:p>
        </w:tc>
        <w:tc>
          <w:tcPr>
            <w:tcW w:w="1559" w:type="dxa"/>
            <w:shd w:val="clear" w:color="auto" w:fill="auto"/>
          </w:tcPr>
          <w:p w14:paraId="14E80B77"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heme="minorHAnsi"/>
                <w:sz w:val="16"/>
                <w:szCs w:val="16"/>
                <w:lang w:val="en-GB"/>
              </w:rPr>
            </w:pPr>
            <w:r w:rsidRPr="00B92A4F">
              <w:rPr>
                <w:rFonts w:eastAsia="Arial" w:cstheme="minorHAnsi"/>
                <w:sz w:val="16"/>
                <w:szCs w:val="16"/>
                <w:lang w:val="en-GB"/>
              </w:rPr>
              <w:t>Significant landscape</w:t>
            </w:r>
          </w:p>
        </w:tc>
        <w:tc>
          <w:tcPr>
            <w:tcW w:w="3261" w:type="dxa"/>
            <w:shd w:val="clear" w:color="auto" w:fill="auto"/>
          </w:tcPr>
          <w:p w14:paraId="250C8B4E" w14:textId="77777777" w:rsidR="00936C61" w:rsidRPr="00B92A4F" w:rsidRDefault="00936C61" w:rsidP="007D4FEA">
            <w:pPr>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4 - ZELENJAK - RISVIČKA I CESARSKA GORA, LIPA NA MEDVEDNICI, SUTINSKE TOPLICE, ZELINSKA GLAVA</w:t>
            </w:r>
          </w:p>
        </w:tc>
      </w:tr>
      <w:tr w:rsidR="00936C61" w:rsidRPr="00B92A4F" w14:paraId="32EC4DCE" w14:textId="77777777" w:rsidTr="007D4FEA">
        <w:tc>
          <w:tcPr>
            <w:cnfStyle w:val="001000000000" w:firstRow="0" w:lastRow="0" w:firstColumn="1" w:lastColumn="0" w:oddVBand="0" w:evenVBand="0" w:oddHBand="0" w:evenHBand="0" w:firstRowFirstColumn="0" w:firstRowLastColumn="0" w:lastRowFirstColumn="0" w:lastRowLastColumn="0"/>
            <w:tcW w:w="1129" w:type="dxa"/>
            <w:vMerge/>
            <w:tcBorders>
              <w:top w:val="none" w:sz="0" w:space="0" w:color="auto"/>
            </w:tcBorders>
            <w:shd w:val="clear" w:color="auto" w:fill="auto"/>
          </w:tcPr>
          <w:p w14:paraId="231A95BE" w14:textId="77777777" w:rsidR="00936C61" w:rsidRPr="00B92A4F" w:rsidRDefault="00936C61" w:rsidP="007D4FEA">
            <w:pPr>
              <w:suppressAutoHyphens w:val="0"/>
              <w:spacing w:before="0" w:after="0" w:line="240" w:lineRule="auto"/>
              <w:jc w:val="left"/>
              <w:rPr>
                <w:rFonts w:cstheme="minorHAnsi"/>
                <w:sz w:val="16"/>
                <w:szCs w:val="16"/>
                <w:lang w:val="en-GB"/>
              </w:rPr>
            </w:pPr>
          </w:p>
        </w:tc>
        <w:tc>
          <w:tcPr>
            <w:tcW w:w="1418" w:type="dxa"/>
            <w:vMerge/>
            <w:shd w:val="clear" w:color="auto" w:fill="auto"/>
          </w:tcPr>
          <w:p w14:paraId="4DEF53F1"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vMerge/>
            <w:shd w:val="clear" w:color="auto" w:fill="auto"/>
          </w:tcPr>
          <w:p w14:paraId="71742E0C"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p>
        </w:tc>
        <w:tc>
          <w:tcPr>
            <w:tcW w:w="1559" w:type="dxa"/>
            <w:shd w:val="clear" w:color="auto" w:fill="auto"/>
          </w:tcPr>
          <w:p w14:paraId="111778F9"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16"/>
                <w:szCs w:val="16"/>
                <w:lang w:val="en-GB"/>
              </w:rPr>
            </w:pPr>
            <w:r w:rsidRPr="00B92A4F">
              <w:rPr>
                <w:rFonts w:eastAsia="Arial" w:cstheme="minorHAnsi"/>
                <w:sz w:val="16"/>
                <w:szCs w:val="16"/>
                <w:lang w:val="en-GB"/>
              </w:rPr>
              <w:t>Monument of park architecture</w:t>
            </w:r>
          </w:p>
        </w:tc>
        <w:tc>
          <w:tcPr>
            <w:tcW w:w="3261" w:type="dxa"/>
            <w:shd w:val="clear" w:color="auto" w:fill="auto"/>
          </w:tcPr>
          <w:p w14:paraId="4C88B09D" w14:textId="77777777" w:rsidR="00936C61" w:rsidRPr="00B92A4F" w:rsidRDefault="00936C61" w:rsidP="007D4FEA">
            <w:pPr>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position w:val="-1"/>
                <w:sz w:val="16"/>
                <w:szCs w:val="16"/>
                <w:lang w:val="en-GB"/>
              </w:rPr>
            </w:pPr>
            <w:r w:rsidRPr="00B92A4F">
              <w:rPr>
                <w:rFonts w:eastAsia="Arial" w:cstheme="minorHAnsi"/>
                <w:position w:val="-1"/>
                <w:sz w:val="16"/>
                <w:szCs w:val="16"/>
                <w:lang w:val="en-GB"/>
              </w:rPr>
              <w:t>10 - BEDEKOVČINA GORNJA - PARK OKO DVORCA, DESINIĆ - LIPA, KLOKOVEC - PARK OKO DVORCA, MARIJA BISTRICA - PARK UZ DVORAC, MIRKOVEC - PARK UZ DVORAC, STUBIČKI GOLUBOVEC - PARK UZ DVORAC, MILJANA - PARK OKO DVORCA, BEŽANEC - PARK I DRVORED UZ DVORAC, SELNICA - PARK OKO DVORCA, OROSLAVJE DONJE - PARK OKO DVORCA</w:t>
            </w:r>
          </w:p>
        </w:tc>
      </w:tr>
    </w:tbl>
    <w:p w14:paraId="33D79A11" w14:textId="4D669D37" w:rsidR="00936C61" w:rsidRPr="00936C61" w:rsidRDefault="00936C61" w:rsidP="00936C61">
      <w:pPr>
        <w:jc w:val="right"/>
        <w:rPr>
          <w:rFonts w:cstheme="minorHAnsi"/>
          <w:sz w:val="20"/>
          <w:szCs w:val="20"/>
          <w:lang w:val="en-GB"/>
        </w:rPr>
      </w:pPr>
      <w:proofErr w:type="spellStart"/>
      <w:r w:rsidRPr="002E29F6">
        <w:rPr>
          <w:rFonts w:cstheme="minorHAnsi"/>
          <w:sz w:val="20"/>
          <w:szCs w:val="20"/>
        </w:rPr>
        <w:t>Source</w:t>
      </w:r>
      <w:proofErr w:type="spellEnd"/>
      <w:r w:rsidRPr="002E29F6">
        <w:rPr>
          <w:rFonts w:cstheme="minorHAnsi"/>
          <w:sz w:val="20"/>
          <w:szCs w:val="20"/>
        </w:rPr>
        <w:t xml:space="preserve">: </w:t>
      </w:r>
      <w:proofErr w:type="spellStart"/>
      <w:r w:rsidRPr="002E29F6">
        <w:rPr>
          <w:rFonts w:cstheme="minorHAnsi"/>
          <w:sz w:val="20"/>
          <w:szCs w:val="20"/>
        </w:rPr>
        <w:t>MoESD</w:t>
      </w:r>
      <w:proofErr w:type="spellEnd"/>
      <w:r w:rsidRPr="002E29F6">
        <w:rPr>
          <w:rFonts w:cstheme="minorHAnsi"/>
          <w:sz w:val="20"/>
          <w:szCs w:val="20"/>
        </w:rPr>
        <w:t xml:space="preserve">, </w:t>
      </w:r>
      <w:hyperlink r:id="rId30" w:history="1">
        <w:r w:rsidRPr="002E29F6">
          <w:rPr>
            <w:rFonts w:cstheme="minorHAnsi"/>
            <w:color w:val="0563C1"/>
            <w:sz w:val="20"/>
            <w:szCs w:val="20"/>
            <w:u w:val="single"/>
          </w:rPr>
          <w:t>http://www.bioportal.hr/gis/</w:t>
        </w:r>
      </w:hyperlink>
      <w:r w:rsidRPr="002E29F6">
        <w:rPr>
          <w:rFonts w:cstheme="minorHAnsi"/>
          <w:sz w:val="20"/>
          <w:szCs w:val="20"/>
        </w:rPr>
        <w:t>, 23/9/2020</w:t>
      </w:r>
    </w:p>
    <w:p w14:paraId="3AD7B370" w14:textId="7B469BC7" w:rsidR="00775AAB" w:rsidRPr="00AB7D1E" w:rsidRDefault="00775AAB" w:rsidP="00936C61">
      <w:pPr>
        <w:pStyle w:val="Heading3"/>
        <w:rPr>
          <w:lang w:val="en-US"/>
        </w:rPr>
      </w:pPr>
      <w:bookmarkStart w:id="65" w:name="_Toc56954043"/>
      <w:r w:rsidRPr="00AB7D1E">
        <w:rPr>
          <w:lang w:val="en-US"/>
        </w:rPr>
        <w:t>Climate change</w:t>
      </w:r>
      <w:bookmarkEnd w:id="65"/>
    </w:p>
    <w:p w14:paraId="628C9816" w14:textId="77777777" w:rsidR="00DA5B45" w:rsidRPr="00AB7D1E" w:rsidRDefault="00DA5B45" w:rsidP="000E7C8E">
      <w:pPr>
        <w:rPr>
          <w:lang w:val="en-US"/>
        </w:rPr>
      </w:pPr>
      <w:r w:rsidRPr="00AB7D1E">
        <w:rPr>
          <w:lang w:val="en-US"/>
        </w:rPr>
        <w:t xml:space="preserve">Climate change in Croatia could significantly increase the frequency and severity of weather-related disasters, which occur more often than any other type of disaster in the country. Looking forward, </w:t>
      </w:r>
      <w:proofErr w:type="gramStart"/>
      <w:r w:rsidRPr="00AB7D1E">
        <w:rPr>
          <w:lang w:val="en-US"/>
        </w:rPr>
        <w:t>all across</w:t>
      </w:r>
      <w:proofErr w:type="gramEnd"/>
      <w:r w:rsidRPr="00AB7D1E">
        <w:rPr>
          <w:lang w:val="en-US"/>
        </w:rPr>
        <w:t xml:space="preserve"> Croatia, decreasing precipitation and rising average temperature are predicted. </w:t>
      </w:r>
    </w:p>
    <w:p w14:paraId="624ADC57" w14:textId="151FA7C6" w:rsidR="00790470" w:rsidRPr="00AB7D1E" w:rsidRDefault="00DA5B45" w:rsidP="000E7C8E">
      <w:pPr>
        <w:rPr>
          <w:lang w:val="en-US"/>
        </w:rPr>
      </w:pPr>
      <w:r w:rsidRPr="00AB7D1E">
        <w:rPr>
          <w:lang w:val="en-US"/>
        </w:rPr>
        <w:t>The increase of mean annual air temperature in the 20th century varied between 0</w:t>
      </w:r>
      <w:r w:rsidR="00A02FDF" w:rsidRPr="00AB7D1E">
        <w:rPr>
          <w:lang w:val="en-US"/>
        </w:rPr>
        <w:t>,</w:t>
      </w:r>
      <w:r w:rsidRPr="00AB7D1E">
        <w:rPr>
          <w:lang w:val="en-US"/>
        </w:rPr>
        <w:t>02°C per 10 years (</w:t>
      </w:r>
      <w:proofErr w:type="spellStart"/>
      <w:r w:rsidRPr="00AB7D1E">
        <w:rPr>
          <w:lang w:val="en-US"/>
        </w:rPr>
        <w:t>Gospić</w:t>
      </w:r>
      <w:proofErr w:type="spellEnd"/>
      <w:r w:rsidRPr="00AB7D1E">
        <w:rPr>
          <w:lang w:val="en-US"/>
        </w:rPr>
        <w:t>) and 0</w:t>
      </w:r>
      <w:r w:rsidR="00A02FDF" w:rsidRPr="00AB7D1E">
        <w:rPr>
          <w:lang w:val="en-US"/>
        </w:rPr>
        <w:t>,</w:t>
      </w:r>
      <w:r w:rsidRPr="00AB7D1E">
        <w:rPr>
          <w:lang w:val="en-US"/>
        </w:rPr>
        <w:t>07°C per 10 years (Zagreb). The frequency of dry spells—that is, the number of consecutive dry days —has also risen in the past years. Of the 10 warmest years since the beginning of the 20th century, 7 were recorded after the year 2000, with 2016 being the warmest year ever recorded. Dry spells contribute to the risk of wildfires, which in recent years have been particularly dangerous along the Adriatic coast; in 2007 alone, for example 2</w:t>
      </w:r>
      <w:r w:rsidR="00A02FDF" w:rsidRPr="00AB7D1E">
        <w:rPr>
          <w:lang w:val="en-US"/>
        </w:rPr>
        <w:t>.</w:t>
      </w:r>
      <w:r w:rsidRPr="00AB7D1E">
        <w:rPr>
          <w:lang w:val="en-US"/>
        </w:rPr>
        <w:t xml:space="preserve">700 wildfires were reported. </w:t>
      </w:r>
      <w:r w:rsidRPr="00AB7D1E">
        <w:rPr>
          <w:lang w:val="en-US"/>
        </w:rPr>
        <w:lastRenderedPageBreak/>
        <w:t>Increasing temperatures and declining precipitation bring an increased risk of droughts, which adds to the risk of forest fires.</w:t>
      </w:r>
      <w:r w:rsidR="00B24319" w:rsidRPr="00AB7D1E">
        <w:rPr>
          <w:rStyle w:val="FootnoteReference"/>
          <w:lang w:val="en-US"/>
        </w:rPr>
        <w:footnoteReference w:id="50"/>
      </w:r>
    </w:p>
    <w:p w14:paraId="749FED4B" w14:textId="3E1F60F2" w:rsidR="0065092E" w:rsidRPr="00AB7D1E" w:rsidRDefault="0065092E" w:rsidP="000E7C8E">
      <w:pPr>
        <w:rPr>
          <w:lang w:val="en-US"/>
        </w:rPr>
      </w:pPr>
      <w:r w:rsidRPr="00AB7D1E">
        <w:rPr>
          <w:lang w:val="en-US"/>
        </w:rPr>
        <w:t xml:space="preserve">The impact of climate change on plant and animal species is increasingly pronounced both in Croatia and globally. Extreme climatic conditions that cause more frequent fires, storms and </w:t>
      </w:r>
      <w:proofErr w:type="spellStart"/>
      <w:r w:rsidRPr="00AB7D1E">
        <w:rPr>
          <w:lang w:val="en-US"/>
        </w:rPr>
        <w:t>icebreaks</w:t>
      </w:r>
      <w:proofErr w:type="spellEnd"/>
      <w:r w:rsidRPr="00AB7D1E">
        <w:rPr>
          <w:lang w:val="en-US"/>
        </w:rPr>
        <w:t xml:space="preserve"> are the key causes of the growing trend of wood damage. High temperatures and long dry periods cause shortening of the vegetation period of ripening of certain economically important crops, which can result in reduced yields. In addition to this, climate change can be unquestionably associated with the occurrence of non-indigenous species, some of which are invasive as well as the occurrence of disease. Changes in climatic parameters will have different implications for individual tourist destinations, i.e. they can be both positive and negative. Their positive impact is present through the extension of the tourist season, while the negative impact, especially due to high temperatures and increased UV radiation, is associated with a decrease in tourist demand in the summer months.</w:t>
      </w:r>
      <w:r w:rsidRPr="00AB7D1E">
        <w:rPr>
          <w:rStyle w:val="FootnoteReference"/>
          <w:lang w:val="en-US"/>
        </w:rPr>
        <w:t xml:space="preserve"> </w:t>
      </w:r>
      <w:r w:rsidRPr="00AB7D1E">
        <w:rPr>
          <w:rStyle w:val="FootnoteReference"/>
          <w:lang w:val="en-US"/>
        </w:rPr>
        <w:footnoteReference w:id="51"/>
      </w:r>
    </w:p>
    <w:p w14:paraId="1289FD8C" w14:textId="430F0D48" w:rsidR="00E233AB" w:rsidRPr="00AB7D1E" w:rsidRDefault="0065092E" w:rsidP="00E233AB">
      <w:pPr>
        <w:rPr>
          <w:lang w:val="en-US"/>
        </w:rPr>
      </w:pPr>
      <w:r w:rsidRPr="00AB7D1E">
        <w:rPr>
          <w:lang w:val="en-US"/>
        </w:rPr>
        <w:t>Average values of the share of greenhouse gases by individual sectors show that the Energy sector still has the largest contribution to total greenhouse gas emissions in the Republic of Croatia (around 70%). It is followed by Agriculture with about 11%, Industrial processes and product use with about 11% and Waste with about 8%.</w:t>
      </w:r>
      <w:r w:rsidR="00E233AB" w:rsidRPr="00AB7D1E">
        <w:rPr>
          <w:lang w:val="en-US"/>
        </w:rPr>
        <w:t xml:space="preserve"> </w:t>
      </w:r>
    </w:p>
    <w:p w14:paraId="2CACDCF4" w14:textId="0CBC74D5" w:rsidR="00567A02" w:rsidRPr="00AB7D1E" w:rsidRDefault="006607AD" w:rsidP="000E7C8E">
      <w:pPr>
        <w:rPr>
          <w:lang w:val="en-US"/>
        </w:rPr>
      </w:pPr>
      <w:r w:rsidRPr="00AB7D1E">
        <w:rPr>
          <w:lang w:val="en-US"/>
        </w:rPr>
        <w:t>The most common greenhouse gas is carbon dioxide (CO</w:t>
      </w:r>
      <w:r w:rsidRPr="00AB7D1E">
        <w:rPr>
          <w:vertAlign w:val="subscript"/>
          <w:lang w:val="en-US"/>
        </w:rPr>
        <w:t>2</w:t>
      </w:r>
      <w:r w:rsidRPr="00AB7D1E">
        <w:rPr>
          <w:lang w:val="en-US"/>
        </w:rPr>
        <w:t>) with a share of about 75% of total emissions. It is followed by methane (CH</w:t>
      </w:r>
      <w:r w:rsidRPr="00AB7D1E">
        <w:rPr>
          <w:vertAlign w:val="subscript"/>
          <w:lang w:val="en-US"/>
        </w:rPr>
        <w:t>4</w:t>
      </w:r>
      <w:r w:rsidRPr="00AB7D1E">
        <w:rPr>
          <w:lang w:val="en-US"/>
        </w:rPr>
        <w:t>) with a share of about 16%, nitrous oxide (N</w:t>
      </w:r>
      <w:r w:rsidRPr="00AB7D1E">
        <w:rPr>
          <w:vertAlign w:val="subscript"/>
          <w:lang w:val="en-US"/>
        </w:rPr>
        <w:t>2</w:t>
      </w:r>
      <w:r w:rsidRPr="00AB7D1E">
        <w:rPr>
          <w:lang w:val="en-US"/>
        </w:rPr>
        <w:t xml:space="preserve">O) with a share of about 7% and fluorocarbons, perfluorocarbons and </w:t>
      </w:r>
      <w:proofErr w:type="spellStart"/>
      <w:r w:rsidRPr="00AB7D1E">
        <w:rPr>
          <w:lang w:val="en-US"/>
        </w:rPr>
        <w:t>sulphur</w:t>
      </w:r>
      <w:proofErr w:type="spellEnd"/>
      <w:r w:rsidRPr="00AB7D1E">
        <w:rPr>
          <w:lang w:val="en-US"/>
        </w:rPr>
        <w:t xml:space="preserve"> hexafluoride with about 2% share in greenhouse gas emissions</w:t>
      </w:r>
      <w:r w:rsidR="001850B1" w:rsidRPr="00AB7D1E">
        <w:rPr>
          <w:rStyle w:val="FootnoteReference"/>
          <w:lang w:val="en-US"/>
        </w:rPr>
        <w:footnoteReference w:id="52"/>
      </w:r>
      <w:r w:rsidRPr="00AB7D1E">
        <w:rPr>
          <w:lang w:val="en-US"/>
        </w:rPr>
        <w:t>.</w:t>
      </w:r>
    </w:p>
    <w:p w14:paraId="5E4E2BA5" w14:textId="77777777" w:rsidR="006607AD" w:rsidRPr="00AB7D1E" w:rsidRDefault="006607AD" w:rsidP="006607AD">
      <w:pPr>
        <w:rPr>
          <w:lang w:val="en-US"/>
        </w:rPr>
      </w:pPr>
      <w:r w:rsidRPr="00AB7D1E">
        <w:rPr>
          <w:lang w:val="en-US"/>
        </w:rPr>
        <w:t>In 2013, Croatia joined the greenhouse gas emissions trading system, which is one of the mechanisms for reducing greenhouse gas emissions, in which economic operators are enabled to reduce greenhouse gas emissions by implementing cost-effective measures.</w:t>
      </w:r>
    </w:p>
    <w:p w14:paraId="77ED5445" w14:textId="77777777" w:rsidR="006607AD" w:rsidRPr="00AB7D1E" w:rsidRDefault="006607AD" w:rsidP="006607AD">
      <w:pPr>
        <w:rPr>
          <w:lang w:val="en-US"/>
        </w:rPr>
      </w:pPr>
      <w:r w:rsidRPr="00AB7D1E">
        <w:rPr>
          <w:lang w:val="en-US"/>
        </w:rPr>
        <w:t>In the period from 2008 to 2012, Croatia met the individual target set by the Kyoto Protocol to reduce greenhouse gas emissions by 5% compared to 1990. The stated obligations that Croatia has undertaken with the Kyoto Protocol have been fulfilled, both due to the implementation of emission reduction measures and due to the decline in economic activities caused by the economic crisis.</w:t>
      </w:r>
    </w:p>
    <w:p w14:paraId="5D0C2144" w14:textId="46DCA3B8" w:rsidR="00613742" w:rsidRDefault="006607AD" w:rsidP="006607AD">
      <w:pPr>
        <w:rPr>
          <w:lang w:val="en-US"/>
        </w:rPr>
      </w:pPr>
      <w:r w:rsidRPr="00AB7D1E">
        <w:rPr>
          <w:lang w:val="en-US"/>
        </w:rPr>
        <w:t>In accordance with the amendments to the Kyoto Protocol from Doha, which at the European Union level stipulate the obligation to reduce emissions by 20% by 2020 compared to 1990, Croatia is implementing measures and activities, the results of which so far indicate that the obligation to reduce greenhouse gas emissions will be met.</w:t>
      </w:r>
    </w:p>
    <w:p w14:paraId="5810E7E8" w14:textId="77777777" w:rsidR="00D461DB" w:rsidRPr="00D461DB" w:rsidRDefault="00D461DB" w:rsidP="00D461DB">
      <w:pPr>
        <w:pStyle w:val="Heading3"/>
        <w:rPr>
          <w:lang w:val="en-GB"/>
        </w:rPr>
      </w:pPr>
      <w:bookmarkStart w:id="66" w:name="_Toc56954044"/>
      <w:r w:rsidRPr="00D461DB">
        <w:rPr>
          <w:lang w:val="en-GB"/>
        </w:rPr>
        <w:t>Cultural heritage</w:t>
      </w:r>
      <w:bookmarkEnd w:id="66"/>
    </w:p>
    <w:p w14:paraId="1B9D98EF" w14:textId="77777777" w:rsidR="00D461DB" w:rsidRPr="00CE124D" w:rsidRDefault="00D461DB" w:rsidP="00D461DB">
      <w:pPr>
        <w:suppressAutoHyphens w:val="0"/>
        <w:autoSpaceDN/>
        <w:spacing w:before="0" w:after="160" w:line="259" w:lineRule="auto"/>
        <w:textAlignment w:val="auto"/>
        <w:rPr>
          <w:rFonts w:ascii="Calibri" w:hAnsi="Calibri"/>
          <w:lang w:val="en-GB"/>
        </w:rPr>
      </w:pPr>
      <w:r w:rsidRPr="00CE124D">
        <w:rPr>
          <w:rFonts w:ascii="Calibri" w:hAnsi="Calibri"/>
          <w:lang w:val="en-GB"/>
        </w:rPr>
        <w:t>Croatia is the country with the among largest number of protected cultural phenomena in Europe with 14 Intangible Cultural Heritages added to the UNESCO list.</w:t>
      </w:r>
    </w:p>
    <w:p w14:paraId="0800C0A6" w14:textId="77777777" w:rsidR="00D461DB" w:rsidRPr="00CE124D" w:rsidRDefault="00D461DB" w:rsidP="00D461DB">
      <w:pPr>
        <w:suppressAutoHyphens w:val="0"/>
        <w:autoSpaceDN/>
        <w:spacing w:before="0" w:after="160" w:line="259" w:lineRule="auto"/>
        <w:textAlignment w:val="auto"/>
        <w:rPr>
          <w:rFonts w:ascii="Calibri" w:hAnsi="Calibri"/>
          <w:lang w:val="en-GB"/>
        </w:rPr>
      </w:pPr>
      <w:r w:rsidRPr="00CE124D">
        <w:rPr>
          <w:rFonts w:ascii="Calibri" w:hAnsi="Calibri"/>
          <w:lang w:val="en-GB"/>
        </w:rPr>
        <w:t xml:space="preserve">The six most important parts of Croatian cultural heritage are - the Old City of Dubrovnik, a historic complex in Split with Diocletian's Palace, the historic town of </w:t>
      </w:r>
      <w:proofErr w:type="spellStart"/>
      <w:r w:rsidRPr="00CE124D">
        <w:rPr>
          <w:rFonts w:ascii="Calibri" w:hAnsi="Calibri"/>
          <w:lang w:val="en-GB"/>
        </w:rPr>
        <w:t>Trogir</w:t>
      </w:r>
      <w:proofErr w:type="spellEnd"/>
      <w:r w:rsidRPr="00CE124D">
        <w:rPr>
          <w:rFonts w:ascii="Calibri" w:hAnsi="Calibri"/>
          <w:lang w:val="en-GB"/>
        </w:rPr>
        <w:t xml:space="preserve">, </w:t>
      </w:r>
      <w:proofErr w:type="spellStart"/>
      <w:r w:rsidRPr="00CE124D">
        <w:rPr>
          <w:rFonts w:ascii="Calibri" w:hAnsi="Calibri"/>
          <w:lang w:val="en-GB"/>
        </w:rPr>
        <w:t>Euphrasius</w:t>
      </w:r>
      <w:proofErr w:type="spellEnd"/>
      <w:r w:rsidRPr="00CE124D">
        <w:rPr>
          <w:rFonts w:ascii="Calibri" w:hAnsi="Calibri"/>
          <w:lang w:val="en-GB"/>
        </w:rPr>
        <w:t xml:space="preserve">' basilica in Poreč, the Cathedral of St. James in </w:t>
      </w:r>
      <w:proofErr w:type="spellStart"/>
      <w:r w:rsidRPr="00CE124D">
        <w:rPr>
          <w:rFonts w:ascii="Calibri" w:hAnsi="Calibri"/>
          <w:lang w:val="en-GB"/>
        </w:rPr>
        <w:t>Šibenik</w:t>
      </w:r>
      <w:proofErr w:type="spellEnd"/>
      <w:r w:rsidRPr="00CE124D">
        <w:rPr>
          <w:rFonts w:ascii="Calibri" w:hAnsi="Calibri"/>
          <w:lang w:val="en-GB"/>
        </w:rPr>
        <w:t xml:space="preserve"> and </w:t>
      </w:r>
      <w:proofErr w:type="spellStart"/>
      <w:r w:rsidRPr="00CE124D">
        <w:rPr>
          <w:rFonts w:ascii="Calibri" w:hAnsi="Calibri"/>
          <w:lang w:val="en-GB"/>
        </w:rPr>
        <w:t>Starogradsko</w:t>
      </w:r>
      <w:proofErr w:type="spellEnd"/>
      <w:r w:rsidRPr="00CE124D">
        <w:rPr>
          <w:rFonts w:ascii="Calibri" w:hAnsi="Calibri"/>
          <w:lang w:val="en-GB"/>
        </w:rPr>
        <w:t xml:space="preserve"> polje on the island of Hvar, all protected as World Heritage Sites by UNESCO. In addition to these, Croatia has 340 protected historic entities and a whole </w:t>
      </w:r>
      <w:r w:rsidRPr="00CE124D">
        <w:rPr>
          <w:rFonts w:ascii="Calibri" w:hAnsi="Calibri"/>
          <w:lang w:val="en-GB"/>
        </w:rPr>
        <w:lastRenderedPageBreak/>
        <w:t>series of individual historic buildings, churches and chapels, fortresses and castles, manors and palaces and archaeological sites. Croatia, in its many museums, holds priceless and diverse cultural treasures, and there are many festivals and events, from music and film events to folklore events and carnivals</w:t>
      </w:r>
      <w:r w:rsidRPr="00CE124D">
        <w:rPr>
          <w:rFonts w:ascii="Calibri" w:hAnsi="Calibri"/>
          <w:vertAlign w:val="superscript"/>
          <w:lang w:val="en-GB"/>
        </w:rPr>
        <w:footnoteReference w:id="53"/>
      </w:r>
      <w:r w:rsidRPr="00CE124D">
        <w:rPr>
          <w:rFonts w:ascii="Calibri" w:hAnsi="Calibri"/>
          <w:lang w:val="en-GB"/>
        </w:rPr>
        <w:t xml:space="preserve">. </w:t>
      </w:r>
    </w:p>
    <w:p w14:paraId="1FEB6025" w14:textId="77777777" w:rsidR="00D461DB" w:rsidRPr="00CE124D" w:rsidRDefault="00D461DB" w:rsidP="00D461DB">
      <w:pPr>
        <w:rPr>
          <w:rFonts w:ascii="Calibri" w:hAnsi="Calibri" w:cs="Calibri"/>
          <w:lang w:val="en-GB"/>
        </w:rPr>
      </w:pPr>
      <w:r w:rsidRPr="00CE124D">
        <w:rPr>
          <w:rFonts w:ascii="Calibri" w:hAnsi="Calibri" w:cs="Calibri"/>
          <w:lang w:val="en-GB"/>
        </w:rPr>
        <w:t xml:space="preserve">A review of the Register of Cultural Heritage of the Croatia showed that </w:t>
      </w:r>
      <w:r>
        <w:rPr>
          <w:rFonts w:ascii="Calibri" w:hAnsi="Calibri" w:cs="Calibri"/>
          <w:lang w:val="en-GB"/>
        </w:rPr>
        <w:t>certain areas in the</w:t>
      </w:r>
      <w:r w:rsidRPr="00CE124D">
        <w:rPr>
          <w:rFonts w:ascii="Calibri" w:hAnsi="Calibri" w:cs="Calibri"/>
          <w:lang w:val="en-GB"/>
        </w:rPr>
        <w:t xml:space="preserve"> City of Zagreb, as well as, in </w:t>
      </w:r>
      <w:proofErr w:type="spellStart"/>
      <w:r w:rsidRPr="00CE124D">
        <w:rPr>
          <w:rFonts w:ascii="Calibri" w:hAnsi="Calibri" w:cs="Calibri"/>
          <w:lang w:val="en-GB"/>
        </w:rPr>
        <w:t>Krapina-Zagorje</w:t>
      </w:r>
      <w:proofErr w:type="spellEnd"/>
      <w:r w:rsidRPr="00CE124D">
        <w:rPr>
          <w:rFonts w:ascii="Calibri" w:hAnsi="Calibri" w:cs="Calibri"/>
          <w:lang w:val="en-GB"/>
        </w:rPr>
        <w:t xml:space="preserve"> and Zagreb County </w:t>
      </w:r>
      <w:bookmarkStart w:id="67" w:name="_Hlk56881398"/>
      <w:r w:rsidRPr="00CE124D">
        <w:rPr>
          <w:rFonts w:ascii="Calibri" w:hAnsi="Calibri" w:cs="Calibri"/>
          <w:lang w:val="en-GB"/>
        </w:rPr>
        <w:t xml:space="preserve">are </w:t>
      </w:r>
      <w:bookmarkStart w:id="68" w:name="_Hlk47637652"/>
      <w:bookmarkStart w:id="69" w:name="_Hlk52378660"/>
      <w:r w:rsidRPr="00CE124D">
        <w:rPr>
          <w:rFonts w:ascii="Calibri" w:hAnsi="Calibri" w:cs="Calibri"/>
          <w:lang w:val="en-GB"/>
        </w:rPr>
        <w:t>protected cultural and historical entity</w:t>
      </w:r>
      <w:bookmarkEnd w:id="67"/>
      <w:bookmarkEnd w:id="68"/>
      <w:bookmarkEnd w:id="69"/>
      <w:r w:rsidRPr="00CE124D">
        <w:rPr>
          <w:rFonts w:ascii="Calibri" w:hAnsi="Calibri" w:cs="Calibri"/>
          <w:lang w:val="en-GB"/>
        </w:rPr>
        <w:t>.</w:t>
      </w:r>
    </w:p>
    <w:p w14:paraId="23D43BFE" w14:textId="507BB98D" w:rsidR="00D461DB" w:rsidRPr="007D1E1B" w:rsidRDefault="00D461DB" w:rsidP="00D461DB">
      <w:pPr>
        <w:pStyle w:val="Caption"/>
        <w:rPr>
          <w:sz w:val="20"/>
          <w:szCs w:val="20"/>
          <w:lang w:val="en-GB"/>
        </w:rPr>
      </w:pPr>
      <w:bookmarkStart w:id="70" w:name="_Toc56952706"/>
      <w:r w:rsidRPr="007D1E1B">
        <w:rPr>
          <w:sz w:val="20"/>
          <w:szCs w:val="20"/>
          <w:lang w:val="en-GB"/>
        </w:rPr>
        <w:t xml:space="preserve">Table </w:t>
      </w:r>
      <w:r w:rsidRPr="007D1E1B">
        <w:rPr>
          <w:sz w:val="20"/>
          <w:szCs w:val="20"/>
          <w:lang w:val="en-GB"/>
        </w:rPr>
        <w:fldChar w:fldCharType="begin"/>
      </w:r>
      <w:r w:rsidRPr="007D1E1B">
        <w:rPr>
          <w:sz w:val="20"/>
          <w:szCs w:val="20"/>
          <w:lang w:val="en-GB"/>
        </w:rPr>
        <w:instrText xml:space="preserve"> SEQ Table \* ARABIC </w:instrText>
      </w:r>
      <w:r w:rsidRPr="007D1E1B">
        <w:rPr>
          <w:sz w:val="20"/>
          <w:szCs w:val="20"/>
          <w:lang w:val="en-GB"/>
        </w:rPr>
        <w:fldChar w:fldCharType="separate"/>
      </w:r>
      <w:r w:rsidR="007D1E1B" w:rsidRPr="007D1E1B">
        <w:rPr>
          <w:noProof/>
          <w:sz w:val="20"/>
          <w:szCs w:val="20"/>
          <w:lang w:val="en-GB"/>
        </w:rPr>
        <w:t>6</w:t>
      </w:r>
      <w:r w:rsidRPr="007D1E1B">
        <w:rPr>
          <w:sz w:val="20"/>
          <w:szCs w:val="20"/>
          <w:lang w:val="en-GB"/>
        </w:rPr>
        <w:fldChar w:fldCharType="end"/>
      </w:r>
      <w:r w:rsidRPr="007D1E1B">
        <w:rPr>
          <w:sz w:val="20"/>
          <w:szCs w:val="20"/>
          <w:lang w:val="en-GB"/>
        </w:rPr>
        <w:t xml:space="preserve">. </w:t>
      </w:r>
      <w:r w:rsidRPr="007D1E1B">
        <w:rPr>
          <w:rFonts w:ascii="Calibri" w:hAnsi="Calibri" w:cs="Calibri"/>
          <w:sz w:val="20"/>
          <w:szCs w:val="20"/>
          <w:lang w:val="en-GB"/>
        </w:rPr>
        <w:t xml:space="preserve">List of </w:t>
      </w:r>
      <w:bookmarkStart w:id="71" w:name="_Hlk56883263"/>
      <w:r w:rsidRPr="007D1E1B">
        <w:rPr>
          <w:rFonts w:ascii="Calibri" w:hAnsi="Calibri" w:cs="Calibri"/>
          <w:sz w:val="20"/>
          <w:szCs w:val="20"/>
          <w:lang w:val="en-GB"/>
        </w:rPr>
        <w:t xml:space="preserve">protected </w:t>
      </w:r>
      <w:bookmarkStart w:id="72" w:name="_Hlk52382100"/>
      <w:r w:rsidRPr="007D1E1B">
        <w:rPr>
          <w:rFonts w:ascii="Calibri" w:hAnsi="Calibri" w:cs="Calibri"/>
          <w:sz w:val="20"/>
          <w:szCs w:val="20"/>
          <w:lang w:val="en-GB"/>
        </w:rPr>
        <w:t>cultural and historical entity</w:t>
      </w:r>
      <w:bookmarkEnd w:id="71"/>
      <w:r w:rsidRPr="007D1E1B">
        <w:rPr>
          <w:rFonts w:ascii="Calibri" w:hAnsi="Calibri" w:cs="Calibri"/>
          <w:sz w:val="20"/>
          <w:szCs w:val="20"/>
          <w:lang w:val="en-GB"/>
        </w:rPr>
        <w:t xml:space="preserve"> </w:t>
      </w:r>
      <w:bookmarkEnd w:id="72"/>
      <w:r w:rsidRPr="007D1E1B">
        <w:rPr>
          <w:rFonts w:ascii="Calibri" w:hAnsi="Calibri" w:cs="Calibri"/>
          <w:sz w:val="20"/>
          <w:szCs w:val="20"/>
          <w:lang w:val="en-GB"/>
        </w:rPr>
        <w:t xml:space="preserve">in the City of Zagreb, </w:t>
      </w:r>
      <w:proofErr w:type="spellStart"/>
      <w:r w:rsidRPr="007D1E1B">
        <w:rPr>
          <w:rFonts w:ascii="Calibri" w:hAnsi="Calibri" w:cs="Calibri"/>
          <w:sz w:val="20"/>
          <w:szCs w:val="20"/>
          <w:lang w:val="en-GB"/>
        </w:rPr>
        <w:t>Zagrebačka</w:t>
      </w:r>
      <w:proofErr w:type="spellEnd"/>
      <w:r w:rsidRPr="007D1E1B">
        <w:rPr>
          <w:rFonts w:ascii="Calibri" w:hAnsi="Calibri" w:cs="Calibri"/>
          <w:sz w:val="20"/>
          <w:szCs w:val="20"/>
          <w:lang w:val="en-GB"/>
        </w:rPr>
        <w:t xml:space="preserve"> </w:t>
      </w:r>
      <w:proofErr w:type="spellStart"/>
      <w:r w:rsidRPr="007D1E1B">
        <w:rPr>
          <w:rFonts w:ascii="Calibri" w:hAnsi="Calibri" w:cs="Calibri"/>
          <w:sz w:val="20"/>
          <w:szCs w:val="20"/>
          <w:lang w:val="en-GB"/>
        </w:rPr>
        <w:t>Coutny</w:t>
      </w:r>
      <w:proofErr w:type="spellEnd"/>
      <w:r w:rsidRPr="007D1E1B">
        <w:rPr>
          <w:rFonts w:ascii="Calibri" w:hAnsi="Calibri" w:cs="Calibri"/>
          <w:sz w:val="20"/>
          <w:szCs w:val="20"/>
          <w:lang w:val="en-GB"/>
        </w:rPr>
        <w:t xml:space="preserve"> and </w:t>
      </w:r>
      <w:proofErr w:type="spellStart"/>
      <w:r w:rsidRPr="007D1E1B">
        <w:rPr>
          <w:rFonts w:ascii="Calibri" w:hAnsi="Calibri" w:cs="Calibri"/>
          <w:sz w:val="20"/>
          <w:szCs w:val="20"/>
          <w:lang w:val="en-GB"/>
        </w:rPr>
        <w:t>Krapinsko-Zagorska</w:t>
      </w:r>
      <w:proofErr w:type="spellEnd"/>
      <w:r w:rsidRPr="007D1E1B">
        <w:rPr>
          <w:rFonts w:ascii="Calibri" w:hAnsi="Calibri" w:cs="Calibri"/>
          <w:sz w:val="20"/>
          <w:szCs w:val="20"/>
          <w:lang w:val="en-GB"/>
        </w:rPr>
        <w:t xml:space="preserve"> County</w:t>
      </w:r>
      <w:r w:rsidRPr="007D1E1B">
        <w:rPr>
          <w:rFonts w:ascii="Calibri" w:hAnsi="Calibri" w:cs="Calibri"/>
          <w:sz w:val="20"/>
          <w:szCs w:val="20"/>
          <w:vertAlign w:val="superscript"/>
          <w:lang w:val="en-GB"/>
        </w:rPr>
        <w:footnoteReference w:id="54"/>
      </w:r>
      <w:bookmarkEnd w:id="7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4820"/>
        <w:gridCol w:w="1984"/>
      </w:tblGrid>
      <w:tr w:rsidR="00D461DB" w:rsidRPr="00CE124D" w14:paraId="5D41CFF6" w14:textId="77777777" w:rsidTr="0030688C">
        <w:trPr>
          <w:trHeight w:val="20"/>
        </w:trPr>
        <w:tc>
          <w:tcPr>
            <w:tcW w:w="9067" w:type="dxa"/>
            <w:gridSpan w:val="4"/>
            <w:shd w:val="clear" w:color="auto" w:fill="DEEAF6"/>
            <w:noWrap/>
            <w:vAlign w:val="bottom"/>
          </w:tcPr>
          <w:p w14:paraId="200E3CD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CITIY OF ZAGREB</w:t>
            </w:r>
          </w:p>
        </w:tc>
      </w:tr>
      <w:tr w:rsidR="00D461DB" w:rsidRPr="00CE124D" w14:paraId="1C2351DA" w14:textId="77777777" w:rsidTr="0030688C">
        <w:trPr>
          <w:trHeight w:val="20"/>
        </w:trPr>
        <w:tc>
          <w:tcPr>
            <w:tcW w:w="846" w:type="dxa"/>
            <w:shd w:val="clear" w:color="auto" w:fill="DEEAF6"/>
            <w:noWrap/>
            <w:vAlign w:val="center"/>
            <w:hideMark/>
          </w:tcPr>
          <w:p w14:paraId="40D3FCD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Number</w:t>
            </w:r>
          </w:p>
        </w:tc>
        <w:tc>
          <w:tcPr>
            <w:tcW w:w="1417" w:type="dxa"/>
            <w:shd w:val="clear" w:color="auto" w:fill="DEEAF6"/>
            <w:noWrap/>
            <w:vAlign w:val="center"/>
            <w:hideMark/>
          </w:tcPr>
          <w:p w14:paraId="1F9884B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Register number</w:t>
            </w:r>
          </w:p>
        </w:tc>
        <w:tc>
          <w:tcPr>
            <w:tcW w:w="4820" w:type="dxa"/>
            <w:shd w:val="clear" w:color="auto" w:fill="DEEAF6"/>
            <w:noWrap/>
            <w:vAlign w:val="center"/>
            <w:hideMark/>
          </w:tcPr>
          <w:p w14:paraId="3928904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Name of the cultural heritage</w:t>
            </w:r>
          </w:p>
        </w:tc>
        <w:tc>
          <w:tcPr>
            <w:tcW w:w="1984" w:type="dxa"/>
            <w:shd w:val="clear" w:color="auto" w:fill="DEEAF6"/>
            <w:noWrap/>
            <w:vAlign w:val="center"/>
            <w:hideMark/>
          </w:tcPr>
          <w:p w14:paraId="6433391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proofErr w:type="spellStart"/>
            <w:r w:rsidRPr="00CE124D">
              <w:rPr>
                <w:rFonts w:ascii="Calibri" w:eastAsia="Times New Roman" w:hAnsi="Calibri" w:cs="Calibri"/>
                <w:b/>
                <w:bCs/>
                <w:color w:val="000000"/>
                <w:sz w:val="16"/>
                <w:szCs w:val="16"/>
                <w:lang w:val="en-GB" w:eastAsia="hr-HR"/>
              </w:rPr>
              <w:t>Adress</w:t>
            </w:r>
            <w:proofErr w:type="spellEnd"/>
          </w:p>
        </w:tc>
      </w:tr>
      <w:tr w:rsidR="00D461DB" w:rsidRPr="00CE124D" w14:paraId="0E780AEF" w14:textId="77777777" w:rsidTr="0030688C">
        <w:trPr>
          <w:trHeight w:val="20"/>
        </w:trPr>
        <w:tc>
          <w:tcPr>
            <w:tcW w:w="846" w:type="dxa"/>
            <w:shd w:val="clear" w:color="auto" w:fill="auto"/>
            <w:noWrap/>
            <w:vAlign w:val="bottom"/>
            <w:hideMark/>
          </w:tcPr>
          <w:p w14:paraId="1207C7C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w:t>
            </w:r>
          </w:p>
        </w:tc>
        <w:tc>
          <w:tcPr>
            <w:tcW w:w="1417" w:type="dxa"/>
            <w:shd w:val="clear" w:color="auto" w:fill="auto"/>
            <w:vAlign w:val="bottom"/>
            <w:hideMark/>
          </w:tcPr>
          <w:p w14:paraId="4F87DDE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Z-2951</w:t>
            </w:r>
          </w:p>
        </w:tc>
        <w:tc>
          <w:tcPr>
            <w:tcW w:w="4820" w:type="dxa"/>
            <w:shd w:val="clear" w:color="auto" w:fill="auto"/>
            <w:noWrap/>
            <w:vAlign w:val="bottom"/>
            <w:hideMark/>
          </w:tcPr>
          <w:p w14:paraId="2A57F09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Zagrebačkog</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Velesajma</w:t>
            </w:r>
            <w:proofErr w:type="spellEnd"/>
          </w:p>
        </w:tc>
        <w:tc>
          <w:tcPr>
            <w:tcW w:w="1984" w:type="dxa"/>
            <w:shd w:val="clear" w:color="auto" w:fill="auto"/>
            <w:vAlign w:val="bottom"/>
            <w:hideMark/>
          </w:tcPr>
          <w:p w14:paraId="0AB64B6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21995EF1" w14:textId="77777777" w:rsidTr="0030688C">
        <w:trPr>
          <w:trHeight w:val="20"/>
        </w:trPr>
        <w:tc>
          <w:tcPr>
            <w:tcW w:w="846" w:type="dxa"/>
            <w:shd w:val="clear" w:color="auto" w:fill="auto"/>
            <w:noWrap/>
            <w:vAlign w:val="bottom"/>
            <w:hideMark/>
          </w:tcPr>
          <w:p w14:paraId="2E483C1B"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w:t>
            </w:r>
          </w:p>
        </w:tc>
        <w:tc>
          <w:tcPr>
            <w:tcW w:w="1417" w:type="dxa"/>
            <w:shd w:val="clear" w:color="auto" w:fill="auto"/>
            <w:vAlign w:val="bottom"/>
            <w:hideMark/>
          </w:tcPr>
          <w:p w14:paraId="2436A40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Z-2288</w:t>
            </w:r>
          </w:p>
        </w:tc>
        <w:tc>
          <w:tcPr>
            <w:tcW w:w="4820" w:type="dxa"/>
            <w:shd w:val="clear" w:color="auto" w:fill="auto"/>
            <w:noWrap/>
            <w:vAlign w:val="bottom"/>
            <w:hideMark/>
          </w:tcPr>
          <w:p w14:paraId="5F3ED68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Pupinovo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naselje</w:t>
            </w:r>
            <w:proofErr w:type="spellEnd"/>
          </w:p>
        </w:tc>
        <w:tc>
          <w:tcPr>
            <w:tcW w:w="1984" w:type="dxa"/>
            <w:shd w:val="clear" w:color="auto" w:fill="auto"/>
            <w:vAlign w:val="bottom"/>
            <w:hideMark/>
          </w:tcPr>
          <w:p w14:paraId="08B84E1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5020E7D" w14:textId="77777777" w:rsidTr="0030688C">
        <w:trPr>
          <w:trHeight w:val="20"/>
        </w:trPr>
        <w:tc>
          <w:tcPr>
            <w:tcW w:w="846" w:type="dxa"/>
            <w:shd w:val="clear" w:color="auto" w:fill="auto"/>
            <w:noWrap/>
            <w:vAlign w:val="bottom"/>
            <w:hideMark/>
          </w:tcPr>
          <w:p w14:paraId="13DC041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w:t>
            </w:r>
          </w:p>
        </w:tc>
        <w:tc>
          <w:tcPr>
            <w:tcW w:w="1417" w:type="dxa"/>
            <w:shd w:val="clear" w:color="auto" w:fill="auto"/>
            <w:vAlign w:val="bottom"/>
            <w:hideMark/>
          </w:tcPr>
          <w:p w14:paraId="7A94C2B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Z-2286</w:t>
            </w:r>
          </w:p>
        </w:tc>
        <w:tc>
          <w:tcPr>
            <w:tcW w:w="4820" w:type="dxa"/>
            <w:shd w:val="clear" w:color="auto" w:fill="auto"/>
            <w:noWrap/>
            <w:vAlign w:val="bottom"/>
            <w:hideMark/>
          </w:tcPr>
          <w:p w14:paraId="37FEA55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Studentski </w:t>
            </w:r>
            <w:proofErr w:type="spellStart"/>
            <w:r w:rsidRPr="00CE124D">
              <w:rPr>
                <w:rFonts w:ascii="Calibri" w:eastAsia="Times New Roman" w:hAnsi="Calibri" w:cs="Calibri"/>
                <w:color w:val="000000"/>
                <w:sz w:val="16"/>
                <w:szCs w:val="16"/>
                <w:lang w:val="en-GB" w:eastAsia="hr-HR"/>
              </w:rPr>
              <w:t>dom</w:t>
            </w:r>
            <w:proofErr w:type="spellEnd"/>
            <w:r w:rsidRPr="00CE124D">
              <w:rPr>
                <w:rFonts w:ascii="Calibri" w:eastAsia="Times New Roman" w:hAnsi="Calibri" w:cs="Calibri"/>
                <w:color w:val="000000"/>
                <w:sz w:val="16"/>
                <w:szCs w:val="16"/>
                <w:lang w:val="en-GB" w:eastAsia="hr-HR"/>
              </w:rPr>
              <w:t xml:space="preserve"> "Stjepan </w:t>
            </w:r>
            <w:proofErr w:type="spellStart"/>
            <w:r w:rsidRPr="00CE124D">
              <w:rPr>
                <w:rFonts w:ascii="Calibri" w:eastAsia="Times New Roman" w:hAnsi="Calibri" w:cs="Calibri"/>
                <w:color w:val="000000"/>
                <w:sz w:val="16"/>
                <w:szCs w:val="16"/>
                <w:lang w:val="en-GB" w:eastAsia="hr-HR"/>
              </w:rPr>
              <w:t>Radić</w:t>
            </w:r>
            <w:proofErr w:type="spellEnd"/>
            <w:r w:rsidRPr="00CE124D">
              <w:rPr>
                <w:rFonts w:ascii="Calibri" w:eastAsia="Times New Roman" w:hAnsi="Calibri" w:cs="Calibri"/>
                <w:color w:val="000000"/>
                <w:sz w:val="16"/>
                <w:szCs w:val="16"/>
                <w:lang w:val="en-GB" w:eastAsia="hr-HR"/>
              </w:rPr>
              <w:t>"</w:t>
            </w:r>
          </w:p>
        </w:tc>
        <w:tc>
          <w:tcPr>
            <w:tcW w:w="1984" w:type="dxa"/>
            <w:shd w:val="clear" w:color="auto" w:fill="auto"/>
            <w:vAlign w:val="bottom"/>
            <w:hideMark/>
          </w:tcPr>
          <w:p w14:paraId="3F1A0A1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473BB5D7" w14:textId="77777777" w:rsidTr="0030688C">
        <w:trPr>
          <w:trHeight w:val="20"/>
        </w:trPr>
        <w:tc>
          <w:tcPr>
            <w:tcW w:w="846" w:type="dxa"/>
            <w:shd w:val="clear" w:color="auto" w:fill="auto"/>
            <w:noWrap/>
            <w:vAlign w:val="bottom"/>
            <w:hideMark/>
          </w:tcPr>
          <w:p w14:paraId="1AF2AE1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4</w:t>
            </w:r>
          </w:p>
        </w:tc>
        <w:tc>
          <w:tcPr>
            <w:tcW w:w="1417" w:type="dxa"/>
            <w:shd w:val="clear" w:color="auto" w:fill="auto"/>
            <w:vAlign w:val="bottom"/>
            <w:hideMark/>
          </w:tcPr>
          <w:p w14:paraId="6B0DC30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Z-2285</w:t>
            </w:r>
          </w:p>
        </w:tc>
        <w:tc>
          <w:tcPr>
            <w:tcW w:w="4820" w:type="dxa"/>
            <w:shd w:val="clear" w:color="auto" w:fill="auto"/>
            <w:noWrap/>
            <w:vAlign w:val="bottom"/>
            <w:hideMark/>
          </w:tcPr>
          <w:p w14:paraId="09FEF9F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Pionirski</w:t>
            </w:r>
            <w:proofErr w:type="spellEnd"/>
            <w:r w:rsidRPr="00CE124D">
              <w:rPr>
                <w:rFonts w:ascii="Calibri" w:eastAsia="Times New Roman" w:hAnsi="Calibri" w:cs="Calibri"/>
                <w:color w:val="000000"/>
                <w:sz w:val="16"/>
                <w:szCs w:val="16"/>
                <w:lang w:val="en-GB" w:eastAsia="hr-HR"/>
              </w:rPr>
              <w:t xml:space="preserve"> grad" (Grad </w:t>
            </w:r>
            <w:proofErr w:type="spellStart"/>
            <w:r w:rsidRPr="00CE124D">
              <w:rPr>
                <w:rFonts w:ascii="Calibri" w:eastAsia="Times New Roman" w:hAnsi="Calibri" w:cs="Calibri"/>
                <w:color w:val="000000"/>
                <w:sz w:val="16"/>
                <w:szCs w:val="16"/>
                <w:lang w:val="en-GB" w:eastAsia="hr-HR"/>
              </w:rPr>
              <w:t>mladih</w:t>
            </w:r>
            <w:proofErr w:type="spellEnd"/>
            <w:r w:rsidRPr="00CE124D">
              <w:rPr>
                <w:rFonts w:ascii="Calibri" w:eastAsia="Times New Roman" w:hAnsi="Calibri" w:cs="Calibri"/>
                <w:color w:val="000000"/>
                <w:sz w:val="16"/>
                <w:szCs w:val="16"/>
                <w:lang w:val="en-GB" w:eastAsia="hr-HR"/>
              </w:rPr>
              <w:t>)</w:t>
            </w:r>
          </w:p>
        </w:tc>
        <w:tc>
          <w:tcPr>
            <w:tcW w:w="1984" w:type="dxa"/>
            <w:shd w:val="clear" w:color="auto" w:fill="auto"/>
            <w:vAlign w:val="bottom"/>
            <w:hideMark/>
          </w:tcPr>
          <w:p w14:paraId="15C87BA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45BF0D4C" w14:textId="77777777" w:rsidTr="0030688C">
        <w:trPr>
          <w:trHeight w:val="20"/>
        </w:trPr>
        <w:tc>
          <w:tcPr>
            <w:tcW w:w="846" w:type="dxa"/>
            <w:shd w:val="clear" w:color="auto" w:fill="auto"/>
            <w:noWrap/>
            <w:vAlign w:val="bottom"/>
            <w:hideMark/>
          </w:tcPr>
          <w:p w14:paraId="58BBD79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5</w:t>
            </w:r>
          </w:p>
        </w:tc>
        <w:tc>
          <w:tcPr>
            <w:tcW w:w="1417" w:type="dxa"/>
            <w:shd w:val="clear" w:color="auto" w:fill="auto"/>
            <w:vAlign w:val="bottom"/>
            <w:hideMark/>
          </w:tcPr>
          <w:p w14:paraId="394A979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Z-2284</w:t>
            </w:r>
          </w:p>
        </w:tc>
        <w:tc>
          <w:tcPr>
            <w:tcW w:w="4820" w:type="dxa"/>
            <w:shd w:val="clear" w:color="auto" w:fill="auto"/>
            <w:noWrap/>
            <w:vAlign w:val="bottom"/>
            <w:hideMark/>
          </w:tcPr>
          <w:p w14:paraId="7DA57C1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Brodarski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institut</w:t>
            </w:r>
            <w:proofErr w:type="spellEnd"/>
          </w:p>
        </w:tc>
        <w:tc>
          <w:tcPr>
            <w:tcW w:w="1984" w:type="dxa"/>
            <w:shd w:val="clear" w:color="auto" w:fill="auto"/>
            <w:vAlign w:val="bottom"/>
            <w:hideMark/>
          </w:tcPr>
          <w:p w14:paraId="5096D6E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F021020" w14:textId="77777777" w:rsidTr="0030688C">
        <w:trPr>
          <w:trHeight w:val="20"/>
        </w:trPr>
        <w:tc>
          <w:tcPr>
            <w:tcW w:w="846" w:type="dxa"/>
            <w:shd w:val="clear" w:color="auto" w:fill="auto"/>
            <w:noWrap/>
            <w:vAlign w:val="bottom"/>
            <w:hideMark/>
          </w:tcPr>
          <w:p w14:paraId="4D6DEAF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6</w:t>
            </w:r>
          </w:p>
        </w:tc>
        <w:tc>
          <w:tcPr>
            <w:tcW w:w="1417" w:type="dxa"/>
            <w:shd w:val="clear" w:color="auto" w:fill="auto"/>
            <w:vAlign w:val="bottom"/>
            <w:hideMark/>
          </w:tcPr>
          <w:p w14:paraId="0CDC9F3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Z-2168</w:t>
            </w:r>
          </w:p>
        </w:tc>
        <w:tc>
          <w:tcPr>
            <w:tcW w:w="4820" w:type="dxa"/>
            <w:shd w:val="clear" w:color="auto" w:fill="auto"/>
            <w:noWrap/>
            <w:vAlign w:val="bottom"/>
            <w:hideMark/>
          </w:tcPr>
          <w:p w14:paraId="06D5AAE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Etnološko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područje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Novoselečki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vinogradi</w:t>
            </w:r>
            <w:proofErr w:type="spellEnd"/>
          </w:p>
        </w:tc>
        <w:tc>
          <w:tcPr>
            <w:tcW w:w="1984" w:type="dxa"/>
            <w:shd w:val="clear" w:color="auto" w:fill="auto"/>
            <w:vAlign w:val="bottom"/>
            <w:hideMark/>
          </w:tcPr>
          <w:p w14:paraId="4E09F4D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4440E5E" w14:textId="77777777" w:rsidTr="0030688C">
        <w:trPr>
          <w:trHeight w:val="20"/>
        </w:trPr>
        <w:tc>
          <w:tcPr>
            <w:tcW w:w="846" w:type="dxa"/>
            <w:shd w:val="clear" w:color="auto" w:fill="auto"/>
            <w:noWrap/>
            <w:vAlign w:val="bottom"/>
            <w:hideMark/>
          </w:tcPr>
          <w:p w14:paraId="3D3194C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7</w:t>
            </w:r>
          </w:p>
        </w:tc>
        <w:tc>
          <w:tcPr>
            <w:tcW w:w="1417" w:type="dxa"/>
            <w:shd w:val="clear" w:color="auto" w:fill="auto"/>
            <w:vAlign w:val="bottom"/>
            <w:hideMark/>
          </w:tcPr>
          <w:p w14:paraId="3225B1E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Z-2167</w:t>
            </w:r>
          </w:p>
        </w:tc>
        <w:tc>
          <w:tcPr>
            <w:tcW w:w="4820" w:type="dxa"/>
            <w:shd w:val="clear" w:color="auto" w:fill="auto"/>
            <w:noWrap/>
            <w:vAlign w:val="bottom"/>
            <w:hideMark/>
          </w:tcPr>
          <w:p w14:paraId="6B27687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Etnološko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područje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Oporovečki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vinogradi</w:t>
            </w:r>
            <w:proofErr w:type="spellEnd"/>
          </w:p>
        </w:tc>
        <w:tc>
          <w:tcPr>
            <w:tcW w:w="1984" w:type="dxa"/>
            <w:shd w:val="clear" w:color="auto" w:fill="auto"/>
            <w:vAlign w:val="bottom"/>
            <w:hideMark/>
          </w:tcPr>
          <w:p w14:paraId="61DFDD9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F075F47" w14:textId="77777777" w:rsidTr="0030688C">
        <w:trPr>
          <w:trHeight w:val="20"/>
        </w:trPr>
        <w:tc>
          <w:tcPr>
            <w:tcW w:w="846" w:type="dxa"/>
            <w:shd w:val="clear" w:color="auto" w:fill="auto"/>
            <w:noWrap/>
            <w:vAlign w:val="bottom"/>
            <w:hideMark/>
          </w:tcPr>
          <w:p w14:paraId="21E80E4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8</w:t>
            </w:r>
          </w:p>
        </w:tc>
        <w:tc>
          <w:tcPr>
            <w:tcW w:w="1417" w:type="dxa"/>
            <w:shd w:val="clear" w:color="auto" w:fill="auto"/>
            <w:vAlign w:val="bottom"/>
            <w:hideMark/>
          </w:tcPr>
          <w:p w14:paraId="5E799E3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Z-2166</w:t>
            </w:r>
          </w:p>
        </w:tc>
        <w:tc>
          <w:tcPr>
            <w:tcW w:w="4820" w:type="dxa"/>
            <w:shd w:val="clear" w:color="auto" w:fill="auto"/>
            <w:noWrap/>
            <w:vAlign w:val="bottom"/>
            <w:hideMark/>
          </w:tcPr>
          <w:p w14:paraId="7AB7F36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Etnološko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područje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Severi</w:t>
            </w:r>
            <w:proofErr w:type="spellEnd"/>
          </w:p>
        </w:tc>
        <w:tc>
          <w:tcPr>
            <w:tcW w:w="1984" w:type="dxa"/>
            <w:shd w:val="clear" w:color="auto" w:fill="auto"/>
            <w:vAlign w:val="bottom"/>
            <w:hideMark/>
          </w:tcPr>
          <w:p w14:paraId="7E00C80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3378C75" w14:textId="77777777" w:rsidTr="0030688C">
        <w:trPr>
          <w:trHeight w:val="20"/>
        </w:trPr>
        <w:tc>
          <w:tcPr>
            <w:tcW w:w="846" w:type="dxa"/>
            <w:shd w:val="clear" w:color="auto" w:fill="auto"/>
            <w:noWrap/>
            <w:vAlign w:val="bottom"/>
            <w:hideMark/>
          </w:tcPr>
          <w:p w14:paraId="58DF2EC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9</w:t>
            </w:r>
          </w:p>
        </w:tc>
        <w:tc>
          <w:tcPr>
            <w:tcW w:w="1417" w:type="dxa"/>
            <w:shd w:val="clear" w:color="auto" w:fill="auto"/>
            <w:vAlign w:val="bottom"/>
            <w:hideMark/>
          </w:tcPr>
          <w:p w14:paraId="0512C8F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Z-2164</w:t>
            </w:r>
          </w:p>
        </w:tc>
        <w:tc>
          <w:tcPr>
            <w:tcW w:w="4820" w:type="dxa"/>
            <w:shd w:val="clear" w:color="auto" w:fill="auto"/>
            <w:noWrap/>
            <w:vAlign w:val="bottom"/>
            <w:hideMark/>
          </w:tcPr>
          <w:p w14:paraId="3CB3529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Demerje</w:t>
            </w:r>
            <w:proofErr w:type="spellEnd"/>
          </w:p>
        </w:tc>
        <w:tc>
          <w:tcPr>
            <w:tcW w:w="1984" w:type="dxa"/>
            <w:shd w:val="clear" w:color="auto" w:fill="auto"/>
            <w:vAlign w:val="bottom"/>
            <w:hideMark/>
          </w:tcPr>
          <w:p w14:paraId="4674358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Demerje</w:t>
            </w:r>
            <w:proofErr w:type="spellEnd"/>
          </w:p>
        </w:tc>
      </w:tr>
      <w:tr w:rsidR="00D461DB" w:rsidRPr="00CE124D" w14:paraId="72650EA1" w14:textId="77777777" w:rsidTr="0030688C">
        <w:trPr>
          <w:trHeight w:val="20"/>
        </w:trPr>
        <w:tc>
          <w:tcPr>
            <w:tcW w:w="846" w:type="dxa"/>
            <w:shd w:val="clear" w:color="auto" w:fill="auto"/>
            <w:noWrap/>
            <w:vAlign w:val="bottom"/>
            <w:hideMark/>
          </w:tcPr>
          <w:p w14:paraId="351458B8"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10</w:t>
            </w:r>
          </w:p>
        </w:tc>
        <w:tc>
          <w:tcPr>
            <w:tcW w:w="1417" w:type="dxa"/>
            <w:shd w:val="clear" w:color="auto" w:fill="auto"/>
            <w:vAlign w:val="bottom"/>
            <w:hideMark/>
          </w:tcPr>
          <w:p w14:paraId="689C5A3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Z-2161</w:t>
            </w:r>
          </w:p>
        </w:tc>
        <w:tc>
          <w:tcPr>
            <w:tcW w:w="4820" w:type="dxa"/>
            <w:shd w:val="clear" w:color="auto" w:fill="auto"/>
            <w:noWrap/>
            <w:vAlign w:val="bottom"/>
            <w:hideMark/>
          </w:tcPr>
          <w:p w14:paraId="513CF15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Glavničica</w:t>
            </w:r>
            <w:proofErr w:type="spellEnd"/>
          </w:p>
        </w:tc>
        <w:tc>
          <w:tcPr>
            <w:tcW w:w="1984" w:type="dxa"/>
            <w:shd w:val="clear" w:color="auto" w:fill="auto"/>
            <w:vAlign w:val="bottom"/>
            <w:hideMark/>
          </w:tcPr>
          <w:p w14:paraId="2A03E49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Glavničica</w:t>
            </w:r>
            <w:proofErr w:type="spellEnd"/>
          </w:p>
        </w:tc>
      </w:tr>
      <w:tr w:rsidR="00D461DB" w:rsidRPr="00CE124D" w14:paraId="0FAF62FE" w14:textId="77777777" w:rsidTr="0030688C">
        <w:trPr>
          <w:trHeight w:val="20"/>
        </w:trPr>
        <w:tc>
          <w:tcPr>
            <w:tcW w:w="846" w:type="dxa"/>
            <w:shd w:val="clear" w:color="auto" w:fill="auto"/>
            <w:noWrap/>
            <w:vAlign w:val="bottom"/>
            <w:hideMark/>
          </w:tcPr>
          <w:p w14:paraId="29EF22E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11</w:t>
            </w:r>
          </w:p>
        </w:tc>
        <w:tc>
          <w:tcPr>
            <w:tcW w:w="1417" w:type="dxa"/>
            <w:shd w:val="clear" w:color="auto" w:fill="auto"/>
            <w:vAlign w:val="bottom"/>
            <w:hideMark/>
          </w:tcPr>
          <w:p w14:paraId="561B183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Z-1550</w:t>
            </w:r>
          </w:p>
        </w:tc>
        <w:tc>
          <w:tcPr>
            <w:tcW w:w="4820" w:type="dxa"/>
            <w:shd w:val="clear" w:color="auto" w:fill="auto"/>
            <w:noWrap/>
            <w:vAlign w:val="bottom"/>
            <w:hideMark/>
          </w:tcPr>
          <w:p w14:paraId="687BD79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Kolonija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gradskih</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kuća</w:t>
            </w:r>
            <w:proofErr w:type="spellEnd"/>
            <w:r w:rsidRPr="00CE124D">
              <w:rPr>
                <w:rFonts w:ascii="Calibri" w:eastAsia="Times New Roman" w:hAnsi="Calibri" w:cs="Calibri"/>
                <w:color w:val="000000"/>
                <w:sz w:val="16"/>
                <w:szCs w:val="16"/>
                <w:lang w:val="en-GB" w:eastAsia="hr-HR"/>
              </w:rPr>
              <w:t xml:space="preserve"> "Mali </w:t>
            </w:r>
            <w:proofErr w:type="spellStart"/>
            <w:r w:rsidRPr="00CE124D">
              <w:rPr>
                <w:rFonts w:ascii="Calibri" w:eastAsia="Times New Roman" w:hAnsi="Calibri" w:cs="Calibri"/>
                <w:color w:val="000000"/>
                <w:sz w:val="16"/>
                <w:szCs w:val="16"/>
                <w:lang w:val="en-GB" w:eastAsia="hr-HR"/>
              </w:rPr>
              <w:t>stanovi</w:t>
            </w:r>
            <w:proofErr w:type="spellEnd"/>
            <w:r w:rsidRPr="00CE124D">
              <w:rPr>
                <w:rFonts w:ascii="Calibri" w:eastAsia="Times New Roman" w:hAnsi="Calibri" w:cs="Calibri"/>
                <w:color w:val="000000"/>
                <w:sz w:val="16"/>
                <w:szCs w:val="16"/>
                <w:lang w:val="en-GB" w:eastAsia="hr-HR"/>
              </w:rPr>
              <w:t xml:space="preserve"> za </w:t>
            </w:r>
            <w:proofErr w:type="spellStart"/>
            <w:r w:rsidRPr="00CE124D">
              <w:rPr>
                <w:rFonts w:ascii="Calibri" w:eastAsia="Times New Roman" w:hAnsi="Calibri" w:cs="Calibri"/>
                <w:color w:val="000000"/>
                <w:sz w:val="16"/>
                <w:szCs w:val="16"/>
                <w:lang w:val="en-GB" w:eastAsia="hr-HR"/>
              </w:rPr>
              <w:t>invalide</w:t>
            </w:r>
            <w:proofErr w:type="spellEnd"/>
            <w:r w:rsidRPr="00CE124D">
              <w:rPr>
                <w:rFonts w:ascii="Calibri" w:eastAsia="Times New Roman" w:hAnsi="Calibri" w:cs="Calibri"/>
                <w:color w:val="000000"/>
                <w:sz w:val="16"/>
                <w:szCs w:val="16"/>
                <w:lang w:val="en-GB" w:eastAsia="hr-HR"/>
              </w:rPr>
              <w:t xml:space="preserve"> i </w:t>
            </w:r>
            <w:proofErr w:type="spellStart"/>
            <w:r w:rsidRPr="00CE124D">
              <w:rPr>
                <w:rFonts w:ascii="Calibri" w:eastAsia="Times New Roman" w:hAnsi="Calibri" w:cs="Calibri"/>
                <w:color w:val="000000"/>
                <w:sz w:val="16"/>
                <w:szCs w:val="16"/>
                <w:lang w:val="en-GB" w:eastAsia="hr-HR"/>
              </w:rPr>
              <w:t>izbjeglice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iz</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Istre</w:t>
            </w:r>
            <w:proofErr w:type="spellEnd"/>
            <w:r w:rsidRPr="00CE124D">
              <w:rPr>
                <w:rFonts w:ascii="Calibri" w:eastAsia="Times New Roman" w:hAnsi="Calibri" w:cs="Calibri"/>
                <w:color w:val="000000"/>
                <w:sz w:val="16"/>
                <w:szCs w:val="16"/>
                <w:lang w:val="en-GB" w:eastAsia="hr-HR"/>
              </w:rPr>
              <w:t>"</w:t>
            </w:r>
          </w:p>
        </w:tc>
        <w:tc>
          <w:tcPr>
            <w:tcW w:w="1984" w:type="dxa"/>
            <w:shd w:val="clear" w:color="auto" w:fill="auto"/>
            <w:vAlign w:val="bottom"/>
            <w:hideMark/>
          </w:tcPr>
          <w:p w14:paraId="720A496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5750944" w14:textId="77777777" w:rsidTr="0030688C">
        <w:trPr>
          <w:trHeight w:val="20"/>
        </w:trPr>
        <w:tc>
          <w:tcPr>
            <w:tcW w:w="846" w:type="dxa"/>
            <w:shd w:val="clear" w:color="auto" w:fill="auto"/>
            <w:noWrap/>
            <w:vAlign w:val="bottom"/>
            <w:hideMark/>
          </w:tcPr>
          <w:p w14:paraId="56756AE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12</w:t>
            </w:r>
          </w:p>
        </w:tc>
        <w:tc>
          <w:tcPr>
            <w:tcW w:w="1417" w:type="dxa"/>
            <w:shd w:val="clear" w:color="auto" w:fill="auto"/>
            <w:vAlign w:val="bottom"/>
            <w:hideMark/>
          </w:tcPr>
          <w:p w14:paraId="719449A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Z-1549</w:t>
            </w:r>
          </w:p>
        </w:tc>
        <w:tc>
          <w:tcPr>
            <w:tcW w:w="4820" w:type="dxa"/>
            <w:shd w:val="clear" w:color="auto" w:fill="auto"/>
            <w:noWrap/>
            <w:vAlign w:val="bottom"/>
            <w:hideMark/>
          </w:tcPr>
          <w:p w14:paraId="60DAB56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Kolonija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gradskih</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kuća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Ciglani</w:t>
            </w:r>
            <w:proofErr w:type="spellEnd"/>
          </w:p>
        </w:tc>
        <w:tc>
          <w:tcPr>
            <w:tcW w:w="1984" w:type="dxa"/>
            <w:shd w:val="clear" w:color="auto" w:fill="auto"/>
            <w:vAlign w:val="bottom"/>
            <w:hideMark/>
          </w:tcPr>
          <w:p w14:paraId="416D341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4E886F40" w14:textId="77777777" w:rsidTr="0030688C">
        <w:trPr>
          <w:trHeight w:val="20"/>
        </w:trPr>
        <w:tc>
          <w:tcPr>
            <w:tcW w:w="846" w:type="dxa"/>
            <w:shd w:val="clear" w:color="auto" w:fill="auto"/>
            <w:noWrap/>
            <w:vAlign w:val="bottom"/>
            <w:hideMark/>
          </w:tcPr>
          <w:p w14:paraId="45F1292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13</w:t>
            </w:r>
          </w:p>
        </w:tc>
        <w:tc>
          <w:tcPr>
            <w:tcW w:w="1417" w:type="dxa"/>
            <w:shd w:val="clear" w:color="auto" w:fill="auto"/>
            <w:vAlign w:val="bottom"/>
            <w:hideMark/>
          </w:tcPr>
          <w:p w14:paraId="4FC59B6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Z-1547</w:t>
            </w:r>
          </w:p>
        </w:tc>
        <w:tc>
          <w:tcPr>
            <w:tcW w:w="4820" w:type="dxa"/>
            <w:shd w:val="clear" w:color="auto" w:fill="auto"/>
            <w:noWrap/>
            <w:vAlign w:val="bottom"/>
            <w:hideMark/>
          </w:tcPr>
          <w:p w14:paraId="6AE6D7F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Čučerje</w:t>
            </w:r>
            <w:proofErr w:type="spellEnd"/>
          </w:p>
        </w:tc>
        <w:tc>
          <w:tcPr>
            <w:tcW w:w="1984" w:type="dxa"/>
            <w:shd w:val="clear" w:color="auto" w:fill="auto"/>
            <w:vAlign w:val="bottom"/>
            <w:hideMark/>
          </w:tcPr>
          <w:p w14:paraId="34F8F98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ACCC036" w14:textId="77777777" w:rsidTr="0030688C">
        <w:trPr>
          <w:trHeight w:val="20"/>
        </w:trPr>
        <w:tc>
          <w:tcPr>
            <w:tcW w:w="846" w:type="dxa"/>
            <w:shd w:val="clear" w:color="auto" w:fill="auto"/>
            <w:noWrap/>
            <w:vAlign w:val="bottom"/>
            <w:hideMark/>
          </w:tcPr>
          <w:p w14:paraId="6320DC9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14</w:t>
            </w:r>
          </w:p>
        </w:tc>
        <w:tc>
          <w:tcPr>
            <w:tcW w:w="1417" w:type="dxa"/>
            <w:shd w:val="clear" w:color="auto" w:fill="auto"/>
            <w:vAlign w:val="bottom"/>
            <w:hideMark/>
          </w:tcPr>
          <w:p w14:paraId="7EBB6DB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Z-1544</w:t>
            </w:r>
          </w:p>
        </w:tc>
        <w:tc>
          <w:tcPr>
            <w:tcW w:w="4820" w:type="dxa"/>
            <w:shd w:val="clear" w:color="auto" w:fill="auto"/>
            <w:noWrap/>
            <w:vAlign w:val="bottom"/>
            <w:hideMark/>
          </w:tcPr>
          <w:p w14:paraId="776DC02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Ansambl</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gradskih</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vila</w:t>
            </w:r>
            <w:proofErr w:type="spellEnd"/>
            <w:r w:rsidRPr="00CE124D">
              <w:rPr>
                <w:rFonts w:ascii="Calibri" w:eastAsia="Times New Roman" w:hAnsi="Calibri" w:cs="Calibri"/>
                <w:color w:val="000000"/>
                <w:sz w:val="16"/>
                <w:szCs w:val="16"/>
                <w:lang w:val="en-GB" w:eastAsia="hr-HR"/>
              </w:rPr>
              <w:t xml:space="preserve"> </w:t>
            </w:r>
          </w:p>
        </w:tc>
        <w:tc>
          <w:tcPr>
            <w:tcW w:w="1984" w:type="dxa"/>
            <w:shd w:val="clear" w:color="auto" w:fill="auto"/>
            <w:vAlign w:val="bottom"/>
            <w:hideMark/>
          </w:tcPr>
          <w:p w14:paraId="48727A5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gramStart"/>
            <w:r w:rsidRPr="00CE124D">
              <w:rPr>
                <w:rFonts w:ascii="Calibri" w:eastAsia="Times New Roman" w:hAnsi="Calibri" w:cs="Calibri"/>
                <w:color w:val="000000"/>
                <w:sz w:val="16"/>
                <w:szCs w:val="16"/>
                <w:lang w:val="en-GB" w:eastAsia="hr-HR"/>
              </w:rPr>
              <w:t xml:space="preserve">Zagreb,   </w:t>
            </w:r>
            <w:proofErr w:type="gramEnd"/>
          </w:p>
        </w:tc>
      </w:tr>
      <w:tr w:rsidR="00D461DB" w:rsidRPr="00CE124D" w14:paraId="4389CEAD" w14:textId="77777777" w:rsidTr="0030688C">
        <w:trPr>
          <w:trHeight w:val="20"/>
        </w:trPr>
        <w:tc>
          <w:tcPr>
            <w:tcW w:w="846" w:type="dxa"/>
            <w:shd w:val="clear" w:color="auto" w:fill="auto"/>
            <w:noWrap/>
            <w:vAlign w:val="bottom"/>
            <w:hideMark/>
          </w:tcPr>
          <w:p w14:paraId="4BF6B89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15</w:t>
            </w:r>
          </w:p>
        </w:tc>
        <w:tc>
          <w:tcPr>
            <w:tcW w:w="1417" w:type="dxa"/>
            <w:shd w:val="clear" w:color="auto" w:fill="auto"/>
            <w:vAlign w:val="bottom"/>
            <w:hideMark/>
          </w:tcPr>
          <w:p w14:paraId="5313BB0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Z-1546</w:t>
            </w:r>
          </w:p>
        </w:tc>
        <w:tc>
          <w:tcPr>
            <w:tcW w:w="4820" w:type="dxa"/>
            <w:shd w:val="clear" w:color="auto" w:fill="auto"/>
            <w:noWrap/>
            <w:vAlign w:val="bottom"/>
            <w:hideMark/>
          </w:tcPr>
          <w:p w14:paraId="36FB4E1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Kašina</w:t>
            </w:r>
            <w:proofErr w:type="spellEnd"/>
          </w:p>
        </w:tc>
        <w:tc>
          <w:tcPr>
            <w:tcW w:w="1984" w:type="dxa"/>
            <w:shd w:val="clear" w:color="auto" w:fill="auto"/>
            <w:vAlign w:val="bottom"/>
            <w:hideMark/>
          </w:tcPr>
          <w:p w14:paraId="61EFB1E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Kašina</w:t>
            </w:r>
            <w:proofErr w:type="spellEnd"/>
          </w:p>
        </w:tc>
      </w:tr>
      <w:tr w:rsidR="00D461DB" w:rsidRPr="00CE124D" w14:paraId="03021F92" w14:textId="77777777" w:rsidTr="0030688C">
        <w:trPr>
          <w:trHeight w:val="20"/>
        </w:trPr>
        <w:tc>
          <w:tcPr>
            <w:tcW w:w="846" w:type="dxa"/>
            <w:shd w:val="clear" w:color="auto" w:fill="auto"/>
            <w:noWrap/>
            <w:vAlign w:val="bottom"/>
            <w:hideMark/>
          </w:tcPr>
          <w:p w14:paraId="18CAAD2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16</w:t>
            </w:r>
          </w:p>
        </w:tc>
        <w:tc>
          <w:tcPr>
            <w:tcW w:w="1417" w:type="dxa"/>
            <w:shd w:val="clear" w:color="auto" w:fill="auto"/>
            <w:vAlign w:val="bottom"/>
            <w:hideMark/>
          </w:tcPr>
          <w:p w14:paraId="3262412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Z-1545</w:t>
            </w:r>
          </w:p>
        </w:tc>
        <w:tc>
          <w:tcPr>
            <w:tcW w:w="4820" w:type="dxa"/>
            <w:shd w:val="clear" w:color="auto" w:fill="auto"/>
            <w:noWrap/>
            <w:vAlign w:val="bottom"/>
            <w:hideMark/>
          </w:tcPr>
          <w:p w14:paraId="7E6A830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Vugrovec</w:t>
            </w:r>
            <w:proofErr w:type="spellEnd"/>
          </w:p>
        </w:tc>
        <w:tc>
          <w:tcPr>
            <w:tcW w:w="1984" w:type="dxa"/>
            <w:shd w:val="clear" w:color="auto" w:fill="auto"/>
            <w:vAlign w:val="bottom"/>
            <w:hideMark/>
          </w:tcPr>
          <w:p w14:paraId="5730B7A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Vugrovec</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Donji</w:t>
            </w:r>
            <w:proofErr w:type="spellEnd"/>
          </w:p>
        </w:tc>
      </w:tr>
      <w:tr w:rsidR="00D461DB" w:rsidRPr="00CE124D" w14:paraId="07319A80" w14:textId="77777777" w:rsidTr="0030688C">
        <w:trPr>
          <w:trHeight w:val="20"/>
        </w:trPr>
        <w:tc>
          <w:tcPr>
            <w:tcW w:w="846" w:type="dxa"/>
            <w:shd w:val="clear" w:color="auto" w:fill="auto"/>
            <w:noWrap/>
            <w:vAlign w:val="bottom"/>
            <w:hideMark/>
          </w:tcPr>
          <w:p w14:paraId="0381C35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17</w:t>
            </w:r>
          </w:p>
        </w:tc>
        <w:tc>
          <w:tcPr>
            <w:tcW w:w="1417" w:type="dxa"/>
            <w:shd w:val="clear" w:color="auto" w:fill="auto"/>
            <w:vAlign w:val="bottom"/>
            <w:hideMark/>
          </w:tcPr>
          <w:p w14:paraId="2430776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Z-1541</w:t>
            </w:r>
          </w:p>
        </w:tc>
        <w:tc>
          <w:tcPr>
            <w:tcW w:w="4820" w:type="dxa"/>
            <w:shd w:val="clear" w:color="auto" w:fill="auto"/>
            <w:noWrap/>
            <w:vAlign w:val="bottom"/>
            <w:hideMark/>
          </w:tcPr>
          <w:p w14:paraId="726209E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Gogoljin</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brijeg</w:t>
            </w:r>
            <w:proofErr w:type="spellEnd"/>
            <w:r w:rsidRPr="00CE124D">
              <w:rPr>
                <w:rFonts w:ascii="Calibri" w:eastAsia="Times New Roman" w:hAnsi="Calibri" w:cs="Calibri"/>
                <w:color w:val="000000"/>
                <w:sz w:val="16"/>
                <w:szCs w:val="16"/>
                <w:lang w:val="en-GB" w:eastAsia="hr-HR"/>
              </w:rPr>
              <w:t>"</w:t>
            </w:r>
          </w:p>
        </w:tc>
        <w:tc>
          <w:tcPr>
            <w:tcW w:w="1984" w:type="dxa"/>
            <w:shd w:val="clear" w:color="auto" w:fill="auto"/>
            <w:vAlign w:val="bottom"/>
            <w:hideMark/>
          </w:tcPr>
          <w:p w14:paraId="362366F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5E977A66" w14:textId="77777777" w:rsidTr="0030688C">
        <w:trPr>
          <w:trHeight w:val="20"/>
        </w:trPr>
        <w:tc>
          <w:tcPr>
            <w:tcW w:w="846" w:type="dxa"/>
            <w:shd w:val="clear" w:color="auto" w:fill="auto"/>
            <w:noWrap/>
            <w:vAlign w:val="bottom"/>
            <w:hideMark/>
          </w:tcPr>
          <w:p w14:paraId="1500DDA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18</w:t>
            </w:r>
          </w:p>
        </w:tc>
        <w:tc>
          <w:tcPr>
            <w:tcW w:w="1417" w:type="dxa"/>
            <w:shd w:val="clear" w:color="auto" w:fill="auto"/>
            <w:vAlign w:val="bottom"/>
            <w:hideMark/>
          </w:tcPr>
          <w:p w14:paraId="5D43BEC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Z-1537</w:t>
            </w:r>
          </w:p>
        </w:tc>
        <w:tc>
          <w:tcPr>
            <w:tcW w:w="4820" w:type="dxa"/>
            <w:shd w:val="clear" w:color="auto" w:fill="auto"/>
            <w:noWrap/>
            <w:vAlign w:val="bottom"/>
            <w:hideMark/>
          </w:tcPr>
          <w:p w14:paraId="0AFBEA1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Gornje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Vrapče</w:t>
            </w:r>
            <w:proofErr w:type="spellEnd"/>
          </w:p>
        </w:tc>
        <w:tc>
          <w:tcPr>
            <w:tcW w:w="1984" w:type="dxa"/>
            <w:shd w:val="clear" w:color="auto" w:fill="auto"/>
            <w:vAlign w:val="bottom"/>
            <w:hideMark/>
          </w:tcPr>
          <w:p w14:paraId="7D4F19A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CEF22DC" w14:textId="77777777" w:rsidTr="0030688C">
        <w:trPr>
          <w:trHeight w:val="20"/>
        </w:trPr>
        <w:tc>
          <w:tcPr>
            <w:tcW w:w="846" w:type="dxa"/>
            <w:shd w:val="clear" w:color="auto" w:fill="auto"/>
            <w:noWrap/>
            <w:vAlign w:val="bottom"/>
            <w:hideMark/>
          </w:tcPr>
          <w:p w14:paraId="743F826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19</w:t>
            </w:r>
          </w:p>
        </w:tc>
        <w:tc>
          <w:tcPr>
            <w:tcW w:w="1417" w:type="dxa"/>
            <w:shd w:val="clear" w:color="auto" w:fill="auto"/>
            <w:vAlign w:val="bottom"/>
            <w:hideMark/>
          </w:tcPr>
          <w:p w14:paraId="4379AF9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Z-1536</w:t>
            </w:r>
          </w:p>
        </w:tc>
        <w:tc>
          <w:tcPr>
            <w:tcW w:w="4820" w:type="dxa"/>
            <w:shd w:val="clear" w:color="auto" w:fill="auto"/>
            <w:noWrap/>
            <w:vAlign w:val="bottom"/>
            <w:hideMark/>
          </w:tcPr>
          <w:p w14:paraId="2E51DA2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Zelena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potkova</w:t>
            </w:r>
            <w:proofErr w:type="spellEnd"/>
          </w:p>
        </w:tc>
        <w:tc>
          <w:tcPr>
            <w:tcW w:w="1984" w:type="dxa"/>
            <w:shd w:val="clear" w:color="auto" w:fill="auto"/>
            <w:vAlign w:val="bottom"/>
            <w:hideMark/>
          </w:tcPr>
          <w:p w14:paraId="152A905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9C47FFD" w14:textId="77777777" w:rsidTr="0030688C">
        <w:trPr>
          <w:trHeight w:val="20"/>
        </w:trPr>
        <w:tc>
          <w:tcPr>
            <w:tcW w:w="846" w:type="dxa"/>
            <w:shd w:val="clear" w:color="auto" w:fill="auto"/>
            <w:noWrap/>
            <w:vAlign w:val="bottom"/>
            <w:hideMark/>
          </w:tcPr>
          <w:p w14:paraId="1D19049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20</w:t>
            </w:r>
          </w:p>
        </w:tc>
        <w:tc>
          <w:tcPr>
            <w:tcW w:w="1417" w:type="dxa"/>
            <w:shd w:val="clear" w:color="auto" w:fill="auto"/>
            <w:vAlign w:val="bottom"/>
            <w:hideMark/>
          </w:tcPr>
          <w:p w14:paraId="63D14D2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Z-1534</w:t>
            </w:r>
          </w:p>
        </w:tc>
        <w:tc>
          <w:tcPr>
            <w:tcW w:w="4820" w:type="dxa"/>
            <w:shd w:val="clear" w:color="auto" w:fill="auto"/>
            <w:noWrap/>
            <w:vAlign w:val="bottom"/>
            <w:hideMark/>
          </w:tcPr>
          <w:p w14:paraId="6F898B2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Gradska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klaonica</w:t>
            </w:r>
            <w:proofErr w:type="spellEnd"/>
            <w:r w:rsidRPr="00CE124D">
              <w:rPr>
                <w:rFonts w:ascii="Calibri" w:eastAsia="Times New Roman" w:hAnsi="Calibri" w:cs="Calibri"/>
                <w:color w:val="000000"/>
                <w:sz w:val="16"/>
                <w:szCs w:val="16"/>
                <w:lang w:val="en-GB" w:eastAsia="hr-HR"/>
              </w:rPr>
              <w:t xml:space="preserve"> i </w:t>
            </w:r>
            <w:proofErr w:type="spellStart"/>
            <w:r w:rsidRPr="00CE124D">
              <w:rPr>
                <w:rFonts w:ascii="Calibri" w:eastAsia="Times New Roman" w:hAnsi="Calibri" w:cs="Calibri"/>
                <w:color w:val="000000"/>
                <w:sz w:val="16"/>
                <w:szCs w:val="16"/>
                <w:lang w:val="en-GB" w:eastAsia="hr-HR"/>
              </w:rPr>
              <w:t>stočna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tržnica</w:t>
            </w:r>
            <w:proofErr w:type="spellEnd"/>
          </w:p>
        </w:tc>
        <w:tc>
          <w:tcPr>
            <w:tcW w:w="1984" w:type="dxa"/>
            <w:shd w:val="clear" w:color="auto" w:fill="auto"/>
            <w:vAlign w:val="bottom"/>
            <w:hideMark/>
          </w:tcPr>
          <w:p w14:paraId="0AAC945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A610127" w14:textId="77777777" w:rsidTr="0030688C">
        <w:trPr>
          <w:trHeight w:val="20"/>
        </w:trPr>
        <w:tc>
          <w:tcPr>
            <w:tcW w:w="846" w:type="dxa"/>
            <w:shd w:val="clear" w:color="auto" w:fill="auto"/>
            <w:noWrap/>
            <w:vAlign w:val="bottom"/>
            <w:hideMark/>
          </w:tcPr>
          <w:p w14:paraId="226EDC56"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21</w:t>
            </w:r>
          </w:p>
        </w:tc>
        <w:tc>
          <w:tcPr>
            <w:tcW w:w="1417" w:type="dxa"/>
            <w:shd w:val="clear" w:color="auto" w:fill="auto"/>
            <w:vAlign w:val="bottom"/>
            <w:hideMark/>
          </w:tcPr>
          <w:p w14:paraId="1207976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Z-1531</w:t>
            </w:r>
          </w:p>
        </w:tc>
        <w:tc>
          <w:tcPr>
            <w:tcW w:w="4820" w:type="dxa"/>
            <w:shd w:val="clear" w:color="auto" w:fill="auto"/>
            <w:noWrap/>
            <w:vAlign w:val="bottom"/>
            <w:hideMark/>
          </w:tcPr>
          <w:p w14:paraId="4847FAD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Aerodrom</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Borongaj</w:t>
            </w:r>
            <w:proofErr w:type="spellEnd"/>
          </w:p>
        </w:tc>
        <w:tc>
          <w:tcPr>
            <w:tcW w:w="1984" w:type="dxa"/>
            <w:shd w:val="clear" w:color="auto" w:fill="auto"/>
            <w:vAlign w:val="bottom"/>
            <w:hideMark/>
          </w:tcPr>
          <w:p w14:paraId="0C6E312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0AC1B471" w14:textId="77777777" w:rsidTr="0030688C">
        <w:trPr>
          <w:trHeight w:val="20"/>
        </w:trPr>
        <w:tc>
          <w:tcPr>
            <w:tcW w:w="846" w:type="dxa"/>
            <w:shd w:val="clear" w:color="auto" w:fill="auto"/>
            <w:noWrap/>
            <w:vAlign w:val="bottom"/>
            <w:hideMark/>
          </w:tcPr>
          <w:p w14:paraId="767640C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22</w:t>
            </w:r>
          </w:p>
        </w:tc>
        <w:tc>
          <w:tcPr>
            <w:tcW w:w="1417" w:type="dxa"/>
            <w:shd w:val="clear" w:color="auto" w:fill="auto"/>
            <w:vAlign w:val="bottom"/>
            <w:hideMark/>
          </w:tcPr>
          <w:p w14:paraId="319F3B9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Z-1530</w:t>
            </w:r>
          </w:p>
        </w:tc>
        <w:tc>
          <w:tcPr>
            <w:tcW w:w="4820" w:type="dxa"/>
            <w:shd w:val="clear" w:color="auto" w:fill="auto"/>
            <w:noWrap/>
            <w:vAlign w:val="bottom"/>
            <w:hideMark/>
          </w:tcPr>
          <w:p w14:paraId="44BE56C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Željeznička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kolonija</w:t>
            </w:r>
            <w:proofErr w:type="spellEnd"/>
            <w:r w:rsidRPr="00CE124D">
              <w:rPr>
                <w:rFonts w:ascii="Calibri" w:eastAsia="Times New Roman" w:hAnsi="Calibri" w:cs="Calibri"/>
                <w:color w:val="000000"/>
                <w:sz w:val="16"/>
                <w:szCs w:val="16"/>
                <w:lang w:val="en-GB" w:eastAsia="hr-HR"/>
              </w:rPr>
              <w:t>"</w:t>
            </w:r>
          </w:p>
        </w:tc>
        <w:tc>
          <w:tcPr>
            <w:tcW w:w="1984" w:type="dxa"/>
            <w:shd w:val="clear" w:color="auto" w:fill="auto"/>
            <w:vAlign w:val="bottom"/>
            <w:hideMark/>
          </w:tcPr>
          <w:p w14:paraId="5514670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5CC9C70B" w14:textId="77777777" w:rsidTr="0030688C">
        <w:trPr>
          <w:trHeight w:val="20"/>
        </w:trPr>
        <w:tc>
          <w:tcPr>
            <w:tcW w:w="846" w:type="dxa"/>
            <w:shd w:val="clear" w:color="auto" w:fill="auto"/>
            <w:noWrap/>
            <w:vAlign w:val="bottom"/>
            <w:hideMark/>
          </w:tcPr>
          <w:p w14:paraId="4434034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23</w:t>
            </w:r>
          </w:p>
        </w:tc>
        <w:tc>
          <w:tcPr>
            <w:tcW w:w="1417" w:type="dxa"/>
            <w:shd w:val="clear" w:color="auto" w:fill="auto"/>
            <w:vAlign w:val="bottom"/>
            <w:hideMark/>
          </w:tcPr>
          <w:p w14:paraId="1A6FA04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Z-1526</w:t>
            </w:r>
          </w:p>
        </w:tc>
        <w:tc>
          <w:tcPr>
            <w:tcW w:w="4820" w:type="dxa"/>
            <w:shd w:val="clear" w:color="auto" w:fill="auto"/>
            <w:noWrap/>
            <w:vAlign w:val="bottom"/>
            <w:hideMark/>
          </w:tcPr>
          <w:p w14:paraId="47648E9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Kompleks</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groblja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Mirogoj</w:t>
            </w:r>
            <w:proofErr w:type="spellEnd"/>
          </w:p>
        </w:tc>
        <w:tc>
          <w:tcPr>
            <w:tcW w:w="1984" w:type="dxa"/>
            <w:shd w:val="clear" w:color="auto" w:fill="auto"/>
            <w:vAlign w:val="bottom"/>
            <w:hideMark/>
          </w:tcPr>
          <w:p w14:paraId="77BE5B8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5875427" w14:textId="77777777" w:rsidTr="0030688C">
        <w:trPr>
          <w:trHeight w:val="20"/>
        </w:trPr>
        <w:tc>
          <w:tcPr>
            <w:tcW w:w="846" w:type="dxa"/>
            <w:shd w:val="clear" w:color="auto" w:fill="auto"/>
            <w:noWrap/>
            <w:vAlign w:val="bottom"/>
            <w:hideMark/>
          </w:tcPr>
          <w:p w14:paraId="43E5E70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24</w:t>
            </w:r>
          </w:p>
        </w:tc>
        <w:tc>
          <w:tcPr>
            <w:tcW w:w="1417" w:type="dxa"/>
            <w:shd w:val="clear" w:color="auto" w:fill="auto"/>
            <w:vAlign w:val="bottom"/>
            <w:hideMark/>
          </w:tcPr>
          <w:p w14:paraId="65DC14C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Z-1535</w:t>
            </w:r>
          </w:p>
        </w:tc>
        <w:tc>
          <w:tcPr>
            <w:tcW w:w="4820" w:type="dxa"/>
            <w:shd w:val="clear" w:color="auto" w:fill="auto"/>
            <w:noWrap/>
            <w:vAlign w:val="bottom"/>
            <w:hideMark/>
          </w:tcPr>
          <w:p w14:paraId="471653C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Zakladni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blok</w:t>
            </w:r>
            <w:proofErr w:type="spellEnd"/>
          </w:p>
        </w:tc>
        <w:tc>
          <w:tcPr>
            <w:tcW w:w="1984" w:type="dxa"/>
            <w:shd w:val="clear" w:color="auto" w:fill="auto"/>
            <w:vAlign w:val="bottom"/>
            <w:hideMark/>
          </w:tcPr>
          <w:p w14:paraId="3E992E0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E47C1EB" w14:textId="77777777" w:rsidTr="0030688C">
        <w:trPr>
          <w:trHeight w:val="20"/>
        </w:trPr>
        <w:tc>
          <w:tcPr>
            <w:tcW w:w="846" w:type="dxa"/>
            <w:shd w:val="clear" w:color="auto" w:fill="auto"/>
            <w:noWrap/>
            <w:vAlign w:val="bottom"/>
            <w:hideMark/>
          </w:tcPr>
          <w:p w14:paraId="03B429F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25</w:t>
            </w:r>
          </w:p>
        </w:tc>
        <w:tc>
          <w:tcPr>
            <w:tcW w:w="1417" w:type="dxa"/>
            <w:shd w:val="clear" w:color="auto" w:fill="auto"/>
            <w:vAlign w:val="bottom"/>
            <w:hideMark/>
          </w:tcPr>
          <w:p w14:paraId="31B9F13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Z-1540</w:t>
            </w:r>
          </w:p>
        </w:tc>
        <w:tc>
          <w:tcPr>
            <w:tcW w:w="4820" w:type="dxa"/>
            <w:shd w:val="clear" w:color="auto" w:fill="auto"/>
            <w:noWrap/>
            <w:vAlign w:val="bottom"/>
            <w:hideMark/>
          </w:tcPr>
          <w:p w14:paraId="4567D60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Kompleks</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nekadašnje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Strojarnice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državne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željeznice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kasnije</w:t>
            </w:r>
            <w:proofErr w:type="spellEnd"/>
            <w:r w:rsidRPr="00CE124D">
              <w:rPr>
                <w:rFonts w:ascii="Calibri" w:eastAsia="Times New Roman" w:hAnsi="Calibri" w:cs="Calibri"/>
                <w:color w:val="000000"/>
                <w:sz w:val="16"/>
                <w:szCs w:val="16"/>
                <w:lang w:val="en-GB" w:eastAsia="hr-HR"/>
              </w:rPr>
              <w:t xml:space="preserve"> TŽV </w:t>
            </w:r>
            <w:proofErr w:type="spellStart"/>
            <w:r w:rsidRPr="00CE124D">
              <w:rPr>
                <w:rFonts w:ascii="Calibri" w:eastAsia="Times New Roman" w:hAnsi="Calibri" w:cs="Calibri"/>
                <w:color w:val="000000"/>
                <w:sz w:val="16"/>
                <w:szCs w:val="16"/>
                <w:lang w:val="en-GB" w:eastAsia="hr-HR"/>
              </w:rPr>
              <w:t>Gredelj</w:t>
            </w:r>
            <w:proofErr w:type="spellEnd"/>
            <w:r w:rsidRPr="00CE124D">
              <w:rPr>
                <w:rFonts w:ascii="Calibri" w:eastAsia="Times New Roman" w:hAnsi="Calibri" w:cs="Calibri"/>
                <w:color w:val="000000"/>
                <w:sz w:val="16"/>
                <w:szCs w:val="16"/>
                <w:lang w:val="en-GB" w:eastAsia="hr-HR"/>
              </w:rPr>
              <w:t xml:space="preserve">) </w:t>
            </w:r>
          </w:p>
        </w:tc>
        <w:tc>
          <w:tcPr>
            <w:tcW w:w="1984" w:type="dxa"/>
            <w:shd w:val="clear" w:color="auto" w:fill="auto"/>
            <w:vAlign w:val="bottom"/>
            <w:hideMark/>
          </w:tcPr>
          <w:p w14:paraId="3B8B68F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38D49B51" w14:textId="77777777" w:rsidTr="0030688C">
        <w:trPr>
          <w:trHeight w:val="20"/>
        </w:trPr>
        <w:tc>
          <w:tcPr>
            <w:tcW w:w="846" w:type="dxa"/>
            <w:shd w:val="clear" w:color="auto" w:fill="auto"/>
            <w:noWrap/>
            <w:vAlign w:val="bottom"/>
            <w:hideMark/>
          </w:tcPr>
          <w:p w14:paraId="51E758EB"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26</w:t>
            </w:r>
          </w:p>
        </w:tc>
        <w:tc>
          <w:tcPr>
            <w:tcW w:w="1417" w:type="dxa"/>
            <w:shd w:val="clear" w:color="auto" w:fill="auto"/>
            <w:vAlign w:val="bottom"/>
            <w:hideMark/>
          </w:tcPr>
          <w:p w14:paraId="334B15A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Z-1525</w:t>
            </w:r>
          </w:p>
        </w:tc>
        <w:tc>
          <w:tcPr>
            <w:tcW w:w="4820" w:type="dxa"/>
            <w:shd w:val="clear" w:color="auto" w:fill="auto"/>
            <w:noWrap/>
            <w:vAlign w:val="bottom"/>
            <w:hideMark/>
          </w:tcPr>
          <w:p w14:paraId="628A58D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gram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proofErr w:type="gram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Zagreba</w:t>
            </w:r>
            <w:proofErr w:type="spellEnd"/>
          </w:p>
        </w:tc>
        <w:tc>
          <w:tcPr>
            <w:tcW w:w="1984" w:type="dxa"/>
            <w:shd w:val="clear" w:color="auto" w:fill="auto"/>
            <w:vAlign w:val="bottom"/>
            <w:hideMark/>
          </w:tcPr>
          <w:p w14:paraId="707E501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1745D091" w14:textId="77777777" w:rsidTr="0030688C">
        <w:trPr>
          <w:trHeight w:val="20"/>
        </w:trPr>
        <w:tc>
          <w:tcPr>
            <w:tcW w:w="846" w:type="dxa"/>
            <w:shd w:val="clear" w:color="auto" w:fill="auto"/>
            <w:noWrap/>
            <w:vAlign w:val="bottom"/>
            <w:hideMark/>
          </w:tcPr>
          <w:p w14:paraId="4F57353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27</w:t>
            </w:r>
          </w:p>
        </w:tc>
        <w:tc>
          <w:tcPr>
            <w:tcW w:w="1417" w:type="dxa"/>
            <w:shd w:val="clear" w:color="auto" w:fill="auto"/>
            <w:vAlign w:val="bottom"/>
            <w:hideMark/>
          </w:tcPr>
          <w:p w14:paraId="5FA0463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Z-1527</w:t>
            </w:r>
          </w:p>
        </w:tc>
        <w:tc>
          <w:tcPr>
            <w:tcW w:w="4820" w:type="dxa"/>
            <w:shd w:val="clear" w:color="auto" w:fill="auto"/>
            <w:noWrap/>
            <w:vAlign w:val="bottom"/>
            <w:hideMark/>
          </w:tcPr>
          <w:p w14:paraId="22B23BF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Mjesto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povijesnih</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događaja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kompleks</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šume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Dotrščina</w:t>
            </w:r>
            <w:proofErr w:type="spellEnd"/>
          </w:p>
        </w:tc>
        <w:tc>
          <w:tcPr>
            <w:tcW w:w="1984" w:type="dxa"/>
            <w:shd w:val="clear" w:color="auto" w:fill="auto"/>
            <w:vAlign w:val="bottom"/>
            <w:hideMark/>
          </w:tcPr>
          <w:p w14:paraId="2AB25A7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28C75958" w14:textId="77777777" w:rsidTr="0030688C">
        <w:trPr>
          <w:trHeight w:val="20"/>
        </w:trPr>
        <w:tc>
          <w:tcPr>
            <w:tcW w:w="846" w:type="dxa"/>
            <w:shd w:val="clear" w:color="auto" w:fill="auto"/>
            <w:noWrap/>
            <w:vAlign w:val="bottom"/>
            <w:hideMark/>
          </w:tcPr>
          <w:p w14:paraId="6C5F00C6"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28</w:t>
            </w:r>
          </w:p>
        </w:tc>
        <w:tc>
          <w:tcPr>
            <w:tcW w:w="1417" w:type="dxa"/>
            <w:shd w:val="clear" w:color="auto" w:fill="auto"/>
            <w:vAlign w:val="bottom"/>
            <w:hideMark/>
          </w:tcPr>
          <w:p w14:paraId="13AD8B5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Z-1528</w:t>
            </w:r>
          </w:p>
        </w:tc>
        <w:tc>
          <w:tcPr>
            <w:tcW w:w="4820" w:type="dxa"/>
            <w:shd w:val="clear" w:color="auto" w:fill="auto"/>
            <w:noWrap/>
            <w:vAlign w:val="bottom"/>
            <w:hideMark/>
          </w:tcPr>
          <w:p w14:paraId="03C65EB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Park </w:t>
            </w:r>
            <w:proofErr w:type="spellStart"/>
            <w:r w:rsidRPr="00CE124D">
              <w:rPr>
                <w:rFonts w:ascii="Calibri" w:eastAsia="Times New Roman" w:hAnsi="Calibri" w:cs="Calibri"/>
                <w:color w:val="000000"/>
                <w:sz w:val="16"/>
                <w:szCs w:val="16"/>
                <w:lang w:val="en-GB" w:eastAsia="hr-HR"/>
              </w:rPr>
              <w:t>Maksimir</w:t>
            </w:r>
            <w:proofErr w:type="spellEnd"/>
          </w:p>
        </w:tc>
        <w:tc>
          <w:tcPr>
            <w:tcW w:w="1984" w:type="dxa"/>
            <w:shd w:val="clear" w:color="auto" w:fill="auto"/>
            <w:vAlign w:val="bottom"/>
            <w:hideMark/>
          </w:tcPr>
          <w:p w14:paraId="6C2D815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38486F2" w14:textId="77777777" w:rsidTr="0030688C">
        <w:trPr>
          <w:trHeight w:val="20"/>
        </w:trPr>
        <w:tc>
          <w:tcPr>
            <w:tcW w:w="846" w:type="dxa"/>
            <w:shd w:val="clear" w:color="auto" w:fill="auto"/>
            <w:noWrap/>
            <w:vAlign w:val="bottom"/>
            <w:hideMark/>
          </w:tcPr>
          <w:p w14:paraId="02BB591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29</w:t>
            </w:r>
          </w:p>
        </w:tc>
        <w:tc>
          <w:tcPr>
            <w:tcW w:w="1417" w:type="dxa"/>
            <w:shd w:val="clear" w:color="auto" w:fill="auto"/>
            <w:vAlign w:val="bottom"/>
            <w:hideMark/>
          </w:tcPr>
          <w:p w14:paraId="685686B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Z-1529</w:t>
            </w:r>
          </w:p>
        </w:tc>
        <w:tc>
          <w:tcPr>
            <w:tcW w:w="4820" w:type="dxa"/>
            <w:shd w:val="clear" w:color="auto" w:fill="auto"/>
            <w:noWrap/>
            <w:vAlign w:val="bottom"/>
            <w:hideMark/>
          </w:tcPr>
          <w:p w14:paraId="5A7A60B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Podsuseda</w:t>
            </w:r>
            <w:proofErr w:type="spellEnd"/>
          </w:p>
        </w:tc>
        <w:tc>
          <w:tcPr>
            <w:tcW w:w="1984" w:type="dxa"/>
            <w:shd w:val="clear" w:color="auto" w:fill="auto"/>
            <w:vAlign w:val="bottom"/>
            <w:hideMark/>
          </w:tcPr>
          <w:p w14:paraId="23DD153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00F9933E" w14:textId="77777777" w:rsidTr="0030688C">
        <w:trPr>
          <w:trHeight w:val="20"/>
        </w:trPr>
        <w:tc>
          <w:tcPr>
            <w:tcW w:w="846" w:type="dxa"/>
            <w:shd w:val="clear" w:color="auto" w:fill="auto"/>
            <w:noWrap/>
            <w:vAlign w:val="bottom"/>
            <w:hideMark/>
          </w:tcPr>
          <w:p w14:paraId="3E39DE3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30</w:t>
            </w:r>
          </w:p>
        </w:tc>
        <w:tc>
          <w:tcPr>
            <w:tcW w:w="1417" w:type="dxa"/>
            <w:shd w:val="clear" w:color="auto" w:fill="auto"/>
            <w:vAlign w:val="bottom"/>
            <w:hideMark/>
          </w:tcPr>
          <w:p w14:paraId="4D0D9D0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Z-2158</w:t>
            </w:r>
          </w:p>
        </w:tc>
        <w:tc>
          <w:tcPr>
            <w:tcW w:w="4820" w:type="dxa"/>
            <w:shd w:val="clear" w:color="auto" w:fill="auto"/>
            <w:noWrap/>
            <w:vAlign w:val="bottom"/>
            <w:hideMark/>
          </w:tcPr>
          <w:p w14:paraId="1E4EA56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Cerje</w:t>
            </w:r>
            <w:proofErr w:type="spellEnd"/>
          </w:p>
        </w:tc>
        <w:tc>
          <w:tcPr>
            <w:tcW w:w="1984" w:type="dxa"/>
            <w:shd w:val="clear" w:color="auto" w:fill="auto"/>
            <w:vAlign w:val="bottom"/>
            <w:hideMark/>
          </w:tcPr>
          <w:p w14:paraId="4A2B7A2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Cerje</w:t>
            </w:r>
            <w:proofErr w:type="spellEnd"/>
          </w:p>
        </w:tc>
      </w:tr>
      <w:tr w:rsidR="00D461DB" w:rsidRPr="00CE124D" w14:paraId="15B74285" w14:textId="77777777" w:rsidTr="0030688C">
        <w:trPr>
          <w:trHeight w:val="20"/>
        </w:trPr>
        <w:tc>
          <w:tcPr>
            <w:tcW w:w="846" w:type="dxa"/>
            <w:shd w:val="clear" w:color="auto" w:fill="auto"/>
            <w:noWrap/>
            <w:vAlign w:val="bottom"/>
            <w:hideMark/>
          </w:tcPr>
          <w:p w14:paraId="0192750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31</w:t>
            </w:r>
          </w:p>
        </w:tc>
        <w:tc>
          <w:tcPr>
            <w:tcW w:w="1417" w:type="dxa"/>
            <w:shd w:val="clear" w:color="auto" w:fill="auto"/>
            <w:vAlign w:val="bottom"/>
            <w:hideMark/>
          </w:tcPr>
          <w:p w14:paraId="6AA0A6F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Z-2160</w:t>
            </w:r>
          </w:p>
        </w:tc>
        <w:tc>
          <w:tcPr>
            <w:tcW w:w="4820" w:type="dxa"/>
            <w:shd w:val="clear" w:color="auto" w:fill="auto"/>
            <w:noWrap/>
            <w:vAlign w:val="bottom"/>
            <w:hideMark/>
          </w:tcPr>
          <w:p w14:paraId="303369F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Resnik</w:t>
            </w:r>
          </w:p>
        </w:tc>
        <w:tc>
          <w:tcPr>
            <w:tcW w:w="1984" w:type="dxa"/>
            <w:shd w:val="clear" w:color="auto" w:fill="auto"/>
            <w:vAlign w:val="bottom"/>
            <w:hideMark/>
          </w:tcPr>
          <w:p w14:paraId="3F75652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54DCB3C5" w14:textId="77777777" w:rsidTr="0030688C">
        <w:trPr>
          <w:trHeight w:val="20"/>
        </w:trPr>
        <w:tc>
          <w:tcPr>
            <w:tcW w:w="846" w:type="dxa"/>
            <w:shd w:val="clear" w:color="auto" w:fill="auto"/>
            <w:noWrap/>
            <w:vAlign w:val="bottom"/>
            <w:hideMark/>
          </w:tcPr>
          <w:p w14:paraId="327FB39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32</w:t>
            </w:r>
          </w:p>
        </w:tc>
        <w:tc>
          <w:tcPr>
            <w:tcW w:w="1417" w:type="dxa"/>
            <w:shd w:val="clear" w:color="auto" w:fill="auto"/>
            <w:vAlign w:val="bottom"/>
            <w:hideMark/>
          </w:tcPr>
          <w:p w14:paraId="681AA34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Z-1543</w:t>
            </w:r>
          </w:p>
        </w:tc>
        <w:tc>
          <w:tcPr>
            <w:tcW w:w="4820" w:type="dxa"/>
            <w:shd w:val="clear" w:color="auto" w:fill="auto"/>
            <w:noWrap/>
            <w:vAlign w:val="bottom"/>
            <w:hideMark/>
          </w:tcPr>
          <w:p w14:paraId="60F7477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Cvjetno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naselje</w:t>
            </w:r>
            <w:proofErr w:type="spellEnd"/>
          </w:p>
        </w:tc>
        <w:tc>
          <w:tcPr>
            <w:tcW w:w="1984" w:type="dxa"/>
            <w:shd w:val="clear" w:color="auto" w:fill="auto"/>
            <w:vAlign w:val="bottom"/>
            <w:hideMark/>
          </w:tcPr>
          <w:p w14:paraId="097E7F0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62EEEDFA" w14:textId="77777777" w:rsidTr="0030688C">
        <w:trPr>
          <w:trHeight w:val="20"/>
        </w:trPr>
        <w:tc>
          <w:tcPr>
            <w:tcW w:w="846" w:type="dxa"/>
            <w:shd w:val="clear" w:color="auto" w:fill="auto"/>
            <w:noWrap/>
            <w:vAlign w:val="bottom"/>
            <w:hideMark/>
          </w:tcPr>
          <w:p w14:paraId="31E9603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33</w:t>
            </w:r>
          </w:p>
        </w:tc>
        <w:tc>
          <w:tcPr>
            <w:tcW w:w="1417" w:type="dxa"/>
            <w:shd w:val="clear" w:color="auto" w:fill="auto"/>
            <w:vAlign w:val="bottom"/>
            <w:hideMark/>
          </w:tcPr>
          <w:p w14:paraId="611BE02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Z-2162</w:t>
            </w:r>
          </w:p>
        </w:tc>
        <w:tc>
          <w:tcPr>
            <w:tcW w:w="4820" w:type="dxa"/>
            <w:shd w:val="clear" w:color="auto" w:fill="auto"/>
            <w:noWrap/>
            <w:vAlign w:val="bottom"/>
            <w:hideMark/>
          </w:tcPr>
          <w:p w14:paraId="0574679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Moravče</w:t>
            </w:r>
            <w:proofErr w:type="spellEnd"/>
          </w:p>
        </w:tc>
        <w:tc>
          <w:tcPr>
            <w:tcW w:w="1984" w:type="dxa"/>
            <w:shd w:val="clear" w:color="auto" w:fill="auto"/>
            <w:vAlign w:val="bottom"/>
            <w:hideMark/>
          </w:tcPr>
          <w:p w14:paraId="5DB77AC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Moravče</w:t>
            </w:r>
            <w:proofErr w:type="spellEnd"/>
          </w:p>
        </w:tc>
      </w:tr>
      <w:tr w:rsidR="00D461DB" w:rsidRPr="00CE124D" w14:paraId="618A425E" w14:textId="77777777" w:rsidTr="0030688C">
        <w:trPr>
          <w:trHeight w:val="20"/>
        </w:trPr>
        <w:tc>
          <w:tcPr>
            <w:tcW w:w="846" w:type="dxa"/>
            <w:shd w:val="clear" w:color="auto" w:fill="auto"/>
            <w:noWrap/>
            <w:vAlign w:val="bottom"/>
            <w:hideMark/>
          </w:tcPr>
          <w:p w14:paraId="032C720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34</w:t>
            </w:r>
          </w:p>
        </w:tc>
        <w:tc>
          <w:tcPr>
            <w:tcW w:w="1417" w:type="dxa"/>
            <w:shd w:val="clear" w:color="auto" w:fill="auto"/>
            <w:vAlign w:val="bottom"/>
            <w:hideMark/>
          </w:tcPr>
          <w:p w14:paraId="5B203B9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Z-2159</w:t>
            </w:r>
          </w:p>
        </w:tc>
        <w:tc>
          <w:tcPr>
            <w:tcW w:w="4820" w:type="dxa"/>
            <w:shd w:val="clear" w:color="auto" w:fill="auto"/>
            <w:noWrap/>
            <w:vAlign w:val="bottom"/>
            <w:hideMark/>
          </w:tcPr>
          <w:p w14:paraId="7E9A9B5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Šašinovec</w:t>
            </w:r>
            <w:proofErr w:type="spellEnd"/>
          </w:p>
        </w:tc>
        <w:tc>
          <w:tcPr>
            <w:tcW w:w="1984" w:type="dxa"/>
            <w:shd w:val="clear" w:color="auto" w:fill="auto"/>
            <w:vAlign w:val="bottom"/>
            <w:hideMark/>
          </w:tcPr>
          <w:p w14:paraId="0C45819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Šašinovec</w:t>
            </w:r>
            <w:proofErr w:type="spellEnd"/>
          </w:p>
        </w:tc>
      </w:tr>
      <w:tr w:rsidR="00D461DB" w:rsidRPr="00CE124D" w14:paraId="15FF6BC5" w14:textId="77777777" w:rsidTr="0030688C">
        <w:trPr>
          <w:trHeight w:val="20"/>
        </w:trPr>
        <w:tc>
          <w:tcPr>
            <w:tcW w:w="846" w:type="dxa"/>
            <w:shd w:val="clear" w:color="auto" w:fill="auto"/>
            <w:noWrap/>
            <w:vAlign w:val="bottom"/>
            <w:hideMark/>
          </w:tcPr>
          <w:p w14:paraId="1021044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35</w:t>
            </w:r>
          </w:p>
        </w:tc>
        <w:tc>
          <w:tcPr>
            <w:tcW w:w="1417" w:type="dxa"/>
            <w:shd w:val="clear" w:color="auto" w:fill="auto"/>
            <w:vAlign w:val="bottom"/>
            <w:hideMark/>
          </w:tcPr>
          <w:p w14:paraId="5DAE533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Z-1542</w:t>
            </w:r>
          </w:p>
        </w:tc>
        <w:tc>
          <w:tcPr>
            <w:tcW w:w="4820" w:type="dxa"/>
            <w:shd w:val="clear" w:color="auto" w:fill="auto"/>
            <w:noWrap/>
            <w:vAlign w:val="bottom"/>
            <w:hideMark/>
          </w:tcPr>
          <w:p w14:paraId="03BA3D2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 "Prva </w:t>
            </w:r>
            <w:proofErr w:type="spellStart"/>
            <w:r w:rsidRPr="00CE124D">
              <w:rPr>
                <w:rFonts w:ascii="Calibri" w:eastAsia="Times New Roman" w:hAnsi="Calibri" w:cs="Calibri"/>
                <w:color w:val="000000"/>
                <w:sz w:val="16"/>
                <w:szCs w:val="16"/>
                <w:lang w:val="en-GB" w:eastAsia="hr-HR"/>
              </w:rPr>
              <w:t>hrvatska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štedionica</w:t>
            </w:r>
            <w:proofErr w:type="spellEnd"/>
            <w:r w:rsidRPr="00CE124D">
              <w:rPr>
                <w:rFonts w:ascii="Calibri" w:eastAsia="Times New Roman" w:hAnsi="Calibri" w:cs="Calibri"/>
                <w:color w:val="000000"/>
                <w:sz w:val="16"/>
                <w:szCs w:val="16"/>
                <w:lang w:val="en-GB" w:eastAsia="hr-HR"/>
              </w:rPr>
              <w:t>"</w:t>
            </w:r>
          </w:p>
        </w:tc>
        <w:tc>
          <w:tcPr>
            <w:tcW w:w="1984" w:type="dxa"/>
            <w:shd w:val="clear" w:color="auto" w:fill="auto"/>
            <w:vAlign w:val="bottom"/>
            <w:hideMark/>
          </w:tcPr>
          <w:p w14:paraId="1AC86CB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278DA061" w14:textId="77777777" w:rsidTr="0030688C">
        <w:trPr>
          <w:trHeight w:val="20"/>
        </w:trPr>
        <w:tc>
          <w:tcPr>
            <w:tcW w:w="846" w:type="dxa"/>
            <w:shd w:val="clear" w:color="auto" w:fill="auto"/>
            <w:noWrap/>
            <w:vAlign w:val="bottom"/>
            <w:hideMark/>
          </w:tcPr>
          <w:p w14:paraId="02D61C64"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36</w:t>
            </w:r>
          </w:p>
        </w:tc>
        <w:tc>
          <w:tcPr>
            <w:tcW w:w="1417" w:type="dxa"/>
            <w:shd w:val="clear" w:color="auto" w:fill="auto"/>
            <w:vAlign w:val="bottom"/>
            <w:hideMark/>
          </w:tcPr>
          <w:p w14:paraId="6B0BE82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P-5463</w:t>
            </w:r>
          </w:p>
        </w:tc>
        <w:tc>
          <w:tcPr>
            <w:tcW w:w="4820" w:type="dxa"/>
            <w:shd w:val="clear" w:color="auto" w:fill="auto"/>
            <w:noWrap/>
            <w:vAlign w:val="bottom"/>
            <w:hideMark/>
          </w:tcPr>
          <w:p w14:paraId="42D68A2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Rezidencijalni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kompleks</w:t>
            </w:r>
            <w:proofErr w:type="spellEnd"/>
            <w:r w:rsidRPr="00CE124D">
              <w:rPr>
                <w:rFonts w:ascii="Calibri" w:eastAsia="Times New Roman" w:hAnsi="Calibri" w:cs="Calibri"/>
                <w:color w:val="000000"/>
                <w:sz w:val="16"/>
                <w:szCs w:val="16"/>
                <w:lang w:val="en-GB" w:eastAsia="hr-HR"/>
              </w:rPr>
              <w:t xml:space="preserve"> s park </w:t>
            </w:r>
            <w:proofErr w:type="spellStart"/>
            <w:r w:rsidRPr="00CE124D">
              <w:rPr>
                <w:rFonts w:ascii="Calibri" w:eastAsia="Times New Roman" w:hAnsi="Calibri" w:cs="Calibri"/>
                <w:color w:val="000000"/>
                <w:sz w:val="16"/>
                <w:szCs w:val="16"/>
                <w:lang w:val="en-GB" w:eastAsia="hr-HR"/>
              </w:rPr>
              <w:t>šumom</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Pantovčaku</w:t>
            </w:r>
            <w:proofErr w:type="spellEnd"/>
          </w:p>
        </w:tc>
        <w:tc>
          <w:tcPr>
            <w:tcW w:w="1984" w:type="dxa"/>
            <w:shd w:val="clear" w:color="auto" w:fill="auto"/>
            <w:vAlign w:val="bottom"/>
            <w:hideMark/>
          </w:tcPr>
          <w:p w14:paraId="3B7F8E9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Zagreb</w:t>
            </w:r>
          </w:p>
        </w:tc>
      </w:tr>
      <w:tr w:rsidR="00D461DB" w:rsidRPr="00CE124D" w14:paraId="7F330886" w14:textId="77777777" w:rsidTr="0030688C">
        <w:trPr>
          <w:trHeight w:val="20"/>
        </w:trPr>
        <w:tc>
          <w:tcPr>
            <w:tcW w:w="9067" w:type="dxa"/>
            <w:gridSpan w:val="4"/>
            <w:shd w:val="clear" w:color="000000" w:fill="FFF2CC"/>
            <w:noWrap/>
            <w:vAlign w:val="center"/>
          </w:tcPr>
          <w:p w14:paraId="7F4E703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Zagreb County</w:t>
            </w:r>
          </w:p>
        </w:tc>
      </w:tr>
      <w:tr w:rsidR="00D461DB" w:rsidRPr="00CE124D" w14:paraId="5682ED37" w14:textId="77777777" w:rsidTr="0030688C">
        <w:trPr>
          <w:trHeight w:val="20"/>
        </w:trPr>
        <w:tc>
          <w:tcPr>
            <w:tcW w:w="846" w:type="dxa"/>
            <w:shd w:val="clear" w:color="000000" w:fill="FFF2CC"/>
            <w:noWrap/>
            <w:vAlign w:val="center"/>
            <w:hideMark/>
          </w:tcPr>
          <w:p w14:paraId="63DAFF4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Number</w:t>
            </w:r>
          </w:p>
        </w:tc>
        <w:tc>
          <w:tcPr>
            <w:tcW w:w="1417" w:type="dxa"/>
            <w:shd w:val="clear" w:color="000000" w:fill="FFF2CC"/>
            <w:noWrap/>
            <w:vAlign w:val="center"/>
            <w:hideMark/>
          </w:tcPr>
          <w:p w14:paraId="638037B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Register number</w:t>
            </w:r>
          </w:p>
        </w:tc>
        <w:tc>
          <w:tcPr>
            <w:tcW w:w="4820" w:type="dxa"/>
            <w:shd w:val="clear" w:color="000000" w:fill="FFF2CC"/>
            <w:noWrap/>
            <w:vAlign w:val="center"/>
            <w:hideMark/>
          </w:tcPr>
          <w:p w14:paraId="48E610B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Name of the cultural heritage</w:t>
            </w:r>
          </w:p>
        </w:tc>
        <w:tc>
          <w:tcPr>
            <w:tcW w:w="1984" w:type="dxa"/>
            <w:shd w:val="clear" w:color="000000" w:fill="FFF2CC"/>
            <w:noWrap/>
            <w:vAlign w:val="center"/>
            <w:hideMark/>
          </w:tcPr>
          <w:p w14:paraId="3D1B2C6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proofErr w:type="spellStart"/>
            <w:r w:rsidRPr="00CE124D">
              <w:rPr>
                <w:rFonts w:ascii="Calibri" w:eastAsia="Times New Roman" w:hAnsi="Calibri" w:cs="Calibri"/>
                <w:b/>
                <w:bCs/>
                <w:color w:val="000000"/>
                <w:sz w:val="16"/>
                <w:szCs w:val="16"/>
                <w:lang w:val="en-GB" w:eastAsia="hr-HR"/>
              </w:rPr>
              <w:t>Adress</w:t>
            </w:r>
            <w:proofErr w:type="spellEnd"/>
          </w:p>
        </w:tc>
      </w:tr>
      <w:tr w:rsidR="00D461DB" w:rsidRPr="00CE124D" w14:paraId="3FCE27B1" w14:textId="77777777" w:rsidTr="0030688C">
        <w:trPr>
          <w:trHeight w:val="20"/>
        </w:trPr>
        <w:tc>
          <w:tcPr>
            <w:tcW w:w="846" w:type="dxa"/>
            <w:shd w:val="clear" w:color="auto" w:fill="auto"/>
            <w:noWrap/>
            <w:vAlign w:val="bottom"/>
            <w:hideMark/>
          </w:tcPr>
          <w:p w14:paraId="77D33E9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w:t>
            </w:r>
          </w:p>
        </w:tc>
        <w:tc>
          <w:tcPr>
            <w:tcW w:w="1417" w:type="dxa"/>
            <w:shd w:val="clear" w:color="auto" w:fill="auto"/>
            <w:vAlign w:val="bottom"/>
            <w:hideMark/>
          </w:tcPr>
          <w:p w14:paraId="7E15A22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Z-3833</w:t>
            </w:r>
          </w:p>
        </w:tc>
        <w:tc>
          <w:tcPr>
            <w:tcW w:w="4820" w:type="dxa"/>
            <w:shd w:val="clear" w:color="auto" w:fill="auto"/>
            <w:noWrap/>
            <w:vAlign w:val="bottom"/>
            <w:hideMark/>
          </w:tcPr>
          <w:p w14:paraId="1EFB07C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Donja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Pušća</w:t>
            </w:r>
            <w:proofErr w:type="spellEnd"/>
          </w:p>
        </w:tc>
        <w:tc>
          <w:tcPr>
            <w:tcW w:w="1984" w:type="dxa"/>
            <w:shd w:val="clear" w:color="auto" w:fill="auto"/>
            <w:vAlign w:val="bottom"/>
            <w:hideMark/>
          </w:tcPr>
          <w:p w14:paraId="1F66A4D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Donja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Pušća</w:t>
            </w:r>
            <w:proofErr w:type="spellEnd"/>
          </w:p>
        </w:tc>
      </w:tr>
      <w:tr w:rsidR="00D461DB" w:rsidRPr="00CE124D" w14:paraId="64EEECD7" w14:textId="77777777" w:rsidTr="0030688C">
        <w:trPr>
          <w:trHeight w:val="20"/>
        </w:trPr>
        <w:tc>
          <w:tcPr>
            <w:tcW w:w="846" w:type="dxa"/>
            <w:shd w:val="clear" w:color="auto" w:fill="auto"/>
            <w:noWrap/>
            <w:vAlign w:val="bottom"/>
            <w:hideMark/>
          </w:tcPr>
          <w:p w14:paraId="62D5808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w:t>
            </w:r>
          </w:p>
        </w:tc>
        <w:tc>
          <w:tcPr>
            <w:tcW w:w="1417" w:type="dxa"/>
            <w:shd w:val="clear" w:color="auto" w:fill="auto"/>
            <w:vAlign w:val="bottom"/>
            <w:hideMark/>
          </w:tcPr>
          <w:p w14:paraId="33AF881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Z-6402</w:t>
            </w:r>
          </w:p>
        </w:tc>
        <w:tc>
          <w:tcPr>
            <w:tcW w:w="4820" w:type="dxa"/>
            <w:shd w:val="clear" w:color="auto" w:fill="auto"/>
            <w:noWrap/>
            <w:vAlign w:val="bottom"/>
            <w:hideMark/>
          </w:tcPr>
          <w:p w14:paraId="7005A3A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Sveta </w:t>
            </w:r>
            <w:proofErr w:type="spellStart"/>
            <w:r w:rsidRPr="00CE124D">
              <w:rPr>
                <w:rFonts w:ascii="Calibri" w:eastAsia="Times New Roman" w:hAnsi="Calibri" w:cs="Calibri"/>
                <w:color w:val="000000"/>
                <w:sz w:val="16"/>
                <w:szCs w:val="16"/>
                <w:lang w:val="en-GB" w:eastAsia="hr-HR"/>
              </w:rPr>
              <w:t>Nedelja</w:t>
            </w:r>
            <w:proofErr w:type="spellEnd"/>
          </w:p>
        </w:tc>
        <w:tc>
          <w:tcPr>
            <w:tcW w:w="1984" w:type="dxa"/>
            <w:shd w:val="clear" w:color="auto" w:fill="auto"/>
            <w:vAlign w:val="bottom"/>
            <w:hideMark/>
          </w:tcPr>
          <w:p w14:paraId="2364968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Sveta </w:t>
            </w:r>
            <w:proofErr w:type="spellStart"/>
            <w:r w:rsidRPr="00CE124D">
              <w:rPr>
                <w:rFonts w:ascii="Calibri" w:eastAsia="Times New Roman" w:hAnsi="Calibri" w:cs="Calibri"/>
                <w:color w:val="000000"/>
                <w:sz w:val="16"/>
                <w:szCs w:val="16"/>
                <w:lang w:val="en-GB" w:eastAsia="hr-HR"/>
              </w:rPr>
              <w:t>Nedelja</w:t>
            </w:r>
            <w:proofErr w:type="spellEnd"/>
          </w:p>
        </w:tc>
      </w:tr>
      <w:tr w:rsidR="00D461DB" w:rsidRPr="00CE124D" w14:paraId="416DBF8F" w14:textId="77777777" w:rsidTr="0030688C">
        <w:trPr>
          <w:trHeight w:val="20"/>
        </w:trPr>
        <w:tc>
          <w:tcPr>
            <w:tcW w:w="846" w:type="dxa"/>
            <w:shd w:val="clear" w:color="auto" w:fill="auto"/>
            <w:noWrap/>
            <w:vAlign w:val="bottom"/>
            <w:hideMark/>
          </w:tcPr>
          <w:p w14:paraId="3D00D85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w:t>
            </w:r>
          </w:p>
        </w:tc>
        <w:tc>
          <w:tcPr>
            <w:tcW w:w="1417" w:type="dxa"/>
            <w:shd w:val="clear" w:color="auto" w:fill="auto"/>
            <w:vAlign w:val="bottom"/>
            <w:hideMark/>
          </w:tcPr>
          <w:p w14:paraId="64791C9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Z-3532</w:t>
            </w:r>
          </w:p>
        </w:tc>
        <w:tc>
          <w:tcPr>
            <w:tcW w:w="4820" w:type="dxa"/>
            <w:shd w:val="clear" w:color="auto" w:fill="auto"/>
            <w:noWrap/>
            <w:vAlign w:val="bottom"/>
            <w:hideMark/>
          </w:tcPr>
          <w:p w14:paraId="154B68B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Sveti</w:t>
            </w:r>
            <w:proofErr w:type="spellEnd"/>
            <w:r w:rsidRPr="00CE124D">
              <w:rPr>
                <w:rFonts w:ascii="Calibri" w:eastAsia="Times New Roman" w:hAnsi="Calibri" w:cs="Calibri"/>
                <w:color w:val="000000"/>
                <w:sz w:val="16"/>
                <w:szCs w:val="16"/>
                <w:lang w:val="en-GB" w:eastAsia="hr-HR"/>
              </w:rPr>
              <w:t xml:space="preserve"> Ivan </w:t>
            </w:r>
            <w:proofErr w:type="spellStart"/>
            <w:r w:rsidRPr="00CE124D">
              <w:rPr>
                <w:rFonts w:ascii="Calibri" w:eastAsia="Times New Roman" w:hAnsi="Calibri" w:cs="Calibri"/>
                <w:color w:val="000000"/>
                <w:sz w:val="16"/>
                <w:szCs w:val="16"/>
                <w:lang w:val="en-GB" w:eastAsia="hr-HR"/>
              </w:rPr>
              <w:t>Zelina</w:t>
            </w:r>
            <w:proofErr w:type="spellEnd"/>
          </w:p>
        </w:tc>
        <w:tc>
          <w:tcPr>
            <w:tcW w:w="1984" w:type="dxa"/>
            <w:shd w:val="clear" w:color="auto" w:fill="auto"/>
            <w:vAlign w:val="bottom"/>
            <w:hideMark/>
          </w:tcPr>
          <w:p w14:paraId="08FBDD8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Sveti</w:t>
            </w:r>
            <w:proofErr w:type="spellEnd"/>
            <w:r w:rsidRPr="00CE124D">
              <w:rPr>
                <w:rFonts w:ascii="Calibri" w:eastAsia="Times New Roman" w:hAnsi="Calibri" w:cs="Calibri"/>
                <w:color w:val="000000"/>
                <w:sz w:val="16"/>
                <w:szCs w:val="16"/>
                <w:lang w:val="en-GB" w:eastAsia="hr-HR"/>
              </w:rPr>
              <w:t xml:space="preserve"> Ivan </w:t>
            </w:r>
            <w:proofErr w:type="spellStart"/>
            <w:r w:rsidRPr="00CE124D">
              <w:rPr>
                <w:rFonts w:ascii="Calibri" w:eastAsia="Times New Roman" w:hAnsi="Calibri" w:cs="Calibri"/>
                <w:color w:val="000000"/>
                <w:sz w:val="16"/>
                <w:szCs w:val="16"/>
                <w:lang w:val="en-GB" w:eastAsia="hr-HR"/>
              </w:rPr>
              <w:t>Zelina</w:t>
            </w:r>
            <w:proofErr w:type="spellEnd"/>
          </w:p>
        </w:tc>
      </w:tr>
      <w:tr w:rsidR="00D461DB" w:rsidRPr="00CE124D" w14:paraId="1B0B79CC" w14:textId="77777777" w:rsidTr="0030688C">
        <w:trPr>
          <w:trHeight w:val="20"/>
        </w:trPr>
        <w:tc>
          <w:tcPr>
            <w:tcW w:w="846" w:type="dxa"/>
            <w:shd w:val="clear" w:color="auto" w:fill="auto"/>
            <w:noWrap/>
            <w:vAlign w:val="bottom"/>
            <w:hideMark/>
          </w:tcPr>
          <w:p w14:paraId="2A5AAA0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4</w:t>
            </w:r>
          </w:p>
        </w:tc>
        <w:tc>
          <w:tcPr>
            <w:tcW w:w="1417" w:type="dxa"/>
            <w:shd w:val="clear" w:color="auto" w:fill="auto"/>
            <w:vAlign w:val="bottom"/>
            <w:hideMark/>
          </w:tcPr>
          <w:p w14:paraId="733A1A5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Z-3258</w:t>
            </w:r>
          </w:p>
        </w:tc>
        <w:tc>
          <w:tcPr>
            <w:tcW w:w="4820" w:type="dxa"/>
            <w:shd w:val="clear" w:color="auto" w:fill="auto"/>
            <w:noWrap/>
            <w:vAlign w:val="bottom"/>
            <w:hideMark/>
          </w:tcPr>
          <w:p w14:paraId="1711A49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Ruralna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p>
        </w:tc>
        <w:tc>
          <w:tcPr>
            <w:tcW w:w="1984" w:type="dxa"/>
            <w:shd w:val="clear" w:color="auto" w:fill="auto"/>
            <w:vAlign w:val="bottom"/>
            <w:hideMark/>
          </w:tcPr>
          <w:p w14:paraId="1AE33F9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Gustelnica</w:t>
            </w:r>
            <w:proofErr w:type="spellEnd"/>
          </w:p>
        </w:tc>
      </w:tr>
      <w:tr w:rsidR="00D461DB" w:rsidRPr="00CE124D" w14:paraId="2E786CB6" w14:textId="77777777" w:rsidTr="0030688C">
        <w:trPr>
          <w:trHeight w:val="20"/>
        </w:trPr>
        <w:tc>
          <w:tcPr>
            <w:tcW w:w="846" w:type="dxa"/>
            <w:shd w:val="clear" w:color="auto" w:fill="auto"/>
            <w:noWrap/>
            <w:vAlign w:val="bottom"/>
            <w:hideMark/>
          </w:tcPr>
          <w:p w14:paraId="224C36D7"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5</w:t>
            </w:r>
          </w:p>
        </w:tc>
        <w:tc>
          <w:tcPr>
            <w:tcW w:w="1417" w:type="dxa"/>
            <w:shd w:val="clear" w:color="auto" w:fill="auto"/>
            <w:vAlign w:val="bottom"/>
            <w:hideMark/>
          </w:tcPr>
          <w:p w14:paraId="60E0A4A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Z-4188</w:t>
            </w:r>
          </w:p>
        </w:tc>
        <w:tc>
          <w:tcPr>
            <w:tcW w:w="4820" w:type="dxa"/>
            <w:shd w:val="clear" w:color="auto" w:fill="auto"/>
            <w:noWrap/>
            <w:vAlign w:val="bottom"/>
            <w:hideMark/>
          </w:tcPr>
          <w:p w14:paraId="25189C1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Velike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Gorice</w:t>
            </w:r>
            <w:proofErr w:type="spellEnd"/>
          </w:p>
        </w:tc>
        <w:tc>
          <w:tcPr>
            <w:tcW w:w="1984" w:type="dxa"/>
            <w:shd w:val="clear" w:color="auto" w:fill="auto"/>
            <w:vAlign w:val="bottom"/>
            <w:hideMark/>
          </w:tcPr>
          <w:p w14:paraId="3C29E66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Velika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Gorica</w:t>
            </w:r>
            <w:proofErr w:type="spellEnd"/>
          </w:p>
        </w:tc>
      </w:tr>
      <w:tr w:rsidR="00D461DB" w:rsidRPr="00CE124D" w14:paraId="0A241027" w14:textId="77777777" w:rsidTr="0030688C">
        <w:trPr>
          <w:trHeight w:val="20"/>
        </w:trPr>
        <w:tc>
          <w:tcPr>
            <w:tcW w:w="846" w:type="dxa"/>
            <w:shd w:val="clear" w:color="auto" w:fill="auto"/>
            <w:noWrap/>
            <w:vAlign w:val="bottom"/>
            <w:hideMark/>
          </w:tcPr>
          <w:p w14:paraId="5CEF488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6</w:t>
            </w:r>
          </w:p>
        </w:tc>
        <w:tc>
          <w:tcPr>
            <w:tcW w:w="1417" w:type="dxa"/>
            <w:shd w:val="clear" w:color="auto" w:fill="auto"/>
            <w:vAlign w:val="bottom"/>
            <w:hideMark/>
          </w:tcPr>
          <w:p w14:paraId="62BF192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Z-4000</w:t>
            </w:r>
          </w:p>
        </w:tc>
        <w:tc>
          <w:tcPr>
            <w:tcW w:w="4820" w:type="dxa"/>
            <w:shd w:val="clear" w:color="auto" w:fill="auto"/>
            <w:noWrap/>
            <w:vAlign w:val="bottom"/>
            <w:hideMark/>
          </w:tcPr>
          <w:p w14:paraId="58357F8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Velika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Mlaka</w:t>
            </w:r>
            <w:proofErr w:type="spellEnd"/>
          </w:p>
        </w:tc>
        <w:tc>
          <w:tcPr>
            <w:tcW w:w="1984" w:type="dxa"/>
            <w:shd w:val="clear" w:color="auto" w:fill="auto"/>
            <w:vAlign w:val="bottom"/>
            <w:hideMark/>
          </w:tcPr>
          <w:p w14:paraId="176B4AD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Velika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Mlaka</w:t>
            </w:r>
            <w:proofErr w:type="spellEnd"/>
          </w:p>
        </w:tc>
      </w:tr>
      <w:tr w:rsidR="00D461DB" w:rsidRPr="00CE124D" w14:paraId="5E7ED42C" w14:textId="77777777" w:rsidTr="0030688C">
        <w:trPr>
          <w:trHeight w:val="20"/>
        </w:trPr>
        <w:tc>
          <w:tcPr>
            <w:tcW w:w="846" w:type="dxa"/>
            <w:shd w:val="clear" w:color="auto" w:fill="auto"/>
            <w:noWrap/>
            <w:vAlign w:val="bottom"/>
            <w:hideMark/>
          </w:tcPr>
          <w:p w14:paraId="248C520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7</w:t>
            </w:r>
          </w:p>
        </w:tc>
        <w:tc>
          <w:tcPr>
            <w:tcW w:w="1417" w:type="dxa"/>
            <w:shd w:val="clear" w:color="auto" w:fill="auto"/>
            <w:vAlign w:val="bottom"/>
            <w:hideMark/>
          </w:tcPr>
          <w:p w14:paraId="3634AB2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Z-3533</w:t>
            </w:r>
          </w:p>
        </w:tc>
        <w:tc>
          <w:tcPr>
            <w:tcW w:w="4820" w:type="dxa"/>
            <w:shd w:val="clear" w:color="auto" w:fill="auto"/>
            <w:noWrap/>
            <w:vAlign w:val="bottom"/>
            <w:hideMark/>
          </w:tcPr>
          <w:p w14:paraId="1D97606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Vrbovec</w:t>
            </w:r>
            <w:proofErr w:type="spellEnd"/>
          </w:p>
        </w:tc>
        <w:tc>
          <w:tcPr>
            <w:tcW w:w="1984" w:type="dxa"/>
            <w:shd w:val="clear" w:color="auto" w:fill="auto"/>
            <w:vAlign w:val="bottom"/>
            <w:hideMark/>
          </w:tcPr>
          <w:p w14:paraId="535AD3D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Vrbovec</w:t>
            </w:r>
            <w:proofErr w:type="spellEnd"/>
          </w:p>
        </w:tc>
      </w:tr>
      <w:tr w:rsidR="00D461DB" w:rsidRPr="00CE124D" w14:paraId="5801CF63" w14:textId="77777777" w:rsidTr="0030688C">
        <w:trPr>
          <w:trHeight w:val="20"/>
        </w:trPr>
        <w:tc>
          <w:tcPr>
            <w:tcW w:w="846" w:type="dxa"/>
            <w:shd w:val="clear" w:color="auto" w:fill="auto"/>
            <w:noWrap/>
            <w:vAlign w:val="bottom"/>
            <w:hideMark/>
          </w:tcPr>
          <w:p w14:paraId="429E84B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lastRenderedPageBreak/>
              <w:t>8</w:t>
            </w:r>
          </w:p>
        </w:tc>
        <w:tc>
          <w:tcPr>
            <w:tcW w:w="1417" w:type="dxa"/>
            <w:shd w:val="clear" w:color="auto" w:fill="auto"/>
            <w:vAlign w:val="bottom"/>
            <w:hideMark/>
          </w:tcPr>
          <w:p w14:paraId="5656F79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Z-2709</w:t>
            </w:r>
          </w:p>
        </w:tc>
        <w:tc>
          <w:tcPr>
            <w:tcW w:w="4820" w:type="dxa"/>
            <w:shd w:val="clear" w:color="auto" w:fill="auto"/>
            <w:noWrap/>
            <w:vAlign w:val="bottom"/>
            <w:hideMark/>
          </w:tcPr>
          <w:p w14:paraId="616526C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Ivanić-</w:t>
            </w:r>
            <w:proofErr w:type="spellStart"/>
            <w:r w:rsidRPr="00CE124D">
              <w:rPr>
                <w:rFonts w:ascii="Calibri" w:eastAsia="Times New Roman" w:hAnsi="Calibri" w:cs="Calibri"/>
                <w:color w:val="000000"/>
                <w:sz w:val="16"/>
                <w:szCs w:val="16"/>
                <w:lang w:val="en-GB" w:eastAsia="hr-HR"/>
              </w:rPr>
              <w:t>Grada</w:t>
            </w:r>
            <w:proofErr w:type="spellEnd"/>
          </w:p>
        </w:tc>
        <w:tc>
          <w:tcPr>
            <w:tcW w:w="1984" w:type="dxa"/>
            <w:shd w:val="clear" w:color="auto" w:fill="auto"/>
            <w:vAlign w:val="bottom"/>
            <w:hideMark/>
          </w:tcPr>
          <w:p w14:paraId="008DB91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Ivanić-Grad</w:t>
            </w:r>
          </w:p>
        </w:tc>
      </w:tr>
      <w:tr w:rsidR="00D461DB" w:rsidRPr="00CE124D" w14:paraId="0D3C0656" w14:textId="77777777" w:rsidTr="0030688C">
        <w:trPr>
          <w:trHeight w:val="20"/>
        </w:trPr>
        <w:tc>
          <w:tcPr>
            <w:tcW w:w="846" w:type="dxa"/>
            <w:shd w:val="clear" w:color="auto" w:fill="auto"/>
            <w:noWrap/>
            <w:vAlign w:val="bottom"/>
            <w:hideMark/>
          </w:tcPr>
          <w:p w14:paraId="587DFFB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9</w:t>
            </w:r>
          </w:p>
        </w:tc>
        <w:tc>
          <w:tcPr>
            <w:tcW w:w="1417" w:type="dxa"/>
            <w:shd w:val="clear" w:color="auto" w:fill="auto"/>
            <w:vAlign w:val="bottom"/>
            <w:hideMark/>
          </w:tcPr>
          <w:p w14:paraId="74C8640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Z-2629</w:t>
            </w:r>
          </w:p>
        </w:tc>
        <w:tc>
          <w:tcPr>
            <w:tcW w:w="4820" w:type="dxa"/>
            <w:shd w:val="clear" w:color="auto" w:fill="auto"/>
            <w:noWrap/>
            <w:vAlign w:val="bottom"/>
            <w:hideMark/>
          </w:tcPr>
          <w:p w14:paraId="46B32CA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urbanistička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Jastrebarsko</w:t>
            </w:r>
            <w:proofErr w:type="spellEnd"/>
          </w:p>
        </w:tc>
        <w:tc>
          <w:tcPr>
            <w:tcW w:w="1984" w:type="dxa"/>
            <w:shd w:val="clear" w:color="auto" w:fill="auto"/>
            <w:vAlign w:val="bottom"/>
            <w:hideMark/>
          </w:tcPr>
          <w:p w14:paraId="62C3D12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Jastrebarsko</w:t>
            </w:r>
            <w:proofErr w:type="spellEnd"/>
          </w:p>
        </w:tc>
      </w:tr>
      <w:tr w:rsidR="00D461DB" w:rsidRPr="00CE124D" w14:paraId="7A8CE9B5" w14:textId="77777777" w:rsidTr="0030688C">
        <w:trPr>
          <w:trHeight w:val="20"/>
        </w:trPr>
        <w:tc>
          <w:tcPr>
            <w:tcW w:w="846" w:type="dxa"/>
            <w:shd w:val="clear" w:color="auto" w:fill="auto"/>
            <w:noWrap/>
            <w:vAlign w:val="bottom"/>
            <w:hideMark/>
          </w:tcPr>
          <w:p w14:paraId="52CBCF0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10</w:t>
            </w:r>
          </w:p>
        </w:tc>
        <w:tc>
          <w:tcPr>
            <w:tcW w:w="1417" w:type="dxa"/>
            <w:shd w:val="clear" w:color="auto" w:fill="auto"/>
            <w:vAlign w:val="bottom"/>
            <w:hideMark/>
          </w:tcPr>
          <w:p w14:paraId="6FD346A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Z-3650</w:t>
            </w:r>
          </w:p>
        </w:tc>
        <w:tc>
          <w:tcPr>
            <w:tcW w:w="4820" w:type="dxa"/>
            <w:shd w:val="clear" w:color="auto" w:fill="auto"/>
            <w:noWrap/>
            <w:vAlign w:val="bottom"/>
            <w:hideMark/>
          </w:tcPr>
          <w:p w14:paraId="174AEE4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Krašić</w:t>
            </w:r>
            <w:proofErr w:type="spellEnd"/>
          </w:p>
        </w:tc>
        <w:tc>
          <w:tcPr>
            <w:tcW w:w="1984" w:type="dxa"/>
            <w:shd w:val="clear" w:color="auto" w:fill="auto"/>
            <w:vAlign w:val="bottom"/>
            <w:hideMark/>
          </w:tcPr>
          <w:p w14:paraId="30A30F4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Krašić</w:t>
            </w:r>
            <w:proofErr w:type="spellEnd"/>
          </w:p>
        </w:tc>
      </w:tr>
      <w:tr w:rsidR="00D461DB" w:rsidRPr="00CE124D" w14:paraId="612FF7F2" w14:textId="77777777" w:rsidTr="0030688C">
        <w:trPr>
          <w:trHeight w:val="20"/>
        </w:trPr>
        <w:tc>
          <w:tcPr>
            <w:tcW w:w="846" w:type="dxa"/>
            <w:shd w:val="clear" w:color="auto" w:fill="auto"/>
            <w:noWrap/>
            <w:vAlign w:val="bottom"/>
            <w:hideMark/>
          </w:tcPr>
          <w:p w14:paraId="0AEEAE5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11</w:t>
            </w:r>
          </w:p>
        </w:tc>
        <w:tc>
          <w:tcPr>
            <w:tcW w:w="1417" w:type="dxa"/>
            <w:shd w:val="clear" w:color="auto" w:fill="auto"/>
            <w:vAlign w:val="bottom"/>
            <w:hideMark/>
          </w:tcPr>
          <w:p w14:paraId="01A2A3D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Z-3648</w:t>
            </w:r>
          </w:p>
        </w:tc>
        <w:tc>
          <w:tcPr>
            <w:tcW w:w="4820" w:type="dxa"/>
            <w:shd w:val="clear" w:color="auto" w:fill="auto"/>
            <w:noWrap/>
            <w:vAlign w:val="bottom"/>
            <w:hideMark/>
          </w:tcPr>
          <w:p w14:paraId="5773072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Križ</w:t>
            </w:r>
            <w:proofErr w:type="spellEnd"/>
          </w:p>
        </w:tc>
        <w:tc>
          <w:tcPr>
            <w:tcW w:w="1984" w:type="dxa"/>
            <w:shd w:val="clear" w:color="auto" w:fill="auto"/>
            <w:vAlign w:val="bottom"/>
            <w:hideMark/>
          </w:tcPr>
          <w:p w14:paraId="72E5490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Križ</w:t>
            </w:r>
            <w:proofErr w:type="spellEnd"/>
          </w:p>
        </w:tc>
      </w:tr>
      <w:tr w:rsidR="00D461DB" w:rsidRPr="00CE124D" w14:paraId="1BBD7A96" w14:textId="77777777" w:rsidTr="0030688C">
        <w:trPr>
          <w:trHeight w:val="20"/>
        </w:trPr>
        <w:tc>
          <w:tcPr>
            <w:tcW w:w="846" w:type="dxa"/>
            <w:shd w:val="clear" w:color="auto" w:fill="auto"/>
            <w:noWrap/>
            <w:vAlign w:val="bottom"/>
            <w:hideMark/>
          </w:tcPr>
          <w:p w14:paraId="0847EDB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12</w:t>
            </w:r>
          </w:p>
        </w:tc>
        <w:tc>
          <w:tcPr>
            <w:tcW w:w="1417" w:type="dxa"/>
            <w:shd w:val="clear" w:color="auto" w:fill="auto"/>
            <w:vAlign w:val="bottom"/>
            <w:hideMark/>
          </w:tcPr>
          <w:p w14:paraId="4A78119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Z-4467</w:t>
            </w:r>
          </w:p>
        </w:tc>
        <w:tc>
          <w:tcPr>
            <w:tcW w:w="4820" w:type="dxa"/>
            <w:shd w:val="clear" w:color="auto" w:fill="auto"/>
            <w:noWrap/>
            <w:vAlign w:val="bottom"/>
            <w:hideMark/>
          </w:tcPr>
          <w:p w14:paraId="7B470AC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Samobor</w:t>
            </w:r>
            <w:proofErr w:type="spellEnd"/>
          </w:p>
        </w:tc>
        <w:tc>
          <w:tcPr>
            <w:tcW w:w="1984" w:type="dxa"/>
            <w:shd w:val="clear" w:color="auto" w:fill="auto"/>
            <w:vAlign w:val="bottom"/>
            <w:hideMark/>
          </w:tcPr>
          <w:p w14:paraId="6F75F82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Samobor</w:t>
            </w:r>
            <w:proofErr w:type="spellEnd"/>
          </w:p>
        </w:tc>
      </w:tr>
      <w:tr w:rsidR="00D461DB" w:rsidRPr="00CE124D" w14:paraId="7AF93F65" w14:textId="77777777" w:rsidTr="0030688C">
        <w:trPr>
          <w:trHeight w:val="20"/>
        </w:trPr>
        <w:tc>
          <w:tcPr>
            <w:tcW w:w="846" w:type="dxa"/>
            <w:shd w:val="clear" w:color="auto" w:fill="auto"/>
            <w:noWrap/>
            <w:vAlign w:val="bottom"/>
            <w:hideMark/>
          </w:tcPr>
          <w:p w14:paraId="4F14898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13</w:t>
            </w:r>
          </w:p>
        </w:tc>
        <w:tc>
          <w:tcPr>
            <w:tcW w:w="1417" w:type="dxa"/>
            <w:shd w:val="clear" w:color="auto" w:fill="auto"/>
            <w:vAlign w:val="bottom"/>
            <w:hideMark/>
          </w:tcPr>
          <w:p w14:paraId="61EE0E3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Z-5257</w:t>
            </w:r>
          </w:p>
        </w:tc>
        <w:tc>
          <w:tcPr>
            <w:tcW w:w="4820" w:type="dxa"/>
            <w:shd w:val="clear" w:color="auto" w:fill="auto"/>
            <w:noWrap/>
            <w:vAlign w:val="bottom"/>
            <w:hideMark/>
          </w:tcPr>
          <w:p w14:paraId="04A4109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Zaseoci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Brezovac</w:t>
            </w:r>
            <w:proofErr w:type="spellEnd"/>
            <w:r w:rsidRPr="00CE124D">
              <w:rPr>
                <w:rFonts w:ascii="Calibri" w:eastAsia="Times New Roman" w:hAnsi="Calibri" w:cs="Calibri"/>
                <w:color w:val="000000"/>
                <w:sz w:val="16"/>
                <w:szCs w:val="16"/>
                <w:lang w:val="en-GB" w:eastAsia="hr-HR"/>
              </w:rPr>
              <w:t xml:space="preserve"> i </w:t>
            </w:r>
            <w:proofErr w:type="spellStart"/>
            <w:r w:rsidRPr="00CE124D">
              <w:rPr>
                <w:rFonts w:ascii="Calibri" w:eastAsia="Times New Roman" w:hAnsi="Calibri" w:cs="Calibri"/>
                <w:color w:val="000000"/>
                <w:sz w:val="16"/>
                <w:szCs w:val="16"/>
                <w:lang w:val="en-GB" w:eastAsia="hr-HR"/>
              </w:rPr>
              <w:t>Pavkovići</w:t>
            </w:r>
            <w:proofErr w:type="spellEnd"/>
          </w:p>
        </w:tc>
        <w:tc>
          <w:tcPr>
            <w:tcW w:w="1984" w:type="dxa"/>
            <w:shd w:val="clear" w:color="auto" w:fill="auto"/>
            <w:vAlign w:val="bottom"/>
            <w:hideMark/>
          </w:tcPr>
          <w:p w14:paraId="251D956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Brezovac</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Žumberački</w:t>
            </w:r>
            <w:proofErr w:type="spellEnd"/>
          </w:p>
        </w:tc>
      </w:tr>
      <w:tr w:rsidR="00D461DB" w:rsidRPr="00CE124D" w14:paraId="1D42EE08" w14:textId="77777777" w:rsidTr="0030688C">
        <w:trPr>
          <w:trHeight w:val="20"/>
        </w:trPr>
        <w:tc>
          <w:tcPr>
            <w:tcW w:w="846" w:type="dxa"/>
            <w:shd w:val="clear" w:color="auto" w:fill="auto"/>
            <w:noWrap/>
            <w:vAlign w:val="bottom"/>
            <w:hideMark/>
          </w:tcPr>
          <w:p w14:paraId="4702019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14</w:t>
            </w:r>
          </w:p>
        </w:tc>
        <w:tc>
          <w:tcPr>
            <w:tcW w:w="1417" w:type="dxa"/>
            <w:shd w:val="clear" w:color="auto" w:fill="auto"/>
            <w:vAlign w:val="bottom"/>
            <w:hideMark/>
          </w:tcPr>
          <w:p w14:paraId="33051B6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Z-5627</w:t>
            </w:r>
          </w:p>
        </w:tc>
        <w:tc>
          <w:tcPr>
            <w:tcW w:w="4820" w:type="dxa"/>
            <w:shd w:val="clear" w:color="auto" w:fill="auto"/>
            <w:noWrap/>
            <w:vAlign w:val="bottom"/>
            <w:hideMark/>
          </w:tcPr>
          <w:p w14:paraId="65F86AA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Marija </w:t>
            </w:r>
            <w:proofErr w:type="spellStart"/>
            <w:r w:rsidRPr="00CE124D">
              <w:rPr>
                <w:rFonts w:ascii="Calibri" w:eastAsia="Times New Roman" w:hAnsi="Calibri" w:cs="Calibri"/>
                <w:color w:val="000000"/>
                <w:sz w:val="16"/>
                <w:szCs w:val="16"/>
                <w:lang w:val="en-GB" w:eastAsia="hr-HR"/>
              </w:rPr>
              <w:t>Gorica</w:t>
            </w:r>
            <w:proofErr w:type="spellEnd"/>
          </w:p>
        </w:tc>
        <w:tc>
          <w:tcPr>
            <w:tcW w:w="1984" w:type="dxa"/>
            <w:shd w:val="clear" w:color="auto" w:fill="auto"/>
            <w:vAlign w:val="bottom"/>
            <w:hideMark/>
          </w:tcPr>
          <w:p w14:paraId="0620394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Marija </w:t>
            </w:r>
            <w:proofErr w:type="spellStart"/>
            <w:r w:rsidRPr="00CE124D">
              <w:rPr>
                <w:rFonts w:ascii="Calibri" w:eastAsia="Times New Roman" w:hAnsi="Calibri" w:cs="Calibri"/>
                <w:color w:val="000000"/>
                <w:sz w:val="16"/>
                <w:szCs w:val="16"/>
                <w:lang w:val="en-GB" w:eastAsia="hr-HR"/>
              </w:rPr>
              <w:t>Gorica</w:t>
            </w:r>
            <w:proofErr w:type="spellEnd"/>
          </w:p>
        </w:tc>
      </w:tr>
      <w:tr w:rsidR="00D461DB" w:rsidRPr="00CE124D" w14:paraId="6BFE51DC" w14:textId="77777777" w:rsidTr="0030688C">
        <w:trPr>
          <w:trHeight w:val="20"/>
        </w:trPr>
        <w:tc>
          <w:tcPr>
            <w:tcW w:w="846" w:type="dxa"/>
            <w:shd w:val="clear" w:color="auto" w:fill="auto"/>
            <w:noWrap/>
            <w:vAlign w:val="bottom"/>
            <w:hideMark/>
          </w:tcPr>
          <w:p w14:paraId="2BB25F15"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15</w:t>
            </w:r>
          </w:p>
        </w:tc>
        <w:tc>
          <w:tcPr>
            <w:tcW w:w="1417" w:type="dxa"/>
            <w:shd w:val="clear" w:color="auto" w:fill="auto"/>
            <w:vAlign w:val="bottom"/>
            <w:hideMark/>
          </w:tcPr>
          <w:p w14:paraId="74F6689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Z-6139</w:t>
            </w:r>
          </w:p>
        </w:tc>
        <w:tc>
          <w:tcPr>
            <w:tcW w:w="4820" w:type="dxa"/>
            <w:shd w:val="clear" w:color="auto" w:fill="auto"/>
            <w:noWrap/>
            <w:vAlign w:val="bottom"/>
            <w:hideMark/>
          </w:tcPr>
          <w:p w14:paraId="2C1853E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Bolč</w:t>
            </w:r>
            <w:proofErr w:type="spellEnd"/>
          </w:p>
        </w:tc>
        <w:tc>
          <w:tcPr>
            <w:tcW w:w="1984" w:type="dxa"/>
            <w:shd w:val="clear" w:color="auto" w:fill="auto"/>
            <w:vAlign w:val="bottom"/>
            <w:hideMark/>
          </w:tcPr>
          <w:p w14:paraId="3C56E0E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Bolč</w:t>
            </w:r>
            <w:proofErr w:type="spellEnd"/>
          </w:p>
        </w:tc>
      </w:tr>
      <w:tr w:rsidR="00D461DB" w:rsidRPr="00CE124D" w14:paraId="080F7214" w14:textId="77777777" w:rsidTr="0030688C">
        <w:trPr>
          <w:trHeight w:val="20"/>
        </w:trPr>
        <w:tc>
          <w:tcPr>
            <w:tcW w:w="846" w:type="dxa"/>
            <w:shd w:val="clear" w:color="auto" w:fill="auto"/>
            <w:noWrap/>
            <w:vAlign w:val="bottom"/>
            <w:hideMark/>
          </w:tcPr>
          <w:p w14:paraId="1697464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16</w:t>
            </w:r>
          </w:p>
        </w:tc>
        <w:tc>
          <w:tcPr>
            <w:tcW w:w="1417" w:type="dxa"/>
            <w:shd w:val="clear" w:color="auto" w:fill="auto"/>
            <w:vAlign w:val="bottom"/>
            <w:hideMark/>
          </w:tcPr>
          <w:p w14:paraId="446F03A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Z-6120</w:t>
            </w:r>
          </w:p>
        </w:tc>
        <w:tc>
          <w:tcPr>
            <w:tcW w:w="4820" w:type="dxa"/>
            <w:shd w:val="clear" w:color="auto" w:fill="auto"/>
            <w:noWrap/>
            <w:vAlign w:val="bottom"/>
            <w:hideMark/>
          </w:tcPr>
          <w:p w14:paraId="71EC07E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Bedenica</w:t>
            </w:r>
            <w:proofErr w:type="spellEnd"/>
          </w:p>
        </w:tc>
        <w:tc>
          <w:tcPr>
            <w:tcW w:w="1984" w:type="dxa"/>
            <w:shd w:val="clear" w:color="auto" w:fill="auto"/>
            <w:vAlign w:val="bottom"/>
            <w:hideMark/>
          </w:tcPr>
          <w:p w14:paraId="06F88B9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Bedenica</w:t>
            </w:r>
            <w:proofErr w:type="spellEnd"/>
          </w:p>
        </w:tc>
      </w:tr>
      <w:tr w:rsidR="00D461DB" w:rsidRPr="00CE124D" w14:paraId="157BCA24" w14:textId="77777777" w:rsidTr="0030688C">
        <w:trPr>
          <w:trHeight w:val="20"/>
        </w:trPr>
        <w:tc>
          <w:tcPr>
            <w:tcW w:w="846" w:type="dxa"/>
            <w:shd w:val="clear" w:color="auto" w:fill="auto"/>
            <w:noWrap/>
            <w:vAlign w:val="bottom"/>
            <w:hideMark/>
          </w:tcPr>
          <w:p w14:paraId="53981D6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17</w:t>
            </w:r>
          </w:p>
        </w:tc>
        <w:tc>
          <w:tcPr>
            <w:tcW w:w="1417" w:type="dxa"/>
            <w:shd w:val="clear" w:color="auto" w:fill="auto"/>
            <w:vAlign w:val="bottom"/>
            <w:hideMark/>
          </w:tcPr>
          <w:p w14:paraId="0DAD558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P-5506</w:t>
            </w:r>
          </w:p>
        </w:tc>
        <w:tc>
          <w:tcPr>
            <w:tcW w:w="4820" w:type="dxa"/>
            <w:shd w:val="clear" w:color="auto" w:fill="auto"/>
            <w:noWrap/>
            <w:vAlign w:val="bottom"/>
            <w:hideMark/>
          </w:tcPr>
          <w:p w14:paraId="4DB71D1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Park </w:t>
            </w:r>
            <w:proofErr w:type="spellStart"/>
            <w:r w:rsidRPr="00CE124D">
              <w:rPr>
                <w:rFonts w:ascii="Calibri" w:eastAsia="Times New Roman" w:hAnsi="Calibri" w:cs="Calibri"/>
                <w:color w:val="000000"/>
                <w:sz w:val="16"/>
                <w:szCs w:val="16"/>
                <w:lang w:val="en-GB" w:eastAsia="hr-HR"/>
              </w:rPr>
              <w:t>skulptura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Jakovlje</w:t>
            </w:r>
            <w:proofErr w:type="spellEnd"/>
          </w:p>
        </w:tc>
        <w:tc>
          <w:tcPr>
            <w:tcW w:w="1984" w:type="dxa"/>
            <w:shd w:val="clear" w:color="auto" w:fill="auto"/>
            <w:vAlign w:val="bottom"/>
            <w:hideMark/>
          </w:tcPr>
          <w:p w14:paraId="04E30D2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proofErr w:type="gramStart"/>
            <w:r w:rsidRPr="00CE124D">
              <w:rPr>
                <w:rFonts w:ascii="Calibri" w:eastAsia="Times New Roman" w:hAnsi="Calibri" w:cs="Calibri"/>
                <w:color w:val="000000"/>
                <w:sz w:val="16"/>
                <w:szCs w:val="16"/>
                <w:lang w:val="en-GB" w:eastAsia="hr-HR"/>
              </w:rPr>
              <w:t>Jakovlje</w:t>
            </w:r>
            <w:proofErr w:type="spellEnd"/>
            <w:r w:rsidRPr="00CE124D">
              <w:rPr>
                <w:rFonts w:ascii="Calibri" w:eastAsia="Times New Roman" w:hAnsi="Calibri" w:cs="Calibri"/>
                <w:color w:val="000000"/>
                <w:sz w:val="16"/>
                <w:szCs w:val="16"/>
                <w:lang w:val="en-GB" w:eastAsia="hr-HR"/>
              </w:rPr>
              <w:t xml:space="preserve">,   </w:t>
            </w:r>
            <w:proofErr w:type="gramEnd"/>
          </w:p>
        </w:tc>
      </w:tr>
      <w:tr w:rsidR="00D461DB" w:rsidRPr="00CE124D" w14:paraId="2BD95DBB" w14:textId="77777777" w:rsidTr="0030688C">
        <w:trPr>
          <w:trHeight w:val="20"/>
        </w:trPr>
        <w:tc>
          <w:tcPr>
            <w:tcW w:w="846" w:type="dxa"/>
            <w:shd w:val="clear" w:color="auto" w:fill="auto"/>
            <w:noWrap/>
            <w:vAlign w:val="bottom"/>
            <w:hideMark/>
          </w:tcPr>
          <w:p w14:paraId="4906731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18</w:t>
            </w:r>
          </w:p>
        </w:tc>
        <w:tc>
          <w:tcPr>
            <w:tcW w:w="1417" w:type="dxa"/>
            <w:shd w:val="clear" w:color="auto" w:fill="auto"/>
            <w:vAlign w:val="bottom"/>
            <w:hideMark/>
          </w:tcPr>
          <w:p w14:paraId="1778F83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Z-6416</w:t>
            </w:r>
          </w:p>
        </w:tc>
        <w:tc>
          <w:tcPr>
            <w:tcW w:w="4820" w:type="dxa"/>
            <w:shd w:val="clear" w:color="auto" w:fill="auto"/>
            <w:noWrap/>
            <w:vAlign w:val="bottom"/>
            <w:hideMark/>
          </w:tcPr>
          <w:p w14:paraId="16D63F4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ruralna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Slavetić</w:t>
            </w:r>
            <w:proofErr w:type="spellEnd"/>
          </w:p>
        </w:tc>
        <w:tc>
          <w:tcPr>
            <w:tcW w:w="1984" w:type="dxa"/>
            <w:shd w:val="clear" w:color="auto" w:fill="auto"/>
            <w:vAlign w:val="bottom"/>
            <w:hideMark/>
          </w:tcPr>
          <w:p w14:paraId="34473C1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Slavetić</w:t>
            </w:r>
            <w:proofErr w:type="spellEnd"/>
          </w:p>
        </w:tc>
      </w:tr>
      <w:tr w:rsidR="00D461DB" w:rsidRPr="00CE124D" w14:paraId="79CA9C78" w14:textId="77777777" w:rsidTr="0030688C">
        <w:trPr>
          <w:trHeight w:val="20"/>
        </w:trPr>
        <w:tc>
          <w:tcPr>
            <w:tcW w:w="846" w:type="dxa"/>
            <w:shd w:val="clear" w:color="auto" w:fill="auto"/>
            <w:noWrap/>
            <w:vAlign w:val="bottom"/>
            <w:hideMark/>
          </w:tcPr>
          <w:p w14:paraId="4CED8FD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19</w:t>
            </w:r>
          </w:p>
        </w:tc>
        <w:tc>
          <w:tcPr>
            <w:tcW w:w="1417" w:type="dxa"/>
            <w:shd w:val="clear" w:color="auto" w:fill="auto"/>
            <w:vAlign w:val="bottom"/>
            <w:hideMark/>
          </w:tcPr>
          <w:p w14:paraId="50B350A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Z-7006</w:t>
            </w:r>
          </w:p>
        </w:tc>
        <w:tc>
          <w:tcPr>
            <w:tcW w:w="4820" w:type="dxa"/>
            <w:shd w:val="clear" w:color="auto" w:fill="auto"/>
            <w:noWrap/>
            <w:vAlign w:val="bottom"/>
            <w:hideMark/>
          </w:tcPr>
          <w:p w14:paraId="0A2A80BF"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naselja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Dugo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Selo</w:t>
            </w:r>
            <w:proofErr w:type="spellEnd"/>
          </w:p>
        </w:tc>
        <w:tc>
          <w:tcPr>
            <w:tcW w:w="1984" w:type="dxa"/>
            <w:shd w:val="clear" w:color="auto" w:fill="auto"/>
            <w:vAlign w:val="bottom"/>
            <w:hideMark/>
          </w:tcPr>
          <w:p w14:paraId="1B99E3F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Dugo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Selo</w:t>
            </w:r>
            <w:proofErr w:type="spellEnd"/>
          </w:p>
        </w:tc>
      </w:tr>
      <w:tr w:rsidR="00D461DB" w:rsidRPr="00CE124D" w14:paraId="120B0D24" w14:textId="77777777" w:rsidTr="0030688C">
        <w:trPr>
          <w:trHeight w:val="20"/>
        </w:trPr>
        <w:tc>
          <w:tcPr>
            <w:tcW w:w="846" w:type="dxa"/>
            <w:shd w:val="clear" w:color="auto" w:fill="auto"/>
            <w:noWrap/>
            <w:vAlign w:val="bottom"/>
            <w:hideMark/>
          </w:tcPr>
          <w:p w14:paraId="6CE19476"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20</w:t>
            </w:r>
          </w:p>
        </w:tc>
        <w:tc>
          <w:tcPr>
            <w:tcW w:w="1417" w:type="dxa"/>
            <w:shd w:val="clear" w:color="auto" w:fill="auto"/>
            <w:vAlign w:val="bottom"/>
            <w:hideMark/>
          </w:tcPr>
          <w:p w14:paraId="2509703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Z-7205</w:t>
            </w:r>
          </w:p>
        </w:tc>
        <w:tc>
          <w:tcPr>
            <w:tcW w:w="4820" w:type="dxa"/>
            <w:shd w:val="clear" w:color="auto" w:fill="auto"/>
            <w:noWrap/>
            <w:vAlign w:val="bottom"/>
            <w:hideMark/>
          </w:tcPr>
          <w:p w14:paraId="7623103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Kraljev</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Vrh</w:t>
            </w:r>
            <w:proofErr w:type="spellEnd"/>
          </w:p>
        </w:tc>
        <w:tc>
          <w:tcPr>
            <w:tcW w:w="1984" w:type="dxa"/>
            <w:shd w:val="clear" w:color="auto" w:fill="auto"/>
            <w:vAlign w:val="bottom"/>
            <w:hideMark/>
          </w:tcPr>
          <w:p w14:paraId="3A31580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Kraljev</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Vrh</w:t>
            </w:r>
            <w:proofErr w:type="spellEnd"/>
          </w:p>
        </w:tc>
      </w:tr>
      <w:tr w:rsidR="00D461DB" w:rsidRPr="00CE124D" w14:paraId="0E9AE35B" w14:textId="77777777" w:rsidTr="0030688C">
        <w:trPr>
          <w:trHeight w:val="20"/>
        </w:trPr>
        <w:tc>
          <w:tcPr>
            <w:tcW w:w="846" w:type="dxa"/>
            <w:shd w:val="clear" w:color="auto" w:fill="auto"/>
            <w:noWrap/>
            <w:vAlign w:val="bottom"/>
            <w:hideMark/>
          </w:tcPr>
          <w:p w14:paraId="4D03D693"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21</w:t>
            </w:r>
          </w:p>
        </w:tc>
        <w:tc>
          <w:tcPr>
            <w:tcW w:w="1417" w:type="dxa"/>
            <w:shd w:val="clear" w:color="auto" w:fill="auto"/>
            <w:vAlign w:val="bottom"/>
            <w:hideMark/>
          </w:tcPr>
          <w:p w14:paraId="274B9D9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P-6285</w:t>
            </w:r>
          </w:p>
        </w:tc>
        <w:tc>
          <w:tcPr>
            <w:tcW w:w="4820" w:type="dxa"/>
            <w:shd w:val="clear" w:color="auto" w:fill="auto"/>
            <w:noWrap/>
            <w:vAlign w:val="bottom"/>
            <w:hideMark/>
          </w:tcPr>
          <w:p w14:paraId="1AE9A20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Spomen</w:t>
            </w:r>
            <w:proofErr w:type="spellEnd"/>
            <w:r w:rsidRPr="00CE124D">
              <w:rPr>
                <w:rFonts w:ascii="Calibri" w:eastAsia="Times New Roman" w:hAnsi="Calibri" w:cs="Calibri"/>
                <w:color w:val="000000"/>
                <w:sz w:val="16"/>
                <w:szCs w:val="16"/>
                <w:lang w:val="en-GB" w:eastAsia="hr-HR"/>
              </w:rPr>
              <w:t xml:space="preserve">- park </w:t>
            </w:r>
            <w:proofErr w:type="spellStart"/>
            <w:r w:rsidRPr="00CE124D">
              <w:rPr>
                <w:rFonts w:ascii="Calibri" w:eastAsia="Times New Roman" w:hAnsi="Calibri" w:cs="Calibri"/>
                <w:color w:val="000000"/>
                <w:sz w:val="16"/>
                <w:szCs w:val="16"/>
                <w:lang w:val="en-GB" w:eastAsia="hr-HR"/>
              </w:rPr>
              <w:t>palim</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borcima</w:t>
            </w:r>
            <w:proofErr w:type="spellEnd"/>
            <w:r w:rsidRPr="00CE124D">
              <w:rPr>
                <w:rFonts w:ascii="Calibri" w:eastAsia="Times New Roman" w:hAnsi="Calibri" w:cs="Calibri"/>
                <w:color w:val="000000"/>
                <w:sz w:val="16"/>
                <w:szCs w:val="16"/>
                <w:lang w:val="en-GB" w:eastAsia="hr-HR"/>
              </w:rPr>
              <w:t xml:space="preserve"> NOB-a</w:t>
            </w:r>
          </w:p>
        </w:tc>
        <w:tc>
          <w:tcPr>
            <w:tcW w:w="1984" w:type="dxa"/>
            <w:shd w:val="clear" w:color="auto" w:fill="auto"/>
            <w:vAlign w:val="bottom"/>
            <w:hideMark/>
          </w:tcPr>
          <w:p w14:paraId="0FFA40F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proofErr w:type="gramStart"/>
            <w:r w:rsidRPr="00CE124D">
              <w:rPr>
                <w:rFonts w:ascii="Calibri" w:eastAsia="Times New Roman" w:hAnsi="Calibri" w:cs="Calibri"/>
                <w:color w:val="000000"/>
                <w:sz w:val="16"/>
                <w:szCs w:val="16"/>
                <w:lang w:val="en-GB" w:eastAsia="hr-HR"/>
              </w:rPr>
              <w:t>Oborovo</w:t>
            </w:r>
            <w:proofErr w:type="spellEnd"/>
            <w:r w:rsidRPr="00CE124D">
              <w:rPr>
                <w:rFonts w:ascii="Calibri" w:eastAsia="Times New Roman" w:hAnsi="Calibri" w:cs="Calibri"/>
                <w:color w:val="000000"/>
                <w:sz w:val="16"/>
                <w:szCs w:val="16"/>
                <w:lang w:val="en-GB" w:eastAsia="hr-HR"/>
              </w:rPr>
              <w:t xml:space="preserve">,   </w:t>
            </w:r>
            <w:proofErr w:type="gramEnd"/>
          </w:p>
        </w:tc>
      </w:tr>
      <w:tr w:rsidR="00D461DB" w:rsidRPr="00CE124D" w14:paraId="08AA2977" w14:textId="77777777" w:rsidTr="0030688C">
        <w:trPr>
          <w:trHeight w:val="20"/>
        </w:trPr>
        <w:tc>
          <w:tcPr>
            <w:tcW w:w="9067" w:type="dxa"/>
            <w:gridSpan w:val="4"/>
            <w:shd w:val="clear" w:color="000000" w:fill="FFF2CC"/>
            <w:noWrap/>
            <w:vAlign w:val="center"/>
          </w:tcPr>
          <w:p w14:paraId="6710C03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proofErr w:type="spellStart"/>
            <w:r w:rsidRPr="00CE124D">
              <w:rPr>
                <w:rFonts w:ascii="Calibri" w:eastAsia="Times New Roman" w:hAnsi="Calibri" w:cs="Calibri"/>
                <w:b/>
                <w:bCs/>
                <w:color w:val="000000"/>
                <w:sz w:val="16"/>
                <w:szCs w:val="16"/>
                <w:lang w:val="en-GB" w:eastAsia="hr-HR"/>
              </w:rPr>
              <w:t>Krapina-Zagorje</w:t>
            </w:r>
            <w:proofErr w:type="spellEnd"/>
            <w:r w:rsidRPr="00CE124D">
              <w:rPr>
                <w:rFonts w:ascii="Calibri" w:eastAsia="Times New Roman" w:hAnsi="Calibri" w:cs="Calibri"/>
                <w:b/>
                <w:bCs/>
                <w:color w:val="000000"/>
                <w:sz w:val="16"/>
                <w:szCs w:val="16"/>
                <w:lang w:val="en-GB" w:eastAsia="hr-HR"/>
              </w:rPr>
              <w:t xml:space="preserve"> County</w:t>
            </w:r>
          </w:p>
        </w:tc>
      </w:tr>
      <w:tr w:rsidR="00D461DB" w:rsidRPr="00CE124D" w14:paraId="46A8196C" w14:textId="77777777" w:rsidTr="0030688C">
        <w:trPr>
          <w:trHeight w:val="20"/>
        </w:trPr>
        <w:tc>
          <w:tcPr>
            <w:tcW w:w="846" w:type="dxa"/>
            <w:shd w:val="clear" w:color="000000" w:fill="FFF2CC"/>
            <w:noWrap/>
            <w:vAlign w:val="center"/>
            <w:hideMark/>
          </w:tcPr>
          <w:p w14:paraId="030571E8"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Number</w:t>
            </w:r>
          </w:p>
        </w:tc>
        <w:tc>
          <w:tcPr>
            <w:tcW w:w="1417" w:type="dxa"/>
            <w:shd w:val="clear" w:color="000000" w:fill="FFF2CC"/>
            <w:noWrap/>
            <w:vAlign w:val="center"/>
            <w:hideMark/>
          </w:tcPr>
          <w:p w14:paraId="02EF8330"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Register number</w:t>
            </w:r>
          </w:p>
        </w:tc>
        <w:tc>
          <w:tcPr>
            <w:tcW w:w="4820" w:type="dxa"/>
            <w:shd w:val="clear" w:color="000000" w:fill="FFF2CC"/>
            <w:noWrap/>
            <w:vAlign w:val="center"/>
            <w:hideMark/>
          </w:tcPr>
          <w:p w14:paraId="39887AD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r w:rsidRPr="00CE124D">
              <w:rPr>
                <w:rFonts w:ascii="Calibri" w:eastAsia="Times New Roman" w:hAnsi="Calibri" w:cs="Calibri"/>
                <w:b/>
                <w:bCs/>
                <w:color w:val="000000"/>
                <w:sz w:val="16"/>
                <w:szCs w:val="16"/>
                <w:lang w:val="en-GB" w:eastAsia="hr-HR"/>
              </w:rPr>
              <w:t>Name of the cultural heritage</w:t>
            </w:r>
          </w:p>
        </w:tc>
        <w:tc>
          <w:tcPr>
            <w:tcW w:w="1984" w:type="dxa"/>
            <w:shd w:val="clear" w:color="000000" w:fill="FFF2CC"/>
            <w:noWrap/>
            <w:vAlign w:val="center"/>
            <w:hideMark/>
          </w:tcPr>
          <w:p w14:paraId="43DE6A7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b/>
                <w:bCs/>
                <w:color w:val="000000"/>
                <w:sz w:val="16"/>
                <w:szCs w:val="16"/>
                <w:lang w:val="en-GB" w:eastAsia="hr-HR"/>
              </w:rPr>
            </w:pPr>
            <w:proofErr w:type="spellStart"/>
            <w:r w:rsidRPr="00CE124D">
              <w:rPr>
                <w:rFonts w:ascii="Calibri" w:eastAsia="Times New Roman" w:hAnsi="Calibri" w:cs="Calibri"/>
                <w:b/>
                <w:bCs/>
                <w:color w:val="000000"/>
                <w:sz w:val="16"/>
                <w:szCs w:val="16"/>
                <w:lang w:val="en-GB" w:eastAsia="hr-HR"/>
              </w:rPr>
              <w:t>Adress</w:t>
            </w:r>
            <w:proofErr w:type="spellEnd"/>
          </w:p>
        </w:tc>
      </w:tr>
      <w:tr w:rsidR="00D461DB" w:rsidRPr="00CE124D" w14:paraId="7924EF69" w14:textId="77777777" w:rsidTr="0030688C">
        <w:trPr>
          <w:trHeight w:val="20"/>
        </w:trPr>
        <w:tc>
          <w:tcPr>
            <w:tcW w:w="846" w:type="dxa"/>
            <w:shd w:val="clear" w:color="auto" w:fill="auto"/>
            <w:noWrap/>
            <w:vAlign w:val="bottom"/>
            <w:hideMark/>
          </w:tcPr>
          <w:p w14:paraId="39E4202C"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w:t>
            </w:r>
          </w:p>
        </w:tc>
        <w:tc>
          <w:tcPr>
            <w:tcW w:w="1417" w:type="dxa"/>
            <w:shd w:val="clear" w:color="auto" w:fill="auto"/>
            <w:vAlign w:val="bottom"/>
            <w:hideMark/>
          </w:tcPr>
          <w:p w14:paraId="7FB30CF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Z-3036</w:t>
            </w:r>
          </w:p>
        </w:tc>
        <w:tc>
          <w:tcPr>
            <w:tcW w:w="4820" w:type="dxa"/>
            <w:shd w:val="clear" w:color="auto" w:fill="auto"/>
            <w:noWrap/>
            <w:vAlign w:val="bottom"/>
            <w:hideMark/>
          </w:tcPr>
          <w:p w14:paraId="1304C5B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Luči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Breg</w:t>
            </w:r>
            <w:proofErr w:type="spellEnd"/>
          </w:p>
        </w:tc>
        <w:tc>
          <w:tcPr>
            <w:tcW w:w="1984" w:type="dxa"/>
            <w:shd w:val="clear" w:color="auto" w:fill="auto"/>
            <w:vAlign w:val="bottom"/>
            <w:hideMark/>
          </w:tcPr>
          <w:p w14:paraId="39226FB9"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Podgorje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Bistričko</w:t>
            </w:r>
            <w:proofErr w:type="spellEnd"/>
          </w:p>
        </w:tc>
      </w:tr>
      <w:tr w:rsidR="00D461DB" w:rsidRPr="00CE124D" w14:paraId="62D8B99F" w14:textId="77777777" w:rsidTr="0030688C">
        <w:trPr>
          <w:trHeight w:val="20"/>
        </w:trPr>
        <w:tc>
          <w:tcPr>
            <w:tcW w:w="846" w:type="dxa"/>
            <w:shd w:val="clear" w:color="auto" w:fill="auto"/>
            <w:noWrap/>
            <w:vAlign w:val="bottom"/>
            <w:hideMark/>
          </w:tcPr>
          <w:p w14:paraId="19017BD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2</w:t>
            </w:r>
          </w:p>
        </w:tc>
        <w:tc>
          <w:tcPr>
            <w:tcW w:w="1417" w:type="dxa"/>
            <w:shd w:val="clear" w:color="auto" w:fill="auto"/>
            <w:vAlign w:val="bottom"/>
            <w:hideMark/>
          </w:tcPr>
          <w:p w14:paraId="68F9BCB4"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Z-4803</w:t>
            </w:r>
          </w:p>
        </w:tc>
        <w:tc>
          <w:tcPr>
            <w:tcW w:w="4820" w:type="dxa"/>
            <w:shd w:val="clear" w:color="auto" w:fill="auto"/>
            <w:noWrap/>
            <w:vAlign w:val="bottom"/>
            <w:hideMark/>
          </w:tcPr>
          <w:p w14:paraId="4FC9230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Pregrada</w:t>
            </w:r>
            <w:proofErr w:type="spellEnd"/>
          </w:p>
        </w:tc>
        <w:tc>
          <w:tcPr>
            <w:tcW w:w="1984" w:type="dxa"/>
            <w:shd w:val="clear" w:color="auto" w:fill="auto"/>
            <w:vAlign w:val="bottom"/>
            <w:hideMark/>
          </w:tcPr>
          <w:p w14:paraId="7252858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Pregrada</w:t>
            </w:r>
            <w:proofErr w:type="spellEnd"/>
          </w:p>
        </w:tc>
      </w:tr>
      <w:tr w:rsidR="00D461DB" w:rsidRPr="00CE124D" w14:paraId="7AB26552" w14:textId="77777777" w:rsidTr="0030688C">
        <w:trPr>
          <w:trHeight w:val="20"/>
        </w:trPr>
        <w:tc>
          <w:tcPr>
            <w:tcW w:w="846" w:type="dxa"/>
            <w:shd w:val="clear" w:color="auto" w:fill="auto"/>
            <w:noWrap/>
            <w:vAlign w:val="bottom"/>
            <w:hideMark/>
          </w:tcPr>
          <w:p w14:paraId="2F55EA18"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3</w:t>
            </w:r>
          </w:p>
        </w:tc>
        <w:tc>
          <w:tcPr>
            <w:tcW w:w="1417" w:type="dxa"/>
            <w:shd w:val="clear" w:color="auto" w:fill="auto"/>
            <w:vAlign w:val="bottom"/>
            <w:hideMark/>
          </w:tcPr>
          <w:p w14:paraId="0E0272B0"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Z-3205</w:t>
            </w:r>
          </w:p>
        </w:tc>
        <w:tc>
          <w:tcPr>
            <w:tcW w:w="4820" w:type="dxa"/>
            <w:shd w:val="clear" w:color="auto" w:fill="auto"/>
            <w:noWrap/>
            <w:vAlign w:val="bottom"/>
            <w:hideMark/>
          </w:tcPr>
          <w:p w14:paraId="0EF686D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Hrašćina</w:t>
            </w:r>
            <w:proofErr w:type="spellEnd"/>
          </w:p>
        </w:tc>
        <w:tc>
          <w:tcPr>
            <w:tcW w:w="1984" w:type="dxa"/>
            <w:shd w:val="clear" w:color="auto" w:fill="auto"/>
            <w:vAlign w:val="bottom"/>
            <w:hideMark/>
          </w:tcPr>
          <w:p w14:paraId="22A04CE3"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Hrašćina</w:t>
            </w:r>
            <w:proofErr w:type="spellEnd"/>
          </w:p>
        </w:tc>
      </w:tr>
      <w:tr w:rsidR="00D461DB" w:rsidRPr="00CE124D" w14:paraId="4C2BE9D1" w14:textId="77777777" w:rsidTr="0030688C">
        <w:trPr>
          <w:trHeight w:val="20"/>
        </w:trPr>
        <w:tc>
          <w:tcPr>
            <w:tcW w:w="846" w:type="dxa"/>
            <w:shd w:val="clear" w:color="auto" w:fill="auto"/>
            <w:noWrap/>
            <w:vAlign w:val="bottom"/>
            <w:hideMark/>
          </w:tcPr>
          <w:p w14:paraId="28E5F839"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4</w:t>
            </w:r>
          </w:p>
        </w:tc>
        <w:tc>
          <w:tcPr>
            <w:tcW w:w="1417" w:type="dxa"/>
            <w:shd w:val="clear" w:color="auto" w:fill="auto"/>
            <w:vAlign w:val="bottom"/>
            <w:hideMark/>
          </w:tcPr>
          <w:p w14:paraId="197058E2"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Z-3865</w:t>
            </w:r>
          </w:p>
        </w:tc>
        <w:tc>
          <w:tcPr>
            <w:tcW w:w="4820" w:type="dxa"/>
            <w:shd w:val="clear" w:color="auto" w:fill="auto"/>
            <w:noWrap/>
            <w:vAlign w:val="bottom"/>
            <w:hideMark/>
          </w:tcPr>
          <w:p w14:paraId="060E961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Park </w:t>
            </w:r>
            <w:proofErr w:type="spellStart"/>
            <w:r w:rsidRPr="00CE124D">
              <w:rPr>
                <w:rFonts w:ascii="Calibri" w:eastAsia="Times New Roman" w:hAnsi="Calibri" w:cs="Calibri"/>
                <w:color w:val="000000"/>
                <w:sz w:val="16"/>
                <w:szCs w:val="16"/>
                <w:lang w:val="en-GB" w:eastAsia="hr-HR"/>
              </w:rPr>
              <w:t>skulptura</w:t>
            </w:r>
            <w:proofErr w:type="spellEnd"/>
            <w:r w:rsidRPr="00CE124D">
              <w:rPr>
                <w:rFonts w:ascii="Calibri" w:eastAsia="Times New Roman" w:hAnsi="Calibri" w:cs="Calibri"/>
                <w:color w:val="000000"/>
                <w:sz w:val="16"/>
                <w:szCs w:val="16"/>
                <w:lang w:val="en-GB" w:eastAsia="hr-HR"/>
              </w:rPr>
              <w:t xml:space="preserve"> Forma Prima u </w:t>
            </w:r>
            <w:proofErr w:type="spellStart"/>
            <w:r w:rsidRPr="00CE124D">
              <w:rPr>
                <w:rFonts w:ascii="Calibri" w:eastAsia="Times New Roman" w:hAnsi="Calibri" w:cs="Calibri"/>
                <w:color w:val="000000"/>
                <w:sz w:val="16"/>
                <w:szCs w:val="16"/>
                <w:lang w:val="en-GB" w:eastAsia="hr-HR"/>
              </w:rPr>
              <w:t>šumi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Josipovac</w:t>
            </w:r>
            <w:proofErr w:type="spellEnd"/>
          </w:p>
        </w:tc>
        <w:tc>
          <w:tcPr>
            <w:tcW w:w="1984" w:type="dxa"/>
            <w:shd w:val="clear" w:color="auto" w:fill="auto"/>
            <w:vAlign w:val="bottom"/>
            <w:hideMark/>
          </w:tcPr>
          <w:p w14:paraId="78A0CED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Krapina</w:t>
            </w:r>
            <w:proofErr w:type="spellEnd"/>
          </w:p>
        </w:tc>
      </w:tr>
      <w:tr w:rsidR="00D461DB" w:rsidRPr="00CE124D" w14:paraId="4ACFF0B4" w14:textId="77777777" w:rsidTr="0030688C">
        <w:trPr>
          <w:trHeight w:val="20"/>
        </w:trPr>
        <w:tc>
          <w:tcPr>
            <w:tcW w:w="846" w:type="dxa"/>
            <w:shd w:val="clear" w:color="auto" w:fill="auto"/>
            <w:noWrap/>
            <w:vAlign w:val="bottom"/>
            <w:hideMark/>
          </w:tcPr>
          <w:p w14:paraId="4BB5DD5A"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5</w:t>
            </w:r>
          </w:p>
        </w:tc>
        <w:tc>
          <w:tcPr>
            <w:tcW w:w="1417" w:type="dxa"/>
            <w:shd w:val="clear" w:color="auto" w:fill="auto"/>
            <w:vAlign w:val="bottom"/>
            <w:hideMark/>
          </w:tcPr>
          <w:p w14:paraId="1AF9AB27"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Z-3072</w:t>
            </w:r>
          </w:p>
        </w:tc>
        <w:tc>
          <w:tcPr>
            <w:tcW w:w="4820" w:type="dxa"/>
            <w:shd w:val="clear" w:color="auto" w:fill="auto"/>
            <w:noWrap/>
            <w:vAlign w:val="bottom"/>
            <w:hideMark/>
          </w:tcPr>
          <w:p w14:paraId="7727A86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Dvor</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Veliki</w:t>
            </w:r>
            <w:proofErr w:type="spellEnd"/>
            <w:r w:rsidRPr="00CE124D">
              <w:rPr>
                <w:rFonts w:ascii="Calibri" w:eastAsia="Times New Roman" w:hAnsi="Calibri" w:cs="Calibri"/>
                <w:color w:val="000000"/>
                <w:sz w:val="16"/>
                <w:szCs w:val="16"/>
                <w:lang w:val="en-GB" w:eastAsia="hr-HR"/>
              </w:rPr>
              <w:t xml:space="preserve"> Tabor</w:t>
            </w:r>
          </w:p>
        </w:tc>
        <w:tc>
          <w:tcPr>
            <w:tcW w:w="1984" w:type="dxa"/>
            <w:shd w:val="clear" w:color="auto" w:fill="auto"/>
            <w:vAlign w:val="bottom"/>
            <w:hideMark/>
          </w:tcPr>
          <w:p w14:paraId="4774117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 xml:space="preserve">Hum </w:t>
            </w:r>
            <w:proofErr w:type="spellStart"/>
            <w:r w:rsidRPr="00CE124D">
              <w:rPr>
                <w:rFonts w:ascii="Calibri" w:eastAsia="Times New Roman" w:hAnsi="Calibri" w:cs="Calibri"/>
                <w:color w:val="000000"/>
                <w:sz w:val="16"/>
                <w:szCs w:val="16"/>
                <w:lang w:val="en-GB" w:eastAsia="hr-HR"/>
              </w:rPr>
              <w:t>Košnički</w:t>
            </w:r>
            <w:proofErr w:type="spellEnd"/>
          </w:p>
        </w:tc>
      </w:tr>
      <w:tr w:rsidR="00D461DB" w:rsidRPr="00CE124D" w14:paraId="5183D43F" w14:textId="77777777" w:rsidTr="0030688C">
        <w:trPr>
          <w:trHeight w:val="20"/>
        </w:trPr>
        <w:tc>
          <w:tcPr>
            <w:tcW w:w="846" w:type="dxa"/>
            <w:shd w:val="clear" w:color="auto" w:fill="auto"/>
            <w:noWrap/>
            <w:vAlign w:val="bottom"/>
            <w:hideMark/>
          </w:tcPr>
          <w:p w14:paraId="265212BE"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6</w:t>
            </w:r>
          </w:p>
        </w:tc>
        <w:tc>
          <w:tcPr>
            <w:tcW w:w="1417" w:type="dxa"/>
            <w:shd w:val="clear" w:color="auto" w:fill="auto"/>
            <w:vAlign w:val="bottom"/>
            <w:hideMark/>
          </w:tcPr>
          <w:p w14:paraId="35A5C55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Z-5301</w:t>
            </w:r>
          </w:p>
        </w:tc>
        <w:tc>
          <w:tcPr>
            <w:tcW w:w="4820" w:type="dxa"/>
            <w:shd w:val="clear" w:color="auto" w:fill="auto"/>
            <w:noWrap/>
            <w:vAlign w:val="bottom"/>
            <w:hideMark/>
          </w:tcPr>
          <w:p w14:paraId="33904491"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Muzej</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Staro</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selo</w:t>
            </w:r>
            <w:proofErr w:type="spellEnd"/>
            <w:r w:rsidRPr="00CE124D">
              <w:rPr>
                <w:rFonts w:ascii="Calibri" w:eastAsia="Times New Roman" w:hAnsi="Calibri" w:cs="Calibri"/>
                <w:color w:val="000000"/>
                <w:sz w:val="16"/>
                <w:szCs w:val="16"/>
                <w:lang w:val="en-GB" w:eastAsia="hr-HR"/>
              </w:rPr>
              <w:t>"</w:t>
            </w:r>
          </w:p>
        </w:tc>
        <w:tc>
          <w:tcPr>
            <w:tcW w:w="1984" w:type="dxa"/>
            <w:shd w:val="clear" w:color="auto" w:fill="auto"/>
            <w:vAlign w:val="bottom"/>
            <w:hideMark/>
          </w:tcPr>
          <w:p w14:paraId="40A33DB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Kumrovec</w:t>
            </w:r>
            <w:proofErr w:type="spellEnd"/>
          </w:p>
        </w:tc>
      </w:tr>
      <w:tr w:rsidR="00D461DB" w:rsidRPr="00CE124D" w14:paraId="479846E5" w14:textId="77777777" w:rsidTr="0030688C">
        <w:trPr>
          <w:trHeight w:val="20"/>
        </w:trPr>
        <w:tc>
          <w:tcPr>
            <w:tcW w:w="846" w:type="dxa"/>
            <w:shd w:val="clear" w:color="auto" w:fill="auto"/>
            <w:noWrap/>
            <w:vAlign w:val="bottom"/>
            <w:hideMark/>
          </w:tcPr>
          <w:p w14:paraId="4972604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7</w:t>
            </w:r>
          </w:p>
        </w:tc>
        <w:tc>
          <w:tcPr>
            <w:tcW w:w="1417" w:type="dxa"/>
            <w:shd w:val="clear" w:color="auto" w:fill="auto"/>
            <w:vAlign w:val="bottom"/>
            <w:hideMark/>
          </w:tcPr>
          <w:p w14:paraId="43E3A8F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Z-4182</w:t>
            </w:r>
          </w:p>
        </w:tc>
        <w:tc>
          <w:tcPr>
            <w:tcW w:w="4820" w:type="dxa"/>
            <w:shd w:val="clear" w:color="auto" w:fill="auto"/>
            <w:noWrap/>
            <w:vAlign w:val="bottom"/>
            <w:hideMark/>
          </w:tcPr>
          <w:p w14:paraId="0FD67955"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Krapine</w:t>
            </w:r>
            <w:proofErr w:type="spellEnd"/>
          </w:p>
        </w:tc>
        <w:tc>
          <w:tcPr>
            <w:tcW w:w="1984" w:type="dxa"/>
            <w:shd w:val="clear" w:color="auto" w:fill="auto"/>
            <w:vAlign w:val="bottom"/>
            <w:hideMark/>
          </w:tcPr>
          <w:p w14:paraId="31F964AE"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Krapina</w:t>
            </w:r>
            <w:proofErr w:type="spellEnd"/>
          </w:p>
        </w:tc>
      </w:tr>
      <w:tr w:rsidR="00D461DB" w:rsidRPr="00CE124D" w14:paraId="08141CBF" w14:textId="77777777" w:rsidTr="0030688C">
        <w:trPr>
          <w:trHeight w:val="20"/>
        </w:trPr>
        <w:tc>
          <w:tcPr>
            <w:tcW w:w="846" w:type="dxa"/>
            <w:shd w:val="clear" w:color="auto" w:fill="auto"/>
            <w:noWrap/>
            <w:vAlign w:val="bottom"/>
            <w:hideMark/>
          </w:tcPr>
          <w:p w14:paraId="37E4974F"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8</w:t>
            </w:r>
          </w:p>
        </w:tc>
        <w:tc>
          <w:tcPr>
            <w:tcW w:w="1417" w:type="dxa"/>
            <w:shd w:val="clear" w:color="auto" w:fill="auto"/>
            <w:vAlign w:val="bottom"/>
            <w:hideMark/>
          </w:tcPr>
          <w:p w14:paraId="578D7C8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Z-4662</w:t>
            </w:r>
          </w:p>
        </w:tc>
        <w:tc>
          <w:tcPr>
            <w:tcW w:w="4820" w:type="dxa"/>
            <w:shd w:val="clear" w:color="auto" w:fill="auto"/>
            <w:noWrap/>
            <w:vAlign w:val="bottom"/>
            <w:hideMark/>
          </w:tcPr>
          <w:p w14:paraId="69F018A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w:t>
            </w:r>
            <w:proofErr w:type="spellEnd"/>
            <w:r w:rsidRPr="00CE124D">
              <w:rPr>
                <w:rFonts w:ascii="Calibri" w:eastAsia="Times New Roman" w:hAnsi="Calibri" w:cs="Calibri"/>
                <w:color w:val="000000"/>
                <w:sz w:val="16"/>
                <w:szCs w:val="16"/>
                <w:lang w:val="en-GB" w:eastAsia="hr-HR"/>
              </w:rPr>
              <w:t xml:space="preserve"> - </w:t>
            </w:r>
            <w:proofErr w:type="spellStart"/>
            <w:r w:rsidRPr="00CE124D">
              <w:rPr>
                <w:rFonts w:ascii="Calibri" w:eastAsia="Times New Roman" w:hAnsi="Calibri" w:cs="Calibri"/>
                <w:color w:val="000000"/>
                <w:sz w:val="16"/>
                <w:szCs w:val="16"/>
                <w:lang w:val="en-GB" w:eastAsia="hr-HR"/>
              </w:rPr>
              <w:t>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Donje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Stubice</w:t>
            </w:r>
            <w:proofErr w:type="spellEnd"/>
          </w:p>
        </w:tc>
        <w:tc>
          <w:tcPr>
            <w:tcW w:w="1984" w:type="dxa"/>
            <w:shd w:val="clear" w:color="auto" w:fill="auto"/>
            <w:vAlign w:val="bottom"/>
            <w:hideMark/>
          </w:tcPr>
          <w:p w14:paraId="3AEF441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Donja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Stubica</w:t>
            </w:r>
            <w:proofErr w:type="spellEnd"/>
          </w:p>
        </w:tc>
      </w:tr>
      <w:tr w:rsidR="00D461DB" w:rsidRPr="00CE124D" w14:paraId="1C326EA6" w14:textId="77777777" w:rsidTr="0030688C">
        <w:trPr>
          <w:trHeight w:val="20"/>
        </w:trPr>
        <w:tc>
          <w:tcPr>
            <w:tcW w:w="846" w:type="dxa"/>
            <w:shd w:val="clear" w:color="auto" w:fill="auto"/>
            <w:noWrap/>
            <w:vAlign w:val="bottom"/>
            <w:hideMark/>
          </w:tcPr>
          <w:p w14:paraId="069F7E91"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9</w:t>
            </w:r>
          </w:p>
        </w:tc>
        <w:tc>
          <w:tcPr>
            <w:tcW w:w="1417" w:type="dxa"/>
            <w:shd w:val="clear" w:color="auto" w:fill="auto"/>
            <w:vAlign w:val="bottom"/>
            <w:hideMark/>
          </w:tcPr>
          <w:p w14:paraId="2FC7367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Z-4905</w:t>
            </w:r>
          </w:p>
        </w:tc>
        <w:tc>
          <w:tcPr>
            <w:tcW w:w="4820" w:type="dxa"/>
            <w:shd w:val="clear" w:color="auto" w:fill="auto"/>
            <w:noWrap/>
            <w:vAlign w:val="bottom"/>
            <w:hideMark/>
          </w:tcPr>
          <w:p w14:paraId="0881A9D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Klanjca</w:t>
            </w:r>
            <w:proofErr w:type="spellEnd"/>
          </w:p>
        </w:tc>
        <w:tc>
          <w:tcPr>
            <w:tcW w:w="1984" w:type="dxa"/>
            <w:shd w:val="clear" w:color="auto" w:fill="auto"/>
            <w:vAlign w:val="bottom"/>
            <w:hideMark/>
          </w:tcPr>
          <w:p w14:paraId="715D1D1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Klanjec</w:t>
            </w:r>
            <w:proofErr w:type="spellEnd"/>
          </w:p>
        </w:tc>
      </w:tr>
      <w:tr w:rsidR="00D461DB" w:rsidRPr="00CE124D" w14:paraId="62C32F8E" w14:textId="77777777" w:rsidTr="0030688C">
        <w:trPr>
          <w:trHeight w:val="20"/>
        </w:trPr>
        <w:tc>
          <w:tcPr>
            <w:tcW w:w="846" w:type="dxa"/>
            <w:shd w:val="clear" w:color="auto" w:fill="auto"/>
            <w:noWrap/>
            <w:vAlign w:val="bottom"/>
            <w:hideMark/>
          </w:tcPr>
          <w:p w14:paraId="55CBA80D"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10</w:t>
            </w:r>
          </w:p>
        </w:tc>
        <w:tc>
          <w:tcPr>
            <w:tcW w:w="1417" w:type="dxa"/>
            <w:shd w:val="clear" w:color="auto" w:fill="auto"/>
            <w:vAlign w:val="bottom"/>
            <w:hideMark/>
          </w:tcPr>
          <w:p w14:paraId="00FADB1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Z-6130</w:t>
            </w:r>
          </w:p>
        </w:tc>
        <w:tc>
          <w:tcPr>
            <w:tcW w:w="4820" w:type="dxa"/>
            <w:shd w:val="clear" w:color="auto" w:fill="auto"/>
            <w:noWrap/>
            <w:vAlign w:val="bottom"/>
            <w:hideMark/>
          </w:tcPr>
          <w:p w14:paraId="32B37EB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grada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Zlatara</w:t>
            </w:r>
            <w:proofErr w:type="spellEnd"/>
          </w:p>
        </w:tc>
        <w:tc>
          <w:tcPr>
            <w:tcW w:w="1984" w:type="dxa"/>
            <w:shd w:val="clear" w:color="auto" w:fill="auto"/>
            <w:vAlign w:val="bottom"/>
            <w:hideMark/>
          </w:tcPr>
          <w:p w14:paraId="2B11BE6D"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Zlatar</w:t>
            </w:r>
            <w:proofErr w:type="spellEnd"/>
          </w:p>
        </w:tc>
      </w:tr>
      <w:tr w:rsidR="00D461DB" w:rsidRPr="00CE124D" w14:paraId="50FDD537" w14:textId="77777777" w:rsidTr="0030688C">
        <w:trPr>
          <w:trHeight w:val="20"/>
        </w:trPr>
        <w:tc>
          <w:tcPr>
            <w:tcW w:w="846" w:type="dxa"/>
            <w:shd w:val="clear" w:color="auto" w:fill="auto"/>
            <w:noWrap/>
            <w:vAlign w:val="bottom"/>
            <w:hideMark/>
          </w:tcPr>
          <w:p w14:paraId="75043582"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11</w:t>
            </w:r>
          </w:p>
        </w:tc>
        <w:tc>
          <w:tcPr>
            <w:tcW w:w="1417" w:type="dxa"/>
            <w:shd w:val="clear" w:color="auto" w:fill="auto"/>
            <w:vAlign w:val="bottom"/>
            <w:hideMark/>
          </w:tcPr>
          <w:p w14:paraId="3D85B95B"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Z-6747</w:t>
            </w:r>
          </w:p>
        </w:tc>
        <w:tc>
          <w:tcPr>
            <w:tcW w:w="4820" w:type="dxa"/>
            <w:shd w:val="clear" w:color="auto" w:fill="auto"/>
            <w:noWrap/>
            <w:vAlign w:val="bottom"/>
            <w:hideMark/>
          </w:tcPr>
          <w:p w14:paraId="4E24BF1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Svetog</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Križa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Začretja</w:t>
            </w:r>
            <w:proofErr w:type="spellEnd"/>
          </w:p>
        </w:tc>
        <w:tc>
          <w:tcPr>
            <w:tcW w:w="1984" w:type="dxa"/>
            <w:shd w:val="clear" w:color="auto" w:fill="auto"/>
            <w:vAlign w:val="bottom"/>
            <w:hideMark/>
          </w:tcPr>
          <w:p w14:paraId="72C37F76"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Sveti</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Križ</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Začretje</w:t>
            </w:r>
            <w:proofErr w:type="spellEnd"/>
          </w:p>
        </w:tc>
      </w:tr>
      <w:tr w:rsidR="00D461DB" w:rsidRPr="00CE124D" w14:paraId="004358FC" w14:textId="77777777" w:rsidTr="0030688C">
        <w:trPr>
          <w:trHeight w:val="20"/>
        </w:trPr>
        <w:tc>
          <w:tcPr>
            <w:tcW w:w="846" w:type="dxa"/>
            <w:shd w:val="clear" w:color="auto" w:fill="auto"/>
            <w:noWrap/>
            <w:vAlign w:val="bottom"/>
            <w:hideMark/>
          </w:tcPr>
          <w:p w14:paraId="34E988DB" w14:textId="77777777" w:rsidR="00D461DB" w:rsidRPr="00CE124D" w:rsidRDefault="00D461DB" w:rsidP="007D4FEA">
            <w:pPr>
              <w:suppressAutoHyphens w:val="0"/>
              <w:autoSpaceDN/>
              <w:spacing w:before="0" w:after="0" w:line="240" w:lineRule="auto"/>
              <w:jc w:val="center"/>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12</w:t>
            </w:r>
          </w:p>
        </w:tc>
        <w:tc>
          <w:tcPr>
            <w:tcW w:w="1417" w:type="dxa"/>
            <w:shd w:val="clear" w:color="auto" w:fill="auto"/>
            <w:vAlign w:val="bottom"/>
            <w:hideMark/>
          </w:tcPr>
          <w:p w14:paraId="7E340648"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Z-6832</w:t>
            </w:r>
          </w:p>
        </w:tc>
        <w:tc>
          <w:tcPr>
            <w:tcW w:w="4820" w:type="dxa"/>
            <w:shd w:val="clear" w:color="auto" w:fill="auto"/>
            <w:noWrap/>
            <w:vAlign w:val="bottom"/>
            <w:hideMark/>
          </w:tcPr>
          <w:p w14:paraId="2CE1F85C"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proofErr w:type="spellStart"/>
            <w:r w:rsidRPr="00CE124D">
              <w:rPr>
                <w:rFonts w:ascii="Calibri" w:eastAsia="Times New Roman" w:hAnsi="Calibri" w:cs="Calibri"/>
                <w:color w:val="000000"/>
                <w:sz w:val="16"/>
                <w:szCs w:val="16"/>
                <w:lang w:val="en-GB" w:eastAsia="hr-HR"/>
              </w:rPr>
              <w:t>Kulturnopovijesna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cjelina</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Marije</w:t>
            </w:r>
            <w:proofErr w:type="spellEnd"/>
            <w:r w:rsidRPr="00CE124D">
              <w:rPr>
                <w:rFonts w:ascii="Calibri" w:eastAsia="Times New Roman" w:hAnsi="Calibri" w:cs="Calibri"/>
                <w:color w:val="000000"/>
                <w:sz w:val="16"/>
                <w:szCs w:val="16"/>
                <w:lang w:val="en-GB" w:eastAsia="hr-HR"/>
              </w:rPr>
              <w:t xml:space="preserve"> </w:t>
            </w:r>
            <w:proofErr w:type="spellStart"/>
            <w:r w:rsidRPr="00CE124D">
              <w:rPr>
                <w:rFonts w:ascii="Calibri" w:eastAsia="Times New Roman" w:hAnsi="Calibri" w:cs="Calibri"/>
                <w:color w:val="000000"/>
                <w:sz w:val="16"/>
                <w:szCs w:val="16"/>
                <w:lang w:val="en-GB" w:eastAsia="hr-HR"/>
              </w:rPr>
              <w:t>Bistrice</w:t>
            </w:r>
            <w:proofErr w:type="spellEnd"/>
          </w:p>
        </w:tc>
        <w:tc>
          <w:tcPr>
            <w:tcW w:w="1984" w:type="dxa"/>
            <w:shd w:val="clear" w:color="auto" w:fill="auto"/>
            <w:vAlign w:val="bottom"/>
            <w:hideMark/>
          </w:tcPr>
          <w:p w14:paraId="7401B32A" w14:textId="77777777" w:rsidR="00D461DB" w:rsidRPr="00CE124D" w:rsidRDefault="00D461DB" w:rsidP="007D4FEA">
            <w:pPr>
              <w:suppressAutoHyphens w:val="0"/>
              <w:autoSpaceDN/>
              <w:spacing w:before="0" w:after="0" w:line="240" w:lineRule="auto"/>
              <w:jc w:val="left"/>
              <w:textAlignment w:val="auto"/>
              <w:rPr>
                <w:rFonts w:ascii="Calibri" w:eastAsia="Times New Roman" w:hAnsi="Calibri" w:cs="Calibri"/>
                <w:color w:val="000000"/>
                <w:sz w:val="16"/>
                <w:szCs w:val="16"/>
                <w:lang w:val="en-GB" w:eastAsia="hr-HR"/>
              </w:rPr>
            </w:pPr>
            <w:r w:rsidRPr="00CE124D">
              <w:rPr>
                <w:rFonts w:ascii="Calibri" w:eastAsia="Times New Roman" w:hAnsi="Calibri" w:cs="Calibri"/>
                <w:color w:val="000000"/>
                <w:sz w:val="16"/>
                <w:szCs w:val="16"/>
                <w:lang w:val="en-GB" w:eastAsia="hr-HR"/>
              </w:rPr>
              <w:t>Marija Bistrica</w:t>
            </w:r>
          </w:p>
        </w:tc>
      </w:tr>
    </w:tbl>
    <w:p w14:paraId="32B95F70" w14:textId="77777777" w:rsidR="00D461DB" w:rsidRPr="0030688C" w:rsidRDefault="00D461DB" w:rsidP="0030688C">
      <w:pPr>
        <w:jc w:val="right"/>
        <w:rPr>
          <w:rFonts w:ascii="Calibri" w:hAnsi="Calibri" w:cs="Calibri"/>
          <w:i/>
          <w:iCs/>
          <w:color w:val="FF0000"/>
          <w:sz w:val="20"/>
          <w:szCs w:val="20"/>
          <w:lang w:val="en-GB"/>
        </w:rPr>
      </w:pPr>
      <w:r w:rsidRPr="0030688C">
        <w:rPr>
          <w:rFonts w:ascii="Calibri" w:hAnsi="Calibri" w:cs="Calibri"/>
          <w:i/>
          <w:iCs/>
          <w:sz w:val="20"/>
          <w:szCs w:val="20"/>
          <w:lang w:val="en-GB"/>
        </w:rPr>
        <w:t>Source: Cultural Heritage Register, Ministry of Culture and Media, 29 September 2020</w:t>
      </w:r>
    </w:p>
    <w:p w14:paraId="612FF353" w14:textId="77777777" w:rsidR="00D461DB" w:rsidRDefault="00D461DB" w:rsidP="006607AD">
      <w:pPr>
        <w:rPr>
          <w:lang w:val="en-US"/>
        </w:rPr>
      </w:pPr>
    </w:p>
    <w:p w14:paraId="128B7D36" w14:textId="77777777" w:rsidR="00763BA9" w:rsidRDefault="00763BA9">
      <w:pPr>
        <w:suppressAutoHyphens w:val="0"/>
        <w:spacing w:before="0" w:after="160" w:line="256" w:lineRule="auto"/>
        <w:jc w:val="left"/>
        <w:rPr>
          <w:lang w:val="en-US"/>
        </w:rPr>
      </w:pPr>
      <w:r>
        <w:rPr>
          <w:lang w:val="en-US"/>
        </w:rPr>
        <w:br w:type="page"/>
      </w:r>
    </w:p>
    <w:p w14:paraId="61FB4955" w14:textId="70BCF9C0" w:rsidR="00E72724" w:rsidRPr="00AB7D1E" w:rsidRDefault="00E72724" w:rsidP="00E72724">
      <w:pPr>
        <w:pStyle w:val="Heading2"/>
        <w:rPr>
          <w:lang w:val="en-US"/>
        </w:rPr>
      </w:pPr>
      <w:bookmarkStart w:id="73" w:name="_Toc56954045"/>
      <w:r w:rsidRPr="00AB7D1E">
        <w:rPr>
          <w:lang w:val="en-US"/>
        </w:rPr>
        <w:lastRenderedPageBreak/>
        <w:t>Social baseline and relevant potential issues</w:t>
      </w:r>
      <w:bookmarkEnd w:id="73"/>
    </w:p>
    <w:p w14:paraId="22772AAB" w14:textId="0D27C395" w:rsidR="00E43AF4" w:rsidRPr="00AB7D1E" w:rsidRDefault="00775AAB" w:rsidP="00775AAB">
      <w:pPr>
        <w:pStyle w:val="Heading3"/>
        <w:rPr>
          <w:lang w:val="en-US"/>
        </w:rPr>
      </w:pPr>
      <w:bookmarkStart w:id="74" w:name="_Toc56954046"/>
      <w:r w:rsidRPr="00AB7D1E">
        <w:rPr>
          <w:lang w:val="en-US"/>
        </w:rPr>
        <w:t>General Information on Administrative division</w:t>
      </w:r>
      <w:bookmarkEnd w:id="74"/>
    </w:p>
    <w:p w14:paraId="4986E127" w14:textId="42634529" w:rsidR="00EF3BB8" w:rsidRPr="00AB7D1E" w:rsidRDefault="00C43416" w:rsidP="00EF3BB8">
      <w:pPr>
        <w:rPr>
          <w:lang w:val="en-US"/>
        </w:rPr>
      </w:pPr>
      <w:r w:rsidRPr="00AB7D1E">
        <w:rPr>
          <w:lang w:val="en-US"/>
        </w:rPr>
        <w:t>With a surface area of 56</w:t>
      </w:r>
      <w:r w:rsidR="00A02FDF" w:rsidRPr="00AB7D1E">
        <w:rPr>
          <w:lang w:val="en-US"/>
        </w:rPr>
        <w:t>.</w:t>
      </w:r>
      <w:r w:rsidRPr="00AB7D1E">
        <w:rPr>
          <w:lang w:val="en-US"/>
        </w:rPr>
        <w:t xml:space="preserve">594 km², </w:t>
      </w:r>
      <w:r w:rsidR="007F1E92" w:rsidRPr="00AB7D1E">
        <w:rPr>
          <w:lang w:val="en-US"/>
        </w:rPr>
        <w:t>Croatia</w:t>
      </w:r>
      <w:r w:rsidRPr="00AB7D1E">
        <w:rPr>
          <w:lang w:val="en-US"/>
        </w:rPr>
        <w:t xml:space="preserve"> is 1</w:t>
      </w:r>
      <w:r w:rsidR="005A56FC" w:rsidRPr="00AB7D1E">
        <w:rPr>
          <w:lang w:val="en-US"/>
        </w:rPr>
        <w:t>8</w:t>
      </w:r>
      <w:r w:rsidRPr="00AB7D1E">
        <w:rPr>
          <w:vertAlign w:val="superscript"/>
          <w:lang w:val="en-US"/>
        </w:rPr>
        <w:t>th</w:t>
      </w:r>
      <w:r w:rsidRPr="00AB7D1E">
        <w:rPr>
          <w:lang w:val="en-US"/>
        </w:rPr>
        <w:t xml:space="preserve"> among the European Union countries according to size. In terms of relief and climate, it is extremely diverse. The territory includes extensive plains in the continental region between the Rivers Drava and Sava (Slavonia), mountainous areas in the </w:t>
      </w:r>
      <w:proofErr w:type="spellStart"/>
      <w:r w:rsidRPr="00AB7D1E">
        <w:rPr>
          <w:lang w:val="en-US"/>
        </w:rPr>
        <w:t>centre</w:t>
      </w:r>
      <w:proofErr w:type="spellEnd"/>
      <w:r w:rsidRPr="00AB7D1E">
        <w:rPr>
          <w:lang w:val="en-US"/>
        </w:rPr>
        <w:t xml:space="preserve"> (</w:t>
      </w:r>
      <w:proofErr w:type="spellStart"/>
      <w:r w:rsidRPr="00AB7D1E">
        <w:rPr>
          <w:lang w:val="en-US"/>
        </w:rPr>
        <w:t>Lika</w:t>
      </w:r>
      <w:proofErr w:type="spellEnd"/>
      <w:r w:rsidRPr="00AB7D1E">
        <w:rPr>
          <w:lang w:val="en-US"/>
        </w:rPr>
        <w:t xml:space="preserve"> and Gorski </w:t>
      </w:r>
      <w:proofErr w:type="spellStart"/>
      <w:r w:rsidRPr="00AB7D1E">
        <w:rPr>
          <w:lang w:val="en-US"/>
        </w:rPr>
        <w:t>Kotar</w:t>
      </w:r>
      <w:proofErr w:type="spellEnd"/>
      <w:r w:rsidRPr="00AB7D1E">
        <w:rPr>
          <w:lang w:val="en-US"/>
        </w:rPr>
        <w:t xml:space="preserve">), and in the west and south, a long, indented, sunny coastline with over a thousand islands (Istria, </w:t>
      </w:r>
      <w:proofErr w:type="spellStart"/>
      <w:r w:rsidRPr="00AB7D1E">
        <w:rPr>
          <w:lang w:val="en-US"/>
        </w:rPr>
        <w:t>Kvarner</w:t>
      </w:r>
      <w:proofErr w:type="spellEnd"/>
      <w:r w:rsidRPr="00AB7D1E">
        <w:rPr>
          <w:lang w:val="en-US"/>
        </w:rPr>
        <w:t xml:space="preserve"> and Dalmatia).</w:t>
      </w:r>
      <w:r w:rsidR="006B06EA" w:rsidRPr="00AB7D1E">
        <w:rPr>
          <w:rStyle w:val="FootnoteReference"/>
          <w:lang w:val="en-US"/>
        </w:rPr>
        <w:footnoteReference w:id="55"/>
      </w:r>
    </w:p>
    <w:p w14:paraId="3F5E7573" w14:textId="5657EA2A" w:rsidR="002F3A66" w:rsidRPr="00AB7D1E" w:rsidRDefault="002F3A66" w:rsidP="006B06EA">
      <w:pPr>
        <w:jc w:val="center"/>
        <w:rPr>
          <w:lang w:val="en-US"/>
        </w:rPr>
      </w:pPr>
      <w:r w:rsidRPr="00AB7D1E">
        <w:rPr>
          <w:noProof/>
          <w:lang w:val="en-US" w:eastAsia="hr-HR"/>
        </w:rPr>
        <w:drawing>
          <wp:inline distT="0" distB="0" distL="0" distR="0" wp14:anchorId="2F29339B" wp14:editId="04D997C6">
            <wp:extent cx="2595979" cy="2557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9724" cy="2561129"/>
                    </a:xfrm>
                    <a:prstGeom prst="rect">
                      <a:avLst/>
                    </a:prstGeom>
                    <a:noFill/>
                    <a:ln>
                      <a:noFill/>
                    </a:ln>
                  </pic:spPr>
                </pic:pic>
              </a:graphicData>
            </a:graphic>
          </wp:inline>
        </w:drawing>
      </w:r>
    </w:p>
    <w:p w14:paraId="05BF1E12" w14:textId="2920DA2A" w:rsidR="002F3A66" w:rsidRPr="00AB7D1E" w:rsidRDefault="00DF0D3C" w:rsidP="00EC7A1B">
      <w:pPr>
        <w:pStyle w:val="Style2"/>
        <w:rPr>
          <w:lang w:val="en-US"/>
        </w:rPr>
      </w:pPr>
      <w:bookmarkStart w:id="75" w:name="_Toc56952692"/>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12</w:t>
      </w:r>
      <w:r w:rsidR="00DE594D" w:rsidRPr="00AB7D1E">
        <w:rPr>
          <w:lang w:val="en-US"/>
        </w:rPr>
        <w:fldChar w:fldCharType="end"/>
      </w:r>
      <w:r w:rsidRPr="00AB7D1E">
        <w:rPr>
          <w:lang w:val="en-US"/>
        </w:rPr>
        <w:t xml:space="preserve">. Geographic map of </w:t>
      </w:r>
      <w:r w:rsidR="007F1E92" w:rsidRPr="00AB7D1E">
        <w:rPr>
          <w:lang w:val="en-US"/>
        </w:rPr>
        <w:t>Croatia</w:t>
      </w:r>
      <w:r w:rsidRPr="00AB7D1E">
        <w:rPr>
          <w:lang w:val="en-US"/>
        </w:rPr>
        <w:t xml:space="preserve"> </w:t>
      </w:r>
      <w:r w:rsidR="002F3A66" w:rsidRPr="00AB7D1E">
        <w:rPr>
          <w:rStyle w:val="FootnoteReference"/>
          <w:i w:val="0"/>
          <w:iCs/>
          <w:color w:val="auto"/>
          <w:sz w:val="22"/>
          <w:lang w:val="en-US"/>
        </w:rPr>
        <w:footnoteReference w:id="56"/>
      </w:r>
      <w:bookmarkEnd w:id="75"/>
    </w:p>
    <w:p w14:paraId="4762699F" w14:textId="1968F6A6" w:rsidR="009D6928" w:rsidRPr="00AB7D1E" w:rsidRDefault="009D6928" w:rsidP="00F94A6E">
      <w:pPr>
        <w:rPr>
          <w:lang w:val="en-US"/>
        </w:rPr>
      </w:pPr>
      <w:r w:rsidRPr="00AB7D1E">
        <w:rPr>
          <w:lang w:val="en-US"/>
        </w:rPr>
        <w:t>The present administrative territorial division of the country was introduced in 1997 by Act on Counties, Cities and Municipalities in Republic of Croatia</w:t>
      </w:r>
      <w:r w:rsidRPr="00AB7D1E">
        <w:rPr>
          <w:rStyle w:val="FootnoteReference"/>
          <w:lang w:val="en-US"/>
        </w:rPr>
        <w:footnoteReference w:id="57"/>
      </w:r>
      <w:r w:rsidRPr="00AB7D1E">
        <w:rPr>
          <w:lang w:val="en-US"/>
        </w:rPr>
        <w:t>, when the 1992 division</w:t>
      </w:r>
      <w:r w:rsidR="001337DB" w:rsidRPr="00AB7D1E">
        <w:rPr>
          <w:lang w:val="en-US"/>
        </w:rPr>
        <w:t>, that beside counties and municipalities consisted also districts,</w:t>
      </w:r>
      <w:r w:rsidRPr="00AB7D1E">
        <w:rPr>
          <w:lang w:val="en-US"/>
        </w:rPr>
        <w:t xml:space="preserve"> was changed.</w:t>
      </w:r>
    </w:p>
    <w:p w14:paraId="23DE3B74" w14:textId="6836639C" w:rsidR="009D6928" w:rsidRPr="00AB7D1E" w:rsidRDefault="007F1E92" w:rsidP="00F94A6E">
      <w:pPr>
        <w:rPr>
          <w:lang w:val="en-US"/>
        </w:rPr>
      </w:pPr>
      <w:r w:rsidRPr="00AB7D1E">
        <w:rPr>
          <w:lang w:val="en-US"/>
        </w:rPr>
        <w:t>T</w:t>
      </w:r>
      <w:r w:rsidR="00F94A6E" w:rsidRPr="00AB7D1E">
        <w:rPr>
          <w:lang w:val="en-US"/>
        </w:rPr>
        <w:t xml:space="preserve">he </w:t>
      </w:r>
      <w:r w:rsidRPr="00AB7D1E">
        <w:rPr>
          <w:lang w:val="en-US"/>
        </w:rPr>
        <w:t xml:space="preserve">administrative/territorial </w:t>
      </w:r>
      <w:r w:rsidR="00F94A6E" w:rsidRPr="00AB7D1E">
        <w:rPr>
          <w:lang w:val="en-US"/>
        </w:rPr>
        <w:t xml:space="preserve">division of </w:t>
      </w:r>
      <w:hyperlink r:id="rId32" w:tooltip="Croatia" w:history="1">
        <w:r w:rsidR="00F94A6E" w:rsidRPr="00AB7D1E">
          <w:rPr>
            <w:lang w:val="en-US"/>
          </w:rPr>
          <w:t>Croatia</w:t>
        </w:r>
      </w:hyperlink>
      <w:r w:rsidRPr="00AB7D1E">
        <w:rPr>
          <w:lang w:val="en-US"/>
        </w:rPr>
        <w:t>,</w:t>
      </w:r>
      <w:r w:rsidR="00F94A6E" w:rsidRPr="00AB7D1E">
        <w:rPr>
          <w:lang w:val="en-US"/>
        </w:rPr>
        <w:t xml:space="preserve"> the first level</w:t>
      </w:r>
      <w:r w:rsidRPr="00AB7D1E">
        <w:rPr>
          <w:lang w:val="en-US"/>
        </w:rPr>
        <w:t>,</w:t>
      </w:r>
      <w:r w:rsidR="00F94A6E" w:rsidRPr="00AB7D1E">
        <w:rPr>
          <w:lang w:val="en-US"/>
        </w:rPr>
        <w:t xml:space="preserve"> are the </w:t>
      </w:r>
      <w:hyperlink r:id="rId33" w:tooltip="Counties of Croatia" w:history="1">
        <w:r w:rsidR="00F94A6E" w:rsidRPr="00AB7D1E">
          <w:rPr>
            <w:lang w:val="en-US"/>
          </w:rPr>
          <w:t>20 counties</w:t>
        </w:r>
      </w:hyperlink>
      <w:r w:rsidR="00F94A6E" w:rsidRPr="00AB7D1E">
        <w:rPr>
          <w:lang w:val="en-US"/>
        </w:rPr>
        <w:t xml:space="preserve"> and one city-county. </w:t>
      </w:r>
      <w:r w:rsidR="009F3B47" w:rsidRPr="00AB7D1E">
        <w:rPr>
          <w:lang w:val="en-US"/>
        </w:rPr>
        <w:t xml:space="preserve">Territorial division into counties is one of the historical features of the Republic of Croatia. According to some sources, counties were for the first time mentioned in the 10th century. </w:t>
      </w:r>
      <w:r w:rsidR="0043239F" w:rsidRPr="00AB7D1E">
        <w:rPr>
          <w:lang w:val="en-US"/>
        </w:rPr>
        <w:t xml:space="preserve">On the lower level there are 428 municipalities and 128 cities. </w:t>
      </w:r>
      <w:proofErr w:type="gramStart"/>
      <w:r w:rsidR="00746D0C" w:rsidRPr="00AB7D1E">
        <w:rPr>
          <w:lang w:val="en-US"/>
        </w:rPr>
        <w:t xml:space="preserve">The </w:t>
      </w:r>
      <w:r w:rsidRPr="00AB7D1E">
        <w:rPr>
          <w:lang w:val="en-US"/>
        </w:rPr>
        <w:t>C</w:t>
      </w:r>
      <w:r w:rsidR="00746D0C" w:rsidRPr="00AB7D1E">
        <w:rPr>
          <w:lang w:val="en-US"/>
        </w:rPr>
        <w:t>ity of Zagreb,</w:t>
      </w:r>
      <w:proofErr w:type="gramEnd"/>
      <w:r w:rsidR="00746D0C" w:rsidRPr="00AB7D1E">
        <w:rPr>
          <w:lang w:val="en-US"/>
        </w:rPr>
        <w:t xml:space="preserve"> has a special status of a city and county. </w:t>
      </w:r>
      <w:r w:rsidR="0043239F" w:rsidRPr="00AB7D1E">
        <w:rPr>
          <w:lang w:val="en-US"/>
        </w:rPr>
        <w:t>Smaller administrative territorial units within municipalities/cities are settlements (</w:t>
      </w:r>
      <w:r w:rsidR="0043239F" w:rsidRPr="00AB7D1E">
        <w:rPr>
          <w:lang w:val="en-US"/>
        </w:rPr>
        <w:fldChar w:fldCharType="begin"/>
      </w:r>
      <w:r w:rsidR="0043239F" w:rsidRPr="00AB7D1E">
        <w:rPr>
          <w:lang w:val="en-US"/>
        </w:rPr>
        <w:instrText xml:space="preserve"> REF _Ref47259254 \h  \* MERGEFORMAT </w:instrText>
      </w:r>
      <w:r w:rsidR="0043239F" w:rsidRPr="00AB7D1E">
        <w:rPr>
          <w:lang w:val="en-US"/>
        </w:rPr>
      </w:r>
      <w:r w:rsidR="0043239F" w:rsidRPr="00AB7D1E">
        <w:rPr>
          <w:lang w:val="en-US"/>
        </w:rPr>
        <w:fldChar w:fldCharType="separate"/>
      </w:r>
      <w:r w:rsidR="007D1E1B" w:rsidRPr="00AB7D1E">
        <w:rPr>
          <w:lang w:val="en-US"/>
        </w:rPr>
        <w:t xml:space="preserve">Figure </w:t>
      </w:r>
      <w:r w:rsidR="007D1E1B">
        <w:rPr>
          <w:lang w:val="en-US"/>
        </w:rPr>
        <w:t>13</w:t>
      </w:r>
      <w:r w:rsidR="0043239F" w:rsidRPr="00AB7D1E">
        <w:rPr>
          <w:lang w:val="en-US"/>
        </w:rPr>
        <w:fldChar w:fldCharType="end"/>
      </w:r>
      <w:r w:rsidR="0043239F" w:rsidRPr="00AB7D1E">
        <w:rPr>
          <w:lang w:val="en-US"/>
        </w:rPr>
        <w:t>).</w:t>
      </w:r>
      <w:r w:rsidR="0043239F" w:rsidRPr="00AB7D1E">
        <w:rPr>
          <w:rStyle w:val="FootnoteReference"/>
          <w:lang w:val="en-US"/>
        </w:rPr>
        <w:t xml:space="preserve"> </w:t>
      </w:r>
      <w:r w:rsidR="0043239F" w:rsidRPr="00AB7D1E">
        <w:rPr>
          <w:rStyle w:val="FootnoteReference"/>
          <w:lang w:val="en-US"/>
        </w:rPr>
        <w:footnoteReference w:id="58"/>
      </w:r>
    </w:p>
    <w:p w14:paraId="0DC71ACE" w14:textId="77777777" w:rsidR="005556C1" w:rsidRPr="00AB7D1E" w:rsidRDefault="005556C1" w:rsidP="005556C1">
      <w:pPr>
        <w:jc w:val="center"/>
        <w:rPr>
          <w:lang w:val="en-US"/>
        </w:rPr>
      </w:pPr>
      <w:r w:rsidRPr="00AB7D1E">
        <w:rPr>
          <w:noProof/>
          <w:lang w:val="en-US" w:eastAsia="hr-HR"/>
        </w:rPr>
        <w:lastRenderedPageBreak/>
        <w:drawing>
          <wp:inline distT="0" distB="0" distL="0" distR="0" wp14:anchorId="6D90340E" wp14:editId="706EED45">
            <wp:extent cx="2599846" cy="24829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20862" cy="2502972"/>
                    </a:xfrm>
                    <a:prstGeom prst="rect">
                      <a:avLst/>
                    </a:prstGeom>
                  </pic:spPr>
                </pic:pic>
              </a:graphicData>
            </a:graphic>
          </wp:inline>
        </w:drawing>
      </w:r>
    </w:p>
    <w:p w14:paraId="69DA225D" w14:textId="7EEA4E0E" w:rsidR="005556C1" w:rsidRPr="00AB7D1E" w:rsidRDefault="005556C1" w:rsidP="00EC7A1B">
      <w:pPr>
        <w:pStyle w:val="Style2"/>
        <w:rPr>
          <w:lang w:val="en-US"/>
        </w:rPr>
      </w:pPr>
      <w:bookmarkStart w:id="76" w:name="_Ref47259254"/>
      <w:bookmarkStart w:id="77" w:name="_Toc56952693"/>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13</w:t>
      </w:r>
      <w:r w:rsidR="00DE594D" w:rsidRPr="00AB7D1E">
        <w:rPr>
          <w:lang w:val="en-US"/>
        </w:rPr>
        <w:fldChar w:fldCharType="end"/>
      </w:r>
      <w:bookmarkEnd w:id="76"/>
      <w:r w:rsidRPr="00AB7D1E">
        <w:rPr>
          <w:lang w:val="en-US"/>
        </w:rPr>
        <w:t>. County division of Croatia</w:t>
      </w:r>
      <w:r w:rsidRPr="00AB7D1E">
        <w:rPr>
          <w:rStyle w:val="FootnoteReference"/>
          <w:i w:val="0"/>
          <w:iCs/>
          <w:color w:val="auto"/>
          <w:sz w:val="22"/>
          <w:lang w:val="en-US"/>
        </w:rPr>
        <w:footnoteReference w:id="59"/>
      </w:r>
      <w:bookmarkEnd w:id="77"/>
    </w:p>
    <w:p w14:paraId="540BCAAA" w14:textId="35B52C07" w:rsidR="00FA2EE6" w:rsidRPr="00AB7D1E" w:rsidRDefault="00FA2EE6" w:rsidP="00F30469">
      <w:pPr>
        <w:rPr>
          <w:lang w:val="en-US"/>
        </w:rPr>
      </w:pPr>
      <w:r w:rsidRPr="00AB7D1E">
        <w:rPr>
          <w:lang w:val="en-US"/>
        </w:rPr>
        <w:t xml:space="preserve">The capital and the largest city of the Republic of Croatia is </w:t>
      </w:r>
      <w:r w:rsidR="000D1A7D" w:rsidRPr="00AB7D1E">
        <w:rPr>
          <w:lang w:val="en-US"/>
        </w:rPr>
        <w:t xml:space="preserve">City of </w:t>
      </w:r>
      <w:r w:rsidRPr="00AB7D1E">
        <w:rPr>
          <w:lang w:val="en-US"/>
        </w:rPr>
        <w:t xml:space="preserve">Zagreb. </w:t>
      </w:r>
      <w:r w:rsidR="00A83F13" w:rsidRPr="00AB7D1E">
        <w:rPr>
          <w:lang w:val="en-US"/>
        </w:rPr>
        <w:t xml:space="preserve">It </w:t>
      </w:r>
      <w:proofErr w:type="gramStart"/>
      <w:r w:rsidR="00A83F13" w:rsidRPr="00AB7D1E">
        <w:rPr>
          <w:lang w:val="en-US"/>
        </w:rPr>
        <w:t>is located in</w:t>
      </w:r>
      <w:proofErr w:type="gramEnd"/>
      <w:r w:rsidR="00A83F13" w:rsidRPr="00AB7D1E">
        <w:rPr>
          <w:lang w:val="en-US"/>
        </w:rPr>
        <w:t xml:space="preserve"> the northwest of the country, along the Sava river, at the southern slopes of the </w:t>
      </w:r>
      <w:proofErr w:type="spellStart"/>
      <w:r w:rsidR="00A83F13" w:rsidRPr="00AB7D1E">
        <w:rPr>
          <w:lang w:val="en-US"/>
        </w:rPr>
        <w:t>Medvednica</w:t>
      </w:r>
      <w:proofErr w:type="spellEnd"/>
      <w:r w:rsidR="00A83F13" w:rsidRPr="00AB7D1E">
        <w:rPr>
          <w:lang w:val="en-US"/>
        </w:rPr>
        <w:t xml:space="preserve"> mountain. </w:t>
      </w:r>
      <w:r w:rsidR="000D1A7D" w:rsidRPr="00AB7D1E">
        <w:rPr>
          <w:lang w:val="en-US"/>
        </w:rPr>
        <w:t>It</w:t>
      </w:r>
      <w:r w:rsidR="00A83F13" w:rsidRPr="00AB7D1E">
        <w:rPr>
          <w:lang w:val="en-US"/>
        </w:rPr>
        <w:t xml:space="preserve"> lies at an elevation of approximately 122 m (400 ft) above sea level. </w:t>
      </w:r>
    </w:p>
    <w:p w14:paraId="088AB3DF" w14:textId="628644D7" w:rsidR="00F94A6E" w:rsidRPr="00AB7D1E" w:rsidRDefault="00F30469" w:rsidP="00F30469">
      <w:pPr>
        <w:rPr>
          <w:lang w:val="en-US"/>
        </w:rPr>
      </w:pPr>
      <w:r w:rsidRPr="00AB7D1E">
        <w:rPr>
          <w:lang w:val="en-US"/>
        </w:rPr>
        <w:t>Regarding Nomenclature of Territorial Units for Statistics (NUTS 2) which are used for collecting statistical data in EU and also for implementation of Cohesion policy, in 2019 the government launched changes to the, dividing Croatia into four statistical non-administrative units which will improve regional aid allocation and ensure better terms for the absorption of European Union cohesion funds</w:t>
      </w:r>
      <w:r w:rsidRPr="00AB7D1E">
        <w:rPr>
          <w:b/>
          <w:bCs/>
          <w:lang w:val="en-US"/>
        </w:rPr>
        <w:t xml:space="preserve">. </w:t>
      </w:r>
      <w:r w:rsidRPr="00AB7D1E">
        <w:rPr>
          <w:lang w:val="en-US"/>
        </w:rPr>
        <w:t>The government's decision, under which the country is divided into Pannonian Croatia, North Croatia, Adriatic Croatia and the City of Zagreb, will go into force on 1 January 2023.</w:t>
      </w:r>
      <w:r w:rsidRPr="00AB7D1E">
        <w:rPr>
          <w:rStyle w:val="FootnoteReference"/>
          <w:lang w:val="en-US"/>
        </w:rPr>
        <w:footnoteReference w:id="60"/>
      </w:r>
      <w:r w:rsidRPr="00AB7D1E">
        <w:rPr>
          <w:lang w:val="en-US"/>
        </w:rPr>
        <w:t xml:space="preserve"> </w:t>
      </w:r>
    </w:p>
    <w:p w14:paraId="2F8C89DB" w14:textId="5864E78B" w:rsidR="00F30469" w:rsidRPr="00AB7D1E" w:rsidRDefault="00B41C5E" w:rsidP="00F30469">
      <w:pPr>
        <w:rPr>
          <w:lang w:val="en-US"/>
        </w:rPr>
      </w:pPr>
      <w:r w:rsidRPr="00AB7D1E">
        <w:rPr>
          <w:lang w:val="en-US"/>
        </w:rPr>
        <w:t>Until then the NUTS2 division into two regions is valid</w:t>
      </w:r>
      <w:r w:rsidR="000D0A13" w:rsidRPr="00AB7D1E">
        <w:rPr>
          <w:lang w:val="en-US"/>
        </w:rPr>
        <w:t>, Adriatic Croatia, which includes seven coastal counties, and Continental Croatia, which includes the City of Zagreb and thirteen remaining counties</w:t>
      </w:r>
      <w:r w:rsidRPr="00AB7D1E">
        <w:rPr>
          <w:lang w:val="en-US"/>
        </w:rPr>
        <w:t>.</w:t>
      </w:r>
    </w:p>
    <w:p w14:paraId="5B5DDEA3" w14:textId="0CB894E0" w:rsidR="000D0A13" w:rsidRPr="00AB7D1E" w:rsidRDefault="00A66835" w:rsidP="0008023B">
      <w:pPr>
        <w:jc w:val="center"/>
        <w:rPr>
          <w:lang w:val="en-US"/>
        </w:rPr>
      </w:pPr>
      <w:r w:rsidRPr="00AB7D1E">
        <w:rPr>
          <w:noProof/>
          <w:lang w:val="en-US" w:eastAsia="hr-HR"/>
        </w:rPr>
        <w:drawing>
          <wp:inline distT="0" distB="0" distL="0" distR="0" wp14:anchorId="7F59A0B4" wp14:editId="42375E5A">
            <wp:extent cx="2650435" cy="24031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3300" t="32970" r="16937" b="51295"/>
                    <a:stretch/>
                  </pic:blipFill>
                  <pic:spPr bwMode="auto">
                    <a:xfrm>
                      <a:off x="0" y="0"/>
                      <a:ext cx="2752041" cy="2495288"/>
                    </a:xfrm>
                    <a:prstGeom prst="rect">
                      <a:avLst/>
                    </a:prstGeom>
                    <a:ln>
                      <a:noFill/>
                    </a:ln>
                    <a:extLst>
                      <a:ext uri="{53640926-AAD7-44D8-BBD7-CCE9431645EC}">
                        <a14:shadowObscured xmlns:a14="http://schemas.microsoft.com/office/drawing/2010/main"/>
                      </a:ext>
                    </a:extLst>
                  </pic:spPr>
                </pic:pic>
              </a:graphicData>
            </a:graphic>
          </wp:inline>
        </w:drawing>
      </w:r>
    </w:p>
    <w:p w14:paraId="71ADBB7F" w14:textId="3C2650D6" w:rsidR="00970CE6" w:rsidRDefault="00A66835" w:rsidP="004E4D82">
      <w:pPr>
        <w:pStyle w:val="Style2"/>
        <w:rPr>
          <w:lang w:val="en-US"/>
        </w:rPr>
      </w:pPr>
      <w:bookmarkStart w:id="78" w:name="_Toc56952694"/>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14</w:t>
      </w:r>
      <w:r w:rsidR="00DE594D" w:rsidRPr="00AB7D1E">
        <w:rPr>
          <w:lang w:val="en-US"/>
        </w:rPr>
        <w:fldChar w:fldCharType="end"/>
      </w:r>
      <w:r w:rsidRPr="00AB7D1E">
        <w:rPr>
          <w:lang w:val="en-US"/>
        </w:rPr>
        <w:t xml:space="preserve">. </w:t>
      </w:r>
      <w:r w:rsidR="0008023B" w:rsidRPr="00AB7D1E">
        <w:rPr>
          <w:lang w:val="en-US"/>
        </w:rPr>
        <w:t>NUTS 2 division which will go into force on 1 January 2023</w:t>
      </w:r>
      <w:r w:rsidR="004050F7" w:rsidRPr="00AB7D1E">
        <w:rPr>
          <w:rStyle w:val="FootnoteReference"/>
          <w:szCs w:val="20"/>
          <w:lang w:val="en-US"/>
        </w:rPr>
        <w:footnoteReference w:id="61"/>
      </w:r>
      <w:bookmarkEnd w:id="78"/>
    </w:p>
    <w:p w14:paraId="7D05476D" w14:textId="083DC2F3" w:rsidR="00FC7860" w:rsidRPr="00AB7D1E" w:rsidRDefault="00775AAB" w:rsidP="00FC7860">
      <w:pPr>
        <w:pStyle w:val="Heading3"/>
        <w:spacing w:before="0" w:after="0"/>
        <w:rPr>
          <w:lang w:val="en-US"/>
        </w:rPr>
      </w:pPr>
      <w:bookmarkStart w:id="79" w:name="_Toc56954047"/>
      <w:r w:rsidRPr="00AB7D1E">
        <w:rPr>
          <w:lang w:val="en-US"/>
        </w:rPr>
        <w:lastRenderedPageBreak/>
        <w:t>Population</w:t>
      </w:r>
      <w:bookmarkEnd w:id="79"/>
    </w:p>
    <w:p w14:paraId="2D3F098C" w14:textId="01E40C45" w:rsidR="00142E00" w:rsidRPr="00AB7D1E" w:rsidRDefault="005A56FC" w:rsidP="00142E00">
      <w:pPr>
        <w:rPr>
          <w:lang w:val="en-US"/>
        </w:rPr>
      </w:pPr>
      <w:r w:rsidRPr="00AB7D1E">
        <w:rPr>
          <w:lang w:val="en-US"/>
        </w:rPr>
        <w:t>With 4.</w:t>
      </w:r>
      <w:r w:rsidR="00B45D95" w:rsidRPr="00AB7D1E">
        <w:rPr>
          <w:lang w:val="en-US"/>
        </w:rPr>
        <w:t>0</w:t>
      </w:r>
      <w:r w:rsidR="00710790" w:rsidRPr="00AB7D1E">
        <w:rPr>
          <w:lang w:val="en-US"/>
        </w:rPr>
        <w:t>87</w:t>
      </w:r>
      <w:r w:rsidR="00B45D95" w:rsidRPr="00AB7D1E">
        <w:rPr>
          <w:lang w:val="en-US"/>
        </w:rPr>
        <w:t>.</w:t>
      </w:r>
      <w:r w:rsidR="00710790" w:rsidRPr="00AB7D1E">
        <w:rPr>
          <w:lang w:val="en-US"/>
        </w:rPr>
        <w:t>843</w:t>
      </w:r>
      <w:r w:rsidRPr="00AB7D1E">
        <w:rPr>
          <w:lang w:val="en-US"/>
        </w:rPr>
        <w:t xml:space="preserve"> million inhabitants</w:t>
      </w:r>
      <w:r w:rsidR="00142E00" w:rsidRPr="00AB7D1E">
        <w:rPr>
          <w:lang w:val="en-US"/>
        </w:rPr>
        <w:t xml:space="preserve"> in 2018</w:t>
      </w:r>
      <w:r w:rsidR="00142E00" w:rsidRPr="00AB7D1E">
        <w:rPr>
          <w:rStyle w:val="FootnoteReference"/>
          <w:lang w:val="en-US"/>
        </w:rPr>
        <w:footnoteReference w:id="62"/>
      </w:r>
      <w:r w:rsidRPr="00AB7D1E">
        <w:rPr>
          <w:lang w:val="en-US"/>
        </w:rPr>
        <w:t>, Croatia is 20</w:t>
      </w:r>
      <w:r w:rsidR="00B45D95" w:rsidRPr="00AB7D1E">
        <w:rPr>
          <w:vertAlign w:val="superscript"/>
          <w:lang w:val="en-US"/>
        </w:rPr>
        <w:t xml:space="preserve">th </w:t>
      </w:r>
      <w:r w:rsidRPr="00AB7D1E">
        <w:rPr>
          <w:lang w:val="en-US"/>
        </w:rPr>
        <w:t xml:space="preserve">among the members of the European Union. </w:t>
      </w:r>
      <w:r w:rsidR="005915CE" w:rsidRPr="00AB7D1E">
        <w:rPr>
          <w:lang w:val="en-US"/>
        </w:rPr>
        <w:t>P</w:t>
      </w:r>
      <w:r w:rsidR="00142E00" w:rsidRPr="00AB7D1E">
        <w:rPr>
          <w:lang w:val="en-US"/>
        </w:rPr>
        <w:t xml:space="preserve">opulation density </w:t>
      </w:r>
      <w:r w:rsidR="005915CE" w:rsidRPr="00AB7D1E">
        <w:rPr>
          <w:lang w:val="en-US"/>
        </w:rPr>
        <w:t xml:space="preserve">amounts to </w:t>
      </w:r>
      <w:r w:rsidR="00142E00" w:rsidRPr="00AB7D1E">
        <w:rPr>
          <w:lang w:val="en-US"/>
        </w:rPr>
        <w:t>72 per km²</w:t>
      </w:r>
      <w:r w:rsidR="005915CE" w:rsidRPr="00AB7D1E">
        <w:rPr>
          <w:lang w:val="en-US"/>
        </w:rPr>
        <w:t xml:space="preserve"> which makes it as</w:t>
      </w:r>
      <w:r w:rsidR="00142E00" w:rsidRPr="00AB7D1E">
        <w:rPr>
          <w:lang w:val="en-US"/>
        </w:rPr>
        <w:t xml:space="preserve"> one of the more sparsely populated European countries, along with Norway, Finland, Sweden, Estonia, Latvia, Lithuania, Ireland and Bulgaria.</w:t>
      </w:r>
    </w:p>
    <w:p w14:paraId="4809D447" w14:textId="758DD837" w:rsidR="00135298" w:rsidRPr="00AB7D1E" w:rsidRDefault="00135298" w:rsidP="00135298">
      <w:pPr>
        <w:jc w:val="center"/>
        <w:rPr>
          <w:lang w:val="en-US"/>
        </w:rPr>
      </w:pPr>
      <w:r w:rsidRPr="00AB7D1E">
        <w:rPr>
          <w:noProof/>
          <w:lang w:val="en-US" w:eastAsia="hr-HR"/>
        </w:rPr>
        <w:drawing>
          <wp:inline distT="0" distB="0" distL="0" distR="0" wp14:anchorId="5C50952B" wp14:editId="1E253459">
            <wp:extent cx="2300110" cy="2512725"/>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688" t="17727" r="52670" b="20819"/>
                    <a:stretch/>
                  </pic:blipFill>
                  <pic:spPr bwMode="auto">
                    <a:xfrm>
                      <a:off x="0" y="0"/>
                      <a:ext cx="2310351" cy="2523912"/>
                    </a:xfrm>
                    <a:prstGeom prst="rect">
                      <a:avLst/>
                    </a:prstGeom>
                    <a:ln>
                      <a:noFill/>
                    </a:ln>
                    <a:extLst>
                      <a:ext uri="{53640926-AAD7-44D8-BBD7-CCE9431645EC}">
                        <a14:shadowObscured xmlns:a14="http://schemas.microsoft.com/office/drawing/2010/main"/>
                      </a:ext>
                    </a:extLst>
                  </pic:spPr>
                </pic:pic>
              </a:graphicData>
            </a:graphic>
          </wp:inline>
        </w:drawing>
      </w:r>
    </w:p>
    <w:p w14:paraId="5DACA806" w14:textId="0CEA9401" w:rsidR="00135298" w:rsidRPr="00AB7D1E" w:rsidRDefault="00135298" w:rsidP="004E4D82">
      <w:pPr>
        <w:pStyle w:val="Style2"/>
        <w:rPr>
          <w:lang w:val="en-US"/>
        </w:rPr>
      </w:pPr>
      <w:bookmarkStart w:id="80" w:name="_Toc56952695"/>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15</w:t>
      </w:r>
      <w:r w:rsidR="00DE594D" w:rsidRPr="00AB7D1E">
        <w:rPr>
          <w:lang w:val="en-US"/>
        </w:rPr>
        <w:fldChar w:fldCharType="end"/>
      </w:r>
      <w:r w:rsidRPr="00AB7D1E">
        <w:rPr>
          <w:lang w:val="en-US"/>
        </w:rPr>
        <w:t>. Croatia population density map</w:t>
      </w:r>
      <w:r w:rsidRPr="00AB7D1E">
        <w:rPr>
          <w:rStyle w:val="FootnoteReference"/>
          <w:lang w:val="en-US"/>
        </w:rPr>
        <w:footnoteReference w:id="63"/>
      </w:r>
      <w:bookmarkEnd w:id="80"/>
    </w:p>
    <w:p w14:paraId="3C8154CD" w14:textId="47CCCB63" w:rsidR="00472502" w:rsidRPr="00AB7D1E" w:rsidRDefault="005A56FC" w:rsidP="00FC7860">
      <w:pPr>
        <w:rPr>
          <w:lang w:val="en-US"/>
        </w:rPr>
      </w:pPr>
      <w:r w:rsidRPr="00AB7D1E">
        <w:rPr>
          <w:lang w:val="en-US"/>
        </w:rPr>
        <w:t xml:space="preserve">For the past twenty years, the population has been decreasing. </w:t>
      </w:r>
      <w:r w:rsidR="00472502" w:rsidRPr="00AB7D1E">
        <w:rPr>
          <w:lang w:val="en-US"/>
        </w:rPr>
        <w:t>The decrease in the total number of inhabitants was realized by all counties, except the City of Zagreb</w:t>
      </w:r>
      <w:r w:rsidR="0005216C" w:rsidRPr="00AB7D1E">
        <w:rPr>
          <w:lang w:val="en-US"/>
        </w:rPr>
        <w:t xml:space="preserve"> and the County of Istria</w:t>
      </w:r>
      <w:r w:rsidR="00472502" w:rsidRPr="00AB7D1E">
        <w:rPr>
          <w:lang w:val="en-US"/>
        </w:rPr>
        <w:t>, in which, compared to the previous year's estimate, there was a relative increase of 0</w:t>
      </w:r>
      <w:r w:rsidR="00710790" w:rsidRPr="00AB7D1E">
        <w:rPr>
          <w:lang w:val="en-US"/>
        </w:rPr>
        <w:t>,</w:t>
      </w:r>
      <w:r w:rsidR="00472502" w:rsidRPr="00AB7D1E">
        <w:rPr>
          <w:lang w:val="en-US"/>
        </w:rPr>
        <w:t xml:space="preserve">22% </w:t>
      </w:r>
      <w:r w:rsidR="0005216C" w:rsidRPr="00AB7D1E">
        <w:rPr>
          <w:lang w:val="en-US"/>
        </w:rPr>
        <w:t xml:space="preserve">and </w:t>
      </w:r>
      <w:r w:rsidR="00472502" w:rsidRPr="00AB7D1E">
        <w:rPr>
          <w:lang w:val="en-US"/>
        </w:rPr>
        <w:t>0</w:t>
      </w:r>
      <w:r w:rsidR="00710790" w:rsidRPr="00AB7D1E">
        <w:rPr>
          <w:lang w:val="en-US"/>
        </w:rPr>
        <w:t>,</w:t>
      </w:r>
      <w:r w:rsidR="00472502" w:rsidRPr="00AB7D1E">
        <w:rPr>
          <w:lang w:val="en-US"/>
        </w:rPr>
        <w:t xml:space="preserve">26%. The largest relative decline in population was recorded in </w:t>
      </w:r>
      <w:proofErr w:type="spellStart"/>
      <w:r w:rsidR="00472502" w:rsidRPr="00AB7D1E">
        <w:rPr>
          <w:lang w:val="en-US"/>
        </w:rPr>
        <w:t>Vukovar-Srijem</w:t>
      </w:r>
      <w:proofErr w:type="spellEnd"/>
      <w:r w:rsidR="00472502" w:rsidRPr="00AB7D1E">
        <w:rPr>
          <w:lang w:val="en-US"/>
        </w:rPr>
        <w:t xml:space="preserve"> County (3</w:t>
      </w:r>
      <w:r w:rsidR="00710790" w:rsidRPr="00AB7D1E">
        <w:rPr>
          <w:lang w:val="en-US"/>
        </w:rPr>
        <w:t>,</w:t>
      </w:r>
      <w:r w:rsidR="00472502" w:rsidRPr="00AB7D1E">
        <w:rPr>
          <w:lang w:val="en-US"/>
        </w:rPr>
        <w:t>04%).</w:t>
      </w:r>
    </w:p>
    <w:p w14:paraId="5EDE23BF" w14:textId="005C25DB" w:rsidR="00142E00" w:rsidRPr="00AB7D1E" w:rsidRDefault="00142E00" w:rsidP="00FC7860">
      <w:pPr>
        <w:rPr>
          <w:lang w:val="en-US"/>
        </w:rPr>
      </w:pPr>
      <w:r w:rsidRPr="00AB7D1E">
        <w:rPr>
          <w:lang w:val="en-US"/>
        </w:rPr>
        <w:t xml:space="preserve">About 52% of the population lives in only five counties, mostly in the City of Zagreb (804.507 or 19,7%) and in the Split-Dalmatia County (448.071 or 11,0%), while </w:t>
      </w:r>
      <w:proofErr w:type="spellStart"/>
      <w:r w:rsidRPr="00AB7D1E">
        <w:rPr>
          <w:lang w:val="en-US"/>
        </w:rPr>
        <w:t>Požega</w:t>
      </w:r>
      <w:proofErr w:type="spellEnd"/>
      <w:r w:rsidRPr="00AB7D1E">
        <w:rPr>
          <w:lang w:val="en-US"/>
        </w:rPr>
        <w:t xml:space="preserve">-Slavonia County had the least population. (67.862 or 1,7%) and </w:t>
      </w:r>
      <w:proofErr w:type="spellStart"/>
      <w:r w:rsidRPr="00AB7D1E">
        <w:rPr>
          <w:lang w:val="en-US"/>
        </w:rPr>
        <w:t>Lika-Senj</w:t>
      </w:r>
      <w:proofErr w:type="spellEnd"/>
      <w:r w:rsidRPr="00AB7D1E">
        <w:rPr>
          <w:lang w:val="en-US"/>
        </w:rPr>
        <w:t xml:space="preserve"> County (45.184 or 1,1%).</w:t>
      </w:r>
    </w:p>
    <w:p w14:paraId="04EEAADF" w14:textId="195AB1BB" w:rsidR="001F4ACA" w:rsidRPr="00AB7D1E" w:rsidRDefault="001F4ACA" w:rsidP="001F4ACA">
      <w:pPr>
        <w:rPr>
          <w:lang w:val="en-US"/>
        </w:rPr>
      </w:pPr>
      <w:r w:rsidRPr="00AB7D1E">
        <w:rPr>
          <w:lang w:val="en-US"/>
        </w:rPr>
        <w:t xml:space="preserve">A long period of depopulation has resulted in many negative consequences, such as the reduction of the core population producing new generations, the reduction of the active working population, and the increasing care needs of the older population; in other words, increased economic and social burdens placed on the </w:t>
      </w:r>
      <w:r w:rsidR="00D743F5" w:rsidRPr="00AB7D1E">
        <w:rPr>
          <w:lang w:val="en-US"/>
        </w:rPr>
        <w:t>s</w:t>
      </w:r>
      <w:r w:rsidRPr="00AB7D1E">
        <w:rPr>
          <w:lang w:val="en-US"/>
        </w:rPr>
        <w:t xml:space="preserve">tate </w:t>
      </w:r>
      <w:r w:rsidR="00D743F5" w:rsidRPr="00AB7D1E">
        <w:rPr>
          <w:lang w:val="en-US"/>
        </w:rPr>
        <w:t>b</w:t>
      </w:r>
      <w:r w:rsidRPr="00AB7D1E">
        <w:rPr>
          <w:lang w:val="en-US"/>
        </w:rPr>
        <w:t>udget in the areas of pension insurance, social and health care of the elderly, etc.</w:t>
      </w:r>
      <w:r w:rsidR="00253CC6" w:rsidRPr="00AB7D1E">
        <w:rPr>
          <w:rStyle w:val="FootnoteReference"/>
          <w:lang w:val="en-US"/>
        </w:rPr>
        <w:footnoteReference w:id="64"/>
      </w:r>
    </w:p>
    <w:p w14:paraId="531DD420" w14:textId="77777777" w:rsidR="001F4ACA" w:rsidRPr="00AB7D1E" w:rsidRDefault="001F4ACA" w:rsidP="001F4ACA">
      <w:pPr>
        <w:rPr>
          <w:lang w:val="en-US"/>
        </w:rPr>
      </w:pPr>
      <w:r w:rsidRPr="00AB7D1E">
        <w:rPr>
          <w:lang w:val="en-US"/>
        </w:rPr>
        <w:t xml:space="preserve">Apart from the decreasing population, the contemporary demographic picture of Croatia is much like those of the other members of the EU. It is </w:t>
      </w:r>
      <w:proofErr w:type="spellStart"/>
      <w:r w:rsidRPr="00AB7D1E">
        <w:rPr>
          <w:lang w:val="en-US"/>
        </w:rPr>
        <w:t>characterised</w:t>
      </w:r>
      <w:proofErr w:type="spellEnd"/>
      <w:r w:rsidRPr="00AB7D1E">
        <w:rPr>
          <w:lang w:val="en-US"/>
        </w:rPr>
        <w:t xml:space="preserve"> by three processes: ageing, natural depopulation, and spatial </w:t>
      </w:r>
      <w:proofErr w:type="spellStart"/>
      <w:r w:rsidRPr="00AB7D1E">
        <w:rPr>
          <w:lang w:val="en-US"/>
        </w:rPr>
        <w:t>polarisation</w:t>
      </w:r>
      <w:proofErr w:type="spellEnd"/>
      <w:r w:rsidRPr="00AB7D1E">
        <w:rPr>
          <w:lang w:val="en-US"/>
        </w:rPr>
        <w:t xml:space="preserve"> of the population.</w:t>
      </w:r>
    </w:p>
    <w:p w14:paraId="5A3535E9" w14:textId="11EAAF70" w:rsidR="00472502" w:rsidRPr="00AB7D1E" w:rsidRDefault="001F4ACA" w:rsidP="00FC7860">
      <w:pPr>
        <w:rPr>
          <w:lang w:val="en-US"/>
        </w:rPr>
      </w:pPr>
      <w:r w:rsidRPr="00AB7D1E">
        <w:rPr>
          <w:lang w:val="en-US"/>
        </w:rPr>
        <w:t xml:space="preserve">The average age, which was </w:t>
      </w:r>
      <w:r w:rsidR="00472502" w:rsidRPr="00AB7D1E">
        <w:rPr>
          <w:lang w:val="en-US"/>
        </w:rPr>
        <w:t>34</w:t>
      </w:r>
      <w:r w:rsidRPr="00AB7D1E">
        <w:rPr>
          <w:lang w:val="en-US"/>
        </w:rPr>
        <w:t xml:space="preserve"> </w:t>
      </w:r>
      <w:r w:rsidR="00472502" w:rsidRPr="00AB7D1E">
        <w:rPr>
          <w:lang w:val="en-US"/>
        </w:rPr>
        <w:t>fifty</w:t>
      </w:r>
      <w:r w:rsidRPr="00AB7D1E">
        <w:rPr>
          <w:lang w:val="en-US"/>
        </w:rPr>
        <w:t xml:space="preserve"> years ago, has risen to 4</w:t>
      </w:r>
      <w:r w:rsidR="008519D3" w:rsidRPr="00AB7D1E">
        <w:rPr>
          <w:lang w:val="en-US"/>
        </w:rPr>
        <w:t>3</w:t>
      </w:r>
      <w:r w:rsidR="00A37AE8" w:rsidRPr="00AB7D1E">
        <w:rPr>
          <w:lang w:val="en-US"/>
        </w:rPr>
        <w:t>,</w:t>
      </w:r>
      <w:r w:rsidR="008519D3" w:rsidRPr="00AB7D1E">
        <w:rPr>
          <w:lang w:val="en-US"/>
        </w:rPr>
        <w:t>4 in 2018</w:t>
      </w:r>
      <w:r w:rsidR="00472502" w:rsidRPr="00AB7D1E">
        <w:rPr>
          <w:lang w:val="en-US"/>
        </w:rPr>
        <w:t xml:space="preserve"> which ranks Croats among the oldest nations in Europe. O</w:t>
      </w:r>
      <w:r w:rsidRPr="00AB7D1E">
        <w:rPr>
          <w:lang w:val="en-US"/>
        </w:rPr>
        <w:t>ne quarter of the population of Croatia is over 60 years old</w:t>
      </w:r>
      <w:r w:rsidR="00142E00" w:rsidRPr="00AB7D1E">
        <w:rPr>
          <w:lang w:val="en-US"/>
        </w:rPr>
        <w:t xml:space="preserve"> while the s</w:t>
      </w:r>
      <w:r w:rsidR="00710790" w:rsidRPr="00AB7D1E">
        <w:rPr>
          <w:lang w:val="en-US"/>
        </w:rPr>
        <w:t xml:space="preserve">hare of the young people aged 0 to 19 years at the state level </w:t>
      </w:r>
      <w:r w:rsidR="00142E00" w:rsidRPr="00AB7D1E">
        <w:rPr>
          <w:lang w:val="en-US"/>
        </w:rPr>
        <w:t>is</w:t>
      </w:r>
      <w:r w:rsidR="00710790" w:rsidRPr="00AB7D1E">
        <w:rPr>
          <w:lang w:val="en-US"/>
        </w:rPr>
        <w:t xml:space="preserve"> 19</w:t>
      </w:r>
      <w:r w:rsidR="00A37AE8" w:rsidRPr="00AB7D1E">
        <w:rPr>
          <w:lang w:val="en-US"/>
        </w:rPr>
        <w:t>,</w:t>
      </w:r>
      <w:r w:rsidR="00710790" w:rsidRPr="00AB7D1E">
        <w:rPr>
          <w:lang w:val="en-US"/>
        </w:rPr>
        <w:t>6%.,</w:t>
      </w:r>
    </w:p>
    <w:p w14:paraId="60534AC7" w14:textId="7C87BB8E" w:rsidR="00B8108C" w:rsidRPr="00AB7D1E" w:rsidRDefault="00B8108C" w:rsidP="00FC7860">
      <w:pPr>
        <w:rPr>
          <w:lang w:val="en-US"/>
        </w:rPr>
      </w:pPr>
      <w:r w:rsidRPr="00AB7D1E">
        <w:rPr>
          <w:lang w:val="en-US"/>
        </w:rPr>
        <w:lastRenderedPageBreak/>
        <w:t xml:space="preserve">The share of women in the total population </w:t>
      </w:r>
      <w:r w:rsidR="0064753D" w:rsidRPr="00AB7D1E">
        <w:rPr>
          <w:lang w:val="en-US"/>
        </w:rPr>
        <w:t>is</w:t>
      </w:r>
      <w:r w:rsidRPr="00AB7D1E">
        <w:rPr>
          <w:lang w:val="en-US"/>
        </w:rPr>
        <w:t xml:space="preserve"> 51</w:t>
      </w:r>
      <w:r w:rsidR="0064753D" w:rsidRPr="00AB7D1E">
        <w:rPr>
          <w:lang w:val="en-US"/>
        </w:rPr>
        <w:t>,</w:t>
      </w:r>
      <w:r w:rsidRPr="00AB7D1E">
        <w:rPr>
          <w:lang w:val="en-US"/>
        </w:rPr>
        <w:t>7%, and the share of men 48</w:t>
      </w:r>
      <w:r w:rsidR="0064753D" w:rsidRPr="00AB7D1E">
        <w:rPr>
          <w:lang w:val="en-US"/>
        </w:rPr>
        <w:t>,</w:t>
      </w:r>
      <w:r w:rsidRPr="00AB7D1E">
        <w:rPr>
          <w:lang w:val="en-US"/>
        </w:rPr>
        <w:t xml:space="preserve">3%. Such a ratio </w:t>
      </w:r>
      <w:r w:rsidR="0064753D" w:rsidRPr="00AB7D1E">
        <w:rPr>
          <w:lang w:val="en-US"/>
        </w:rPr>
        <w:t>is present</w:t>
      </w:r>
      <w:r w:rsidRPr="00AB7D1E">
        <w:rPr>
          <w:lang w:val="en-US"/>
        </w:rPr>
        <w:t xml:space="preserve"> in most counties. The smallest share of the female population was in </w:t>
      </w:r>
      <w:proofErr w:type="spellStart"/>
      <w:r w:rsidRPr="00AB7D1E">
        <w:rPr>
          <w:lang w:val="en-US"/>
        </w:rPr>
        <w:t>Lika-Senj</w:t>
      </w:r>
      <w:proofErr w:type="spellEnd"/>
      <w:r w:rsidRPr="00AB7D1E">
        <w:rPr>
          <w:lang w:val="en-US"/>
        </w:rPr>
        <w:t xml:space="preserve"> County (50</w:t>
      </w:r>
      <w:r w:rsidR="0064753D" w:rsidRPr="00AB7D1E">
        <w:rPr>
          <w:lang w:val="en-US"/>
        </w:rPr>
        <w:t>,</w:t>
      </w:r>
      <w:r w:rsidRPr="00AB7D1E">
        <w:rPr>
          <w:lang w:val="en-US"/>
        </w:rPr>
        <w:t>1%), while the largest share was in the City of Zagreb (53</w:t>
      </w:r>
      <w:r w:rsidR="0064753D" w:rsidRPr="00AB7D1E">
        <w:rPr>
          <w:lang w:val="en-US"/>
        </w:rPr>
        <w:t>,</w:t>
      </w:r>
      <w:r w:rsidRPr="00AB7D1E">
        <w:rPr>
          <w:lang w:val="en-US"/>
        </w:rPr>
        <w:t>1%).</w:t>
      </w:r>
    </w:p>
    <w:p w14:paraId="44DF51E5" w14:textId="5995F75A" w:rsidR="00142E00" w:rsidRPr="00AB7D1E" w:rsidRDefault="009E47B1" w:rsidP="00FC7860">
      <w:pPr>
        <w:rPr>
          <w:lang w:val="en-US"/>
        </w:rPr>
      </w:pPr>
      <w:r w:rsidRPr="00AB7D1E">
        <w:rPr>
          <w:lang w:val="en-US"/>
        </w:rPr>
        <w:t>The share of the fertile contingent in the total female population continued to decrease. Therefore, in 2018, it amounted to 41,5%.</w:t>
      </w:r>
      <w:r w:rsidR="00A37AE8" w:rsidRPr="00AB7D1E">
        <w:rPr>
          <w:lang w:val="en-US"/>
        </w:rPr>
        <w:t xml:space="preserve"> Average number of children per woman of fertile age is 1.4, it is below multi-year average for the EU-28 which is in the range of 1.55-1.62.</w:t>
      </w:r>
      <w:r w:rsidR="00A37AE8" w:rsidRPr="00AB7D1E">
        <w:rPr>
          <w:rStyle w:val="FootnoteReference"/>
          <w:lang w:val="en-US"/>
        </w:rPr>
        <w:footnoteReference w:id="65"/>
      </w:r>
    </w:p>
    <w:p w14:paraId="2E1722E2" w14:textId="3F305C91" w:rsidR="00670637" w:rsidRPr="00AB7D1E" w:rsidRDefault="00670637" w:rsidP="00FC7860">
      <w:pPr>
        <w:rPr>
          <w:lang w:val="en-US"/>
        </w:rPr>
      </w:pPr>
      <w:r w:rsidRPr="00AB7D1E">
        <w:rPr>
          <w:lang w:val="en-US"/>
        </w:rPr>
        <w:t>The natural increase rate was negative at -3</w:t>
      </w:r>
      <w:r w:rsidR="00A37AE8" w:rsidRPr="00AB7D1E">
        <w:rPr>
          <w:lang w:val="en-US"/>
        </w:rPr>
        <w:t>,</w:t>
      </w:r>
      <w:r w:rsidRPr="00AB7D1E">
        <w:rPr>
          <w:lang w:val="en-US"/>
        </w:rPr>
        <w:t>9 (-15</w:t>
      </w:r>
      <w:r w:rsidR="00A37AE8" w:rsidRPr="00AB7D1E">
        <w:rPr>
          <w:lang w:val="en-US"/>
        </w:rPr>
        <w:t>.</w:t>
      </w:r>
      <w:r w:rsidRPr="00AB7D1E">
        <w:rPr>
          <w:lang w:val="en-US"/>
        </w:rPr>
        <w:t>761 persons). The negative natural increase was also confirmed by the vital index (live births per 100 deaths), which amounted to 70</w:t>
      </w:r>
      <w:r w:rsidR="00A37AE8" w:rsidRPr="00AB7D1E">
        <w:rPr>
          <w:lang w:val="en-US"/>
        </w:rPr>
        <w:t>,</w:t>
      </w:r>
      <w:r w:rsidRPr="00AB7D1E">
        <w:rPr>
          <w:lang w:val="en-US"/>
        </w:rPr>
        <w:t>1. The negative natural increase rate was recorded in all counties.</w:t>
      </w:r>
      <w:r w:rsidRPr="00AB7D1E">
        <w:rPr>
          <w:rStyle w:val="FootnoteReference"/>
          <w:lang w:val="en-US"/>
        </w:rPr>
        <w:footnoteReference w:id="66"/>
      </w:r>
    </w:p>
    <w:p w14:paraId="7169B35A" w14:textId="2F4292BC" w:rsidR="00670637" w:rsidRPr="00AB7D1E" w:rsidRDefault="00670637" w:rsidP="00FC7860">
      <w:pPr>
        <w:rPr>
          <w:lang w:val="en-US"/>
        </w:rPr>
      </w:pPr>
      <w:r w:rsidRPr="00AB7D1E">
        <w:rPr>
          <w:lang w:val="en-US"/>
        </w:rPr>
        <w:t>A positive natural increase was recorded in 58 towns</w:t>
      </w:r>
      <w:r w:rsidR="00166BC7" w:rsidRPr="00AB7D1E">
        <w:rPr>
          <w:lang w:val="en-US"/>
        </w:rPr>
        <w:t xml:space="preserve"> </w:t>
      </w:r>
      <w:r w:rsidRPr="00AB7D1E">
        <w:rPr>
          <w:lang w:val="en-US"/>
        </w:rPr>
        <w:t>/</w:t>
      </w:r>
      <w:r w:rsidR="00166BC7" w:rsidRPr="00AB7D1E">
        <w:rPr>
          <w:lang w:val="en-US"/>
        </w:rPr>
        <w:t xml:space="preserve"> </w:t>
      </w:r>
      <w:r w:rsidRPr="00AB7D1E">
        <w:rPr>
          <w:lang w:val="en-US"/>
        </w:rPr>
        <w:t>municipalities, negative one in 492 towns</w:t>
      </w:r>
      <w:r w:rsidR="00166BC7" w:rsidRPr="00AB7D1E">
        <w:rPr>
          <w:lang w:val="en-US"/>
        </w:rPr>
        <w:t xml:space="preserve"> </w:t>
      </w:r>
      <w:r w:rsidRPr="00AB7D1E">
        <w:rPr>
          <w:lang w:val="en-US"/>
        </w:rPr>
        <w:t>/</w:t>
      </w:r>
      <w:r w:rsidR="00166BC7" w:rsidRPr="00AB7D1E">
        <w:rPr>
          <w:lang w:val="en-US"/>
        </w:rPr>
        <w:t xml:space="preserve"> </w:t>
      </w:r>
      <w:r w:rsidRPr="00AB7D1E">
        <w:rPr>
          <w:lang w:val="en-US"/>
        </w:rPr>
        <w:t>municipalities</w:t>
      </w:r>
      <w:r w:rsidR="00A37AE8" w:rsidRPr="00AB7D1E">
        <w:rPr>
          <w:lang w:val="en-US"/>
        </w:rPr>
        <w:t xml:space="preserve"> </w:t>
      </w:r>
      <w:r w:rsidRPr="00AB7D1E">
        <w:rPr>
          <w:lang w:val="en-US"/>
        </w:rPr>
        <w:t>and in the City of Zagreb, while 5 towns</w:t>
      </w:r>
      <w:r w:rsidR="00166BC7" w:rsidRPr="00AB7D1E">
        <w:rPr>
          <w:lang w:val="en-US"/>
        </w:rPr>
        <w:t xml:space="preserve"> </w:t>
      </w:r>
      <w:r w:rsidRPr="00AB7D1E">
        <w:rPr>
          <w:lang w:val="en-US"/>
        </w:rPr>
        <w:t>/</w:t>
      </w:r>
      <w:r w:rsidR="00166BC7" w:rsidRPr="00AB7D1E">
        <w:rPr>
          <w:lang w:val="en-US"/>
        </w:rPr>
        <w:t xml:space="preserve"> </w:t>
      </w:r>
      <w:r w:rsidRPr="00AB7D1E">
        <w:rPr>
          <w:lang w:val="en-US"/>
        </w:rPr>
        <w:t xml:space="preserve">municipalities recorded a </w:t>
      </w:r>
      <w:r w:rsidR="006F48A3" w:rsidRPr="00AB7D1E">
        <w:rPr>
          <w:lang w:val="en-US"/>
        </w:rPr>
        <w:t>zero-natural</w:t>
      </w:r>
      <w:r w:rsidRPr="00AB7D1E">
        <w:rPr>
          <w:lang w:val="en-US"/>
        </w:rPr>
        <w:t xml:space="preserve"> increase.</w:t>
      </w:r>
      <w:r w:rsidR="00BC2481" w:rsidRPr="00AB7D1E">
        <w:rPr>
          <w:lang w:val="en-US"/>
        </w:rPr>
        <w:t xml:space="preserve"> </w:t>
      </w:r>
    </w:p>
    <w:p w14:paraId="6BF42771" w14:textId="77777777" w:rsidR="000A68A0" w:rsidRPr="00AB7D1E" w:rsidRDefault="000A68A0" w:rsidP="000A68A0">
      <w:pPr>
        <w:pStyle w:val="Heading3"/>
        <w:rPr>
          <w:lang w:val="en-US"/>
        </w:rPr>
      </w:pPr>
      <w:bookmarkStart w:id="81" w:name="_Toc46268620"/>
      <w:bookmarkStart w:id="82" w:name="_Toc56954048"/>
      <w:r w:rsidRPr="00AB7D1E">
        <w:rPr>
          <w:lang w:val="en-US"/>
        </w:rPr>
        <w:t>Economy</w:t>
      </w:r>
      <w:bookmarkEnd w:id="81"/>
      <w:bookmarkEnd w:id="82"/>
      <w:r w:rsidRPr="00AB7D1E">
        <w:rPr>
          <w:lang w:val="en-US"/>
        </w:rPr>
        <w:t xml:space="preserve"> </w:t>
      </w:r>
    </w:p>
    <w:p w14:paraId="3F50AB1B" w14:textId="7E9C8BC7" w:rsidR="001A6F5F" w:rsidRPr="00AB7D1E" w:rsidRDefault="001A6F5F" w:rsidP="001A6F5F">
      <w:pPr>
        <w:spacing w:before="0" w:after="160" w:line="256" w:lineRule="auto"/>
        <w:rPr>
          <w:lang w:val="en-US"/>
        </w:rPr>
      </w:pPr>
      <w:r w:rsidRPr="00AB7D1E">
        <w:rPr>
          <w:lang w:val="en-US"/>
        </w:rPr>
        <w:t>After a six-year recession, 2019 was the fifth year in a row in which stable and moderate economic growth was achieved. The realized GDP growth rate was 2</w:t>
      </w:r>
      <w:r w:rsidR="00850D4F" w:rsidRPr="00AB7D1E">
        <w:rPr>
          <w:lang w:val="en-US"/>
        </w:rPr>
        <w:t>,</w:t>
      </w:r>
      <w:r w:rsidRPr="00AB7D1E">
        <w:rPr>
          <w:lang w:val="en-US"/>
        </w:rPr>
        <w:t xml:space="preserve">9%, which is a slight increase compared to the previous year when the value of </w:t>
      </w:r>
      <w:r w:rsidR="002405F3" w:rsidRPr="00AB7D1E">
        <w:rPr>
          <w:lang w:val="en-US"/>
        </w:rPr>
        <w:t>Gross domestic product (</w:t>
      </w:r>
      <w:r w:rsidRPr="00AB7D1E">
        <w:rPr>
          <w:lang w:val="en-US"/>
        </w:rPr>
        <w:t>GDP</w:t>
      </w:r>
      <w:r w:rsidR="002405F3" w:rsidRPr="00AB7D1E">
        <w:rPr>
          <w:lang w:val="en-US"/>
        </w:rPr>
        <w:t>)</w:t>
      </w:r>
      <w:r w:rsidRPr="00AB7D1E">
        <w:rPr>
          <w:lang w:val="en-US"/>
        </w:rPr>
        <w:t xml:space="preserve"> was 2</w:t>
      </w:r>
      <w:r w:rsidR="00850D4F" w:rsidRPr="00AB7D1E">
        <w:rPr>
          <w:lang w:val="en-US"/>
        </w:rPr>
        <w:t>,</w:t>
      </w:r>
      <w:r w:rsidRPr="00AB7D1E">
        <w:rPr>
          <w:lang w:val="en-US"/>
        </w:rPr>
        <w:t>7%.</w:t>
      </w:r>
      <w:r w:rsidRPr="00AB7D1E">
        <w:rPr>
          <w:vertAlign w:val="superscript"/>
          <w:lang w:val="en-US"/>
        </w:rPr>
        <w:footnoteReference w:id="67"/>
      </w:r>
      <w:r w:rsidRPr="00AB7D1E">
        <w:rPr>
          <w:lang w:val="en-US"/>
        </w:rPr>
        <w:t xml:space="preserve"> </w:t>
      </w:r>
    </w:p>
    <w:p w14:paraId="3EBF34E1" w14:textId="5A5BBF91" w:rsidR="00E76FEB" w:rsidRPr="00AB7D1E" w:rsidRDefault="00E76FEB" w:rsidP="00E76FEB">
      <w:pPr>
        <w:rPr>
          <w:lang w:val="en-US" w:eastAsia="hr-HR"/>
        </w:rPr>
      </w:pPr>
      <w:r w:rsidRPr="00AB7D1E">
        <w:rPr>
          <w:lang w:val="en-US" w:eastAsia="hr-HR"/>
        </w:rPr>
        <w:t>According to the last available public data, for 2018, the most important sectors of Croatia’s economy is wholesale and retail trade, transport, accommodation and food services (23</w:t>
      </w:r>
      <w:r w:rsidR="00850D4F" w:rsidRPr="00AB7D1E">
        <w:rPr>
          <w:lang w:val="en-US" w:eastAsia="hr-HR"/>
        </w:rPr>
        <w:t>,</w:t>
      </w:r>
      <w:r w:rsidRPr="00AB7D1E">
        <w:rPr>
          <w:lang w:val="en-US" w:eastAsia="hr-HR"/>
        </w:rPr>
        <w:t>1%)</w:t>
      </w:r>
      <w:r w:rsidR="000E0EF7" w:rsidRPr="00AB7D1E">
        <w:rPr>
          <w:lang w:val="en-US" w:eastAsia="hr-HR"/>
        </w:rPr>
        <w:t>,</w:t>
      </w:r>
      <w:r w:rsidRPr="00AB7D1E">
        <w:rPr>
          <w:lang w:val="en-US" w:eastAsia="hr-HR"/>
        </w:rPr>
        <w:t xml:space="preserve"> industry (20</w:t>
      </w:r>
      <w:r w:rsidR="00850D4F" w:rsidRPr="00AB7D1E">
        <w:rPr>
          <w:lang w:val="en-US" w:eastAsia="hr-HR"/>
        </w:rPr>
        <w:t>,</w:t>
      </w:r>
      <w:r w:rsidRPr="00AB7D1E">
        <w:rPr>
          <w:lang w:val="en-US" w:eastAsia="hr-HR"/>
        </w:rPr>
        <w:t xml:space="preserve">4%) and public administration, </w:t>
      </w:r>
      <w:proofErr w:type="spellStart"/>
      <w:r w:rsidRPr="00AB7D1E">
        <w:rPr>
          <w:lang w:val="en-US" w:eastAsia="hr-HR"/>
        </w:rPr>
        <w:t>defence</w:t>
      </w:r>
      <w:proofErr w:type="spellEnd"/>
      <w:r w:rsidRPr="00AB7D1E">
        <w:rPr>
          <w:lang w:val="en-US" w:eastAsia="hr-HR"/>
        </w:rPr>
        <w:t>, education, human health and social work activities</w:t>
      </w:r>
      <w:r w:rsidR="000E0EF7" w:rsidRPr="00AB7D1E">
        <w:rPr>
          <w:lang w:val="en-US" w:eastAsia="hr-HR"/>
        </w:rPr>
        <w:t xml:space="preserve"> </w:t>
      </w:r>
      <w:r w:rsidRPr="00AB7D1E">
        <w:rPr>
          <w:lang w:val="en-US" w:eastAsia="hr-HR"/>
        </w:rPr>
        <w:t>(15</w:t>
      </w:r>
      <w:r w:rsidR="00850D4F" w:rsidRPr="00AB7D1E">
        <w:rPr>
          <w:lang w:val="en-US" w:eastAsia="hr-HR"/>
        </w:rPr>
        <w:t>,</w:t>
      </w:r>
      <w:r w:rsidRPr="00AB7D1E">
        <w:rPr>
          <w:lang w:val="en-US" w:eastAsia="hr-HR"/>
        </w:rPr>
        <w:t>5%).</w:t>
      </w:r>
      <w:r w:rsidRPr="00AB7D1E">
        <w:rPr>
          <w:rStyle w:val="FootnoteReference"/>
          <w:lang w:val="en-US" w:eastAsia="hr-HR"/>
        </w:rPr>
        <w:footnoteReference w:id="68"/>
      </w:r>
    </w:p>
    <w:p w14:paraId="79BCBA95" w14:textId="77777777" w:rsidR="00761845" w:rsidRPr="00AB7D1E" w:rsidRDefault="00E76FEB" w:rsidP="00761845">
      <w:pPr>
        <w:rPr>
          <w:lang w:val="en-US"/>
        </w:rPr>
      </w:pPr>
      <w:r w:rsidRPr="00AB7D1E">
        <w:rPr>
          <w:lang w:val="en-US"/>
        </w:rPr>
        <w:t xml:space="preserve">The service sector in total represents </w:t>
      </w:r>
      <w:r w:rsidR="000E0EF7" w:rsidRPr="00AB7D1E">
        <w:rPr>
          <w:lang w:val="en-US"/>
        </w:rPr>
        <w:t xml:space="preserve">about </w:t>
      </w:r>
      <w:r w:rsidRPr="00AB7D1E">
        <w:rPr>
          <w:lang w:val="en-US"/>
        </w:rPr>
        <w:t>59% of the country’s GDP, employing</w:t>
      </w:r>
      <w:r w:rsidR="007A5EA7" w:rsidRPr="00AB7D1E">
        <w:rPr>
          <w:lang w:val="en-US"/>
        </w:rPr>
        <w:t xml:space="preserve"> almost </w:t>
      </w:r>
      <w:r w:rsidRPr="00AB7D1E">
        <w:rPr>
          <w:lang w:val="en-US"/>
        </w:rPr>
        <w:t>7</w:t>
      </w:r>
      <w:r w:rsidR="007A5EA7" w:rsidRPr="00AB7D1E">
        <w:rPr>
          <w:lang w:val="en-US"/>
        </w:rPr>
        <w:t>0</w:t>
      </w:r>
      <w:r w:rsidRPr="00AB7D1E">
        <w:rPr>
          <w:lang w:val="en-US"/>
        </w:rPr>
        <w:t>% of the workforce.</w:t>
      </w:r>
      <w:r w:rsidR="00761845" w:rsidRPr="00AB7D1E">
        <w:rPr>
          <w:lang w:val="en-US"/>
        </w:rPr>
        <w:t xml:space="preserve"> </w:t>
      </w:r>
    </w:p>
    <w:p w14:paraId="39161268" w14:textId="1B3037F7" w:rsidR="00761845" w:rsidRPr="00AB7D1E" w:rsidRDefault="00DF164D" w:rsidP="00761845">
      <w:pPr>
        <w:rPr>
          <w:lang w:val="en-US"/>
        </w:rPr>
      </w:pPr>
      <w:r w:rsidRPr="00AB7D1E">
        <w:rPr>
          <w:lang w:val="en-US"/>
        </w:rPr>
        <w:t>Regarding, th</w:t>
      </w:r>
      <w:r w:rsidR="00761845" w:rsidRPr="00AB7D1E">
        <w:rPr>
          <w:lang w:val="en-US"/>
        </w:rPr>
        <w:t xml:space="preserve">e tourism sector, </w:t>
      </w:r>
      <w:r w:rsidRPr="00AB7D1E">
        <w:rPr>
          <w:lang w:val="en-US"/>
        </w:rPr>
        <w:t>i</w:t>
      </w:r>
      <w:r w:rsidR="00761845" w:rsidRPr="00AB7D1E">
        <w:rPr>
          <w:lang w:val="en-US"/>
        </w:rPr>
        <w:t>n 2018 international tourists' expenditure in Croatia amounted to almost 20% of GDP – by far the largest share in the EU.</w:t>
      </w:r>
      <w:r w:rsidR="00761845" w:rsidRPr="00AB7D1E">
        <w:rPr>
          <w:rStyle w:val="FootnoteReference"/>
          <w:lang w:val="en-US"/>
        </w:rPr>
        <w:t xml:space="preserve"> </w:t>
      </w:r>
      <w:r w:rsidR="00761845" w:rsidRPr="00AB7D1E">
        <w:rPr>
          <w:rStyle w:val="FootnoteReference"/>
          <w:lang w:val="en-US"/>
        </w:rPr>
        <w:footnoteReference w:id="69"/>
      </w:r>
    </w:p>
    <w:p w14:paraId="1CAD50BC" w14:textId="16A70792" w:rsidR="00E76FEB" w:rsidRPr="00AB7D1E" w:rsidRDefault="00E76FEB" w:rsidP="00E76FEB">
      <w:pPr>
        <w:rPr>
          <w:lang w:val="en-US" w:eastAsia="hr-HR"/>
        </w:rPr>
      </w:pPr>
      <w:r w:rsidRPr="00AB7D1E">
        <w:rPr>
          <w:lang w:val="en-US" w:eastAsia="hr-HR"/>
        </w:rPr>
        <w:t xml:space="preserve">Intra-EU trade accounts for 68% of Croatia’s exports (Italy 14%, Germany 13% and Slovenia 11%), while outside the EU 9% go to Bosnia </w:t>
      </w:r>
      <w:r w:rsidR="002405F3" w:rsidRPr="00AB7D1E">
        <w:rPr>
          <w:lang w:val="en-US" w:eastAsia="hr-HR"/>
        </w:rPr>
        <w:t>and</w:t>
      </w:r>
      <w:r w:rsidRPr="00AB7D1E">
        <w:rPr>
          <w:lang w:val="en-US" w:eastAsia="hr-HR"/>
        </w:rPr>
        <w:t xml:space="preserve"> Herzegovina and 4% to Serbia.</w:t>
      </w:r>
      <w:r w:rsidR="007A5EA7" w:rsidRPr="00AB7D1E">
        <w:rPr>
          <w:lang w:val="en-US" w:eastAsia="hr-HR"/>
        </w:rPr>
        <w:t xml:space="preserve"> </w:t>
      </w:r>
      <w:r w:rsidRPr="00AB7D1E">
        <w:rPr>
          <w:lang w:val="en-US" w:eastAsia="hr-HR"/>
        </w:rPr>
        <w:t xml:space="preserve">In terms of imports, 78% come from EU Member States (15% Germany, Italy 13% and Slovenia 11%), while outside the EU 3% come from both Bosnia </w:t>
      </w:r>
      <w:r w:rsidR="002405F3" w:rsidRPr="00AB7D1E">
        <w:rPr>
          <w:lang w:val="en-US" w:eastAsia="hr-HR"/>
        </w:rPr>
        <w:t>and</w:t>
      </w:r>
      <w:r w:rsidRPr="00AB7D1E">
        <w:rPr>
          <w:lang w:val="en-US" w:eastAsia="hr-HR"/>
        </w:rPr>
        <w:t xml:space="preserve"> Herzegovina and China.</w:t>
      </w:r>
      <w:r w:rsidR="007A5EA7" w:rsidRPr="00AB7D1E">
        <w:rPr>
          <w:rStyle w:val="FootnoteReference"/>
          <w:lang w:val="en-US" w:eastAsia="hr-HR"/>
        </w:rPr>
        <w:footnoteReference w:id="70"/>
      </w:r>
    </w:p>
    <w:p w14:paraId="56863821" w14:textId="180F7A93" w:rsidR="001E7C4D" w:rsidRPr="00AB7D1E" w:rsidRDefault="0099292D" w:rsidP="00635376">
      <w:pPr>
        <w:rPr>
          <w:lang w:val="en-US"/>
        </w:rPr>
      </w:pPr>
      <w:r w:rsidRPr="00AB7D1E">
        <w:rPr>
          <w:lang w:val="en-US"/>
        </w:rPr>
        <w:t xml:space="preserve">Last available </w:t>
      </w:r>
      <w:r w:rsidR="00DE51DB" w:rsidRPr="00AB7D1E">
        <w:rPr>
          <w:lang w:val="en-US"/>
        </w:rPr>
        <w:t xml:space="preserve">public </w:t>
      </w:r>
      <w:r w:rsidRPr="00AB7D1E">
        <w:rPr>
          <w:lang w:val="en-US"/>
        </w:rPr>
        <w:t>data (2017)</w:t>
      </w:r>
      <w:r w:rsidR="00363D90" w:rsidRPr="00AB7D1E">
        <w:rPr>
          <w:rStyle w:val="FootnoteReference"/>
          <w:lang w:val="en-US"/>
        </w:rPr>
        <w:footnoteReference w:id="71"/>
      </w:r>
      <w:r w:rsidRPr="00AB7D1E">
        <w:rPr>
          <w:lang w:val="en-US"/>
        </w:rPr>
        <w:t xml:space="preserve"> show that significantly the largest share in the GDP of the country, of all counties makes the City of Zagreb (34%). The share for other counties varies from 1% to 8%. </w:t>
      </w:r>
    </w:p>
    <w:p w14:paraId="79B02095" w14:textId="43121828" w:rsidR="00D027FE" w:rsidRPr="00AB7D1E" w:rsidRDefault="00D027FE" w:rsidP="00635376">
      <w:pPr>
        <w:rPr>
          <w:lang w:val="en-US"/>
        </w:rPr>
      </w:pPr>
      <w:r w:rsidRPr="00AB7D1E">
        <w:rPr>
          <w:lang w:val="en-US"/>
        </w:rPr>
        <w:t xml:space="preserve">In 2020 the escalation of the coronavirus crisis and the measures introduced by public health authorities to limit the spread of the contagion have led to a significant decline in economic activity. Lengthy disruptions in global supply chains and falling demand, especially for travel and tourism—the single most important sector in the Croatian economy—could contribute to an even stronger </w:t>
      </w:r>
      <w:r w:rsidRPr="00AB7D1E">
        <w:rPr>
          <w:lang w:val="en-US"/>
        </w:rPr>
        <w:lastRenderedPageBreak/>
        <w:t>economic recession. This would also result in a further widening of the fiscal deficit, requiring substantial borrowing and leading to a large increase in public debt.</w:t>
      </w:r>
    </w:p>
    <w:p w14:paraId="1C4B86DF" w14:textId="68222168" w:rsidR="00D027FE" w:rsidRPr="00AB7D1E" w:rsidRDefault="00D027FE" w:rsidP="00635376">
      <w:pPr>
        <w:rPr>
          <w:lang w:val="en-US"/>
        </w:rPr>
      </w:pPr>
      <w:r w:rsidRPr="00AB7D1E">
        <w:rPr>
          <w:lang w:val="en-US"/>
        </w:rPr>
        <w:t>The social and economic impact of the coronavirus pandemic is further exacerbated by the damaging earthquake that struck the Croatian capital and its surroundings on March 22, 2020. While the results of the damage assessment are still pending, the economic impact is expected to be very severe and reconstruction may take several years.</w:t>
      </w:r>
      <w:r w:rsidR="002115FE" w:rsidRPr="00AB7D1E">
        <w:rPr>
          <w:rStyle w:val="FootnoteReference"/>
          <w:lang w:val="en-US"/>
        </w:rPr>
        <w:footnoteReference w:id="72"/>
      </w:r>
    </w:p>
    <w:p w14:paraId="279C635B" w14:textId="752720F2" w:rsidR="00B648C0" w:rsidRPr="00AB7D1E" w:rsidRDefault="00E90AC8" w:rsidP="00635376">
      <w:pPr>
        <w:rPr>
          <w:lang w:val="en-US"/>
        </w:rPr>
      </w:pPr>
      <w:r w:rsidRPr="00AB7D1E">
        <w:rPr>
          <w:lang w:val="en-US"/>
        </w:rPr>
        <w:t>According to data from Croatian Bureau of Statistics</w:t>
      </w:r>
      <w:r w:rsidR="00633DD9" w:rsidRPr="00AB7D1E">
        <w:rPr>
          <w:lang w:val="en-US"/>
        </w:rPr>
        <w:t xml:space="preserve"> (CBS)</w:t>
      </w:r>
      <w:r w:rsidR="007D4531" w:rsidRPr="00AB7D1E">
        <w:rPr>
          <w:rStyle w:val="FootnoteReference"/>
          <w:lang w:val="en-US"/>
        </w:rPr>
        <w:footnoteReference w:id="73"/>
      </w:r>
      <w:r w:rsidR="00B648C0" w:rsidRPr="00AB7D1E">
        <w:rPr>
          <w:lang w:val="en-US"/>
        </w:rPr>
        <w:t>:</w:t>
      </w:r>
    </w:p>
    <w:p w14:paraId="0F9E0ABE" w14:textId="27E89C11" w:rsidR="00D027FE" w:rsidRPr="00AB7D1E" w:rsidRDefault="00B648C0" w:rsidP="00BE60A0">
      <w:pPr>
        <w:pStyle w:val="ListParagraph"/>
        <w:numPr>
          <w:ilvl w:val="0"/>
          <w:numId w:val="22"/>
        </w:numPr>
        <w:rPr>
          <w:lang w:val="en-US"/>
        </w:rPr>
      </w:pPr>
      <w:r w:rsidRPr="00AB7D1E">
        <w:rPr>
          <w:lang w:val="en-US"/>
        </w:rPr>
        <w:t>T</w:t>
      </w:r>
      <w:r w:rsidR="00E90AC8" w:rsidRPr="00AB7D1E">
        <w:rPr>
          <w:lang w:val="en-US"/>
        </w:rPr>
        <w:t>he gross domestic product increased in real terms by 0</w:t>
      </w:r>
      <w:r w:rsidR="00A02FDF" w:rsidRPr="00AB7D1E">
        <w:rPr>
          <w:lang w:val="en-US"/>
        </w:rPr>
        <w:t>,</w:t>
      </w:r>
      <w:r w:rsidR="00E90AC8" w:rsidRPr="00AB7D1E">
        <w:rPr>
          <w:lang w:val="en-US"/>
        </w:rPr>
        <w:t>4% in the first quarter of 2020, while the seasonally adjusted quarterly GDP increased by 0</w:t>
      </w:r>
      <w:r w:rsidR="00A02FDF" w:rsidRPr="00AB7D1E">
        <w:rPr>
          <w:lang w:val="en-US"/>
        </w:rPr>
        <w:t>,</w:t>
      </w:r>
      <w:r w:rsidR="00E90AC8" w:rsidRPr="00AB7D1E">
        <w:rPr>
          <w:lang w:val="en-US"/>
        </w:rPr>
        <w:t>3% compared to the same quarter of 2019 (</w:t>
      </w:r>
      <w:r w:rsidR="00E90AC8" w:rsidRPr="00AB7D1E">
        <w:rPr>
          <w:highlight w:val="yellow"/>
          <w:lang w:val="en-US"/>
        </w:rPr>
        <w:fldChar w:fldCharType="begin"/>
      </w:r>
      <w:r w:rsidR="00E90AC8" w:rsidRPr="00AB7D1E">
        <w:rPr>
          <w:lang w:val="en-US"/>
        </w:rPr>
        <w:instrText xml:space="preserve"> REF _Ref46080385 \h </w:instrText>
      </w:r>
      <w:r w:rsidR="00E90AC8" w:rsidRPr="00AB7D1E">
        <w:rPr>
          <w:highlight w:val="yellow"/>
          <w:lang w:val="en-US"/>
        </w:rPr>
        <w:instrText xml:space="preserve"> \* MERGEFORMAT </w:instrText>
      </w:r>
      <w:r w:rsidR="00E90AC8" w:rsidRPr="00AB7D1E">
        <w:rPr>
          <w:highlight w:val="yellow"/>
          <w:lang w:val="en-US"/>
        </w:rPr>
      </w:r>
      <w:r w:rsidR="00E90AC8" w:rsidRPr="00AB7D1E">
        <w:rPr>
          <w:highlight w:val="yellow"/>
          <w:lang w:val="en-US"/>
        </w:rPr>
        <w:fldChar w:fldCharType="separate"/>
      </w:r>
      <w:r w:rsidR="007D1E1B" w:rsidRPr="00AB7D1E">
        <w:rPr>
          <w:lang w:val="en-US"/>
        </w:rPr>
        <w:t xml:space="preserve">Figure </w:t>
      </w:r>
      <w:r w:rsidR="007D1E1B">
        <w:rPr>
          <w:lang w:val="en-US"/>
        </w:rPr>
        <w:t>16</w:t>
      </w:r>
      <w:r w:rsidR="00E90AC8" w:rsidRPr="00AB7D1E">
        <w:rPr>
          <w:highlight w:val="yellow"/>
          <w:lang w:val="en-US"/>
        </w:rPr>
        <w:fldChar w:fldCharType="end"/>
      </w:r>
      <w:r w:rsidR="00E90AC8" w:rsidRPr="00AB7D1E">
        <w:rPr>
          <w:lang w:val="en-US"/>
        </w:rPr>
        <w:t>)</w:t>
      </w:r>
      <w:r w:rsidRPr="00AB7D1E">
        <w:rPr>
          <w:lang w:val="en-US"/>
        </w:rPr>
        <w:t>;</w:t>
      </w:r>
    </w:p>
    <w:p w14:paraId="7B871C22" w14:textId="77777777" w:rsidR="00B35829" w:rsidRPr="00AB7D1E" w:rsidRDefault="00B35829" w:rsidP="00B35829">
      <w:pPr>
        <w:jc w:val="center"/>
        <w:rPr>
          <w:lang w:val="en-US"/>
        </w:rPr>
      </w:pPr>
      <w:r w:rsidRPr="00AB7D1E">
        <w:rPr>
          <w:noProof/>
          <w:lang w:val="en-US" w:eastAsia="hr-HR"/>
        </w:rPr>
        <w:drawing>
          <wp:inline distT="0" distB="0" distL="0" distR="0" wp14:anchorId="411CCC4C" wp14:editId="4DF9A6F1">
            <wp:extent cx="4608576" cy="2194560"/>
            <wp:effectExtent l="0" t="0" r="1905" b="15240"/>
            <wp:docPr id="11" name="Chart 11">
              <a:extLst xmlns:a="http://schemas.openxmlformats.org/drawingml/2006/main">
                <a:ext uri="{FF2B5EF4-FFF2-40B4-BE49-F238E27FC236}">
                  <a16:creationId xmlns:a16="http://schemas.microsoft.com/office/drawing/2014/main" id="{00000000-0008-0000-04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4F4528" w14:textId="7260692A" w:rsidR="00B35829" w:rsidRPr="00AB7D1E" w:rsidRDefault="00B35829" w:rsidP="004E4D82">
      <w:pPr>
        <w:pStyle w:val="Style2"/>
        <w:rPr>
          <w:lang w:val="en-US"/>
        </w:rPr>
      </w:pPr>
      <w:bookmarkStart w:id="83" w:name="_Ref46080385"/>
      <w:bookmarkStart w:id="84" w:name="_Toc56952696"/>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16</w:t>
      </w:r>
      <w:r w:rsidR="00DE594D" w:rsidRPr="00AB7D1E">
        <w:rPr>
          <w:lang w:val="en-US"/>
        </w:rPr>
        <w:fldChar w:fldCharType="end"/>
      </w:r>
      <w:bookmarkEnd w:id="83"/>
      <w:r w:rsidRPr="00AB7D1E">
        <w:rPr>
          <w:lang w:val="en-US"/>
        </w:rPr>
        <w:t>. Gross domestic product over years and in May 2020, Croatia</w:t>
      </w:r>
      <w:r w:rsidR="0029338B">
        <w:rPr>
          <w:rStyle w:val="FootnoteReference"/>
          <w:lang w:val="en-US"/>
        </w:rPr>
        <w:footnoteReference w:id="74"/>
      </w:r>
      <w:bookmarkEnd w:id="84"/>
    </w:p>
    <w:p w14:paraId="6685CD3D" w14:textId="47DDDCF9" w:rsidR="00B24799" w:rsidRPr="00AB7D1E" w:rsidRDefault="00B648C0" w:rsidP="00BE60A0">
      <w:pPr>
        <w:pStyle w:val="ListParagraph"/>
        <w:numPr>
          <w:ilvl w:val="0"/>
          <w:numId w:val="22"/>
        </w:numPr>
        <w:rPr>
          <w:lang w:val="en-US"/>
        </w:rPr>
      </w:pPr>
      <w:r w:rsidRPr="00AB7D1E">
        <w:rPr>
          <w:lang w:val="en-US"/>
        </w:rPr>
        <w:t>Working-day adjusted industrial production in May 2020, as compared to May 2019, decreased by 12</w:t>
      </w:r>
      <w:r w:rsidR="00A02FDF" w:rsidRPr="00AB7D1E">
        <w:rPr>
          <w:lang w:val="en-US"/>
        </w:rPr>
        <w:t>,</w:t>
      </w:r>
      <w:r w:rsidRPr="00AB7D1E">
        <w:rPr>
          <w:lang w:val="en-US"/>
        </w:rPr>
        <w:t>4%</w:t>
      </w:r>
      <w:r w:rsidR="00A02FDF" w:rsidRPr="00AB7D1E">
        <w:rPr>
          <w:lang w:val="en-US"/>
        </w:rPr>
        <w:t>;</w:t>
      </w:r>
    </w:p>
    <w:p w14:paraId="39E8E53C" w14:textId="474EFC6F" w:rsidR="00922F0A" w:rsidRPr="00AB7D1E" w:rsidRDefault="00B648C0" w:rsidP="00BE60A0">
      <w:pPr>
        <w:pStyle w:val="ListParagraph"/>
        <w:numPr>
          <w:ilvl w:val="0"/>
          <w:numId w:val="22"/>
        </w:numPr>
        <w:rPr>
          <w:lang w:val="en-US"/>
        </w:rPr>
      </w:pPr>
      <w:r w:rsidRPr="00AB7D1E">
        <w:rPr>
          <w:lang w:val="en-US"/>
        </w:rPr>
        <w:t>Working-day adjusted retail trade turnover in real terms in May 2020, as compared to May 2019, decreased by 7</w:t>
      </w:r>
      <w:r w:rsidR="00A02FDF" w:rsidRPr="00AB7D1E">
        <w:rPr>
          <w:lang w:val="en-US"/>
        </w:rPr>
        <w:t>,</w:t>
      </w:r>
      <w:r w:rsidRPr="00AB7D1E">
        <w:rPr>
          <w:lang w:val="en-US"/>
        </w:rPr>
        <w:t>8%;</w:t>
      </w:r>
    </w:p>
    <w:p w14:paraId="0D5A3636" w14:textId="287FEB11" w:rsidR="00B648C0" w:rsidRPr="00AB7D1E" w:rsidRDefault="00B648C0" w:rsidP="00BE60A0">
      <w:pPr>
        <w:pStyle w:val="ListParagraph"/>
        <w:numPr>
          <w:ilvl w:val="0"/>
          <w:numId w:val="22"/>
        </w:numPr>
        <w:rPr>
          <w:lang w:val="en-US"/>
        </w:rPr>
      </w:pPr>
      <w:r w:rsidRPr="00AB7D1E">
        <w:rPr>
          <w:lang w:val="en-US"/>
        </w:rPr>
        <w:t>Working-day adjusted turnover from service activities in nominal terms in the Republic of Croatia in April 2020, as compared to April 2019, decreased by 33</w:t>
      </w:r>
      <w:r w:rsidR="00A02FDF" w:rsidRPr="00AB7D1E">
        <w:rPr>
          <w:lang w:val="en-US"/>
        </w:rPr>
        <w:t>,</w:t>
      </w:r>
      <w:r w:rsidRPr="00AB7D1E">
        <w:rPr>
          <w:lang w:val="en-US"/>
        </w:rPr>
        <w:t>5%;</w:t>
      </w:r>
    </w:p>
    <w:p w14:paraId="06D0A306" w14:textId="4CBDA12D" w:rsidR="00B648C0" w:rsidRPr="00AB7D1E" w:rsidRDefault="00B648C0" w:rsidP="00BE60A0">
      <w:pPr>
        <w:pStyle w:val="ListParagraph"/>
        <w:numPr>
          <w:ilvl w:val="0"/>
          <w:numId w:val="22"/>
        </w:numPr>
        <w:rPr>
          <w:lang w:val="en-US"/>
        </w:rPr>
      </w:pPr>
      <w:r w:rsidRPr="00AB7D1E">
        <w:rPr>
          <w:lang w:val="en-US"/>
        </w:rPr>
        <w:t>The working-day adjusted index of construction works in April 2020, as compared to April 2019, decreased by 4</w:t>
      </w:r>
      <w:r w:rsidR="00A02FDF" w:rsidRPr="00AB7D1E">
        <w:rPr>
          <w:lang w:val="en-US"/>
        </w:rPr>
        <w:t>,</w:t>
      </w:r>
      <w:r w:rsidRPr="00AB7D1E">
        <w:rPr>
          <w:lang w:val="en-US"/>
        </w:rPr>
        <w:t>7%;</w:t>
      </w:r>
    </w:p>
    <w:p w14:paraId="140A0B8A" w14:textId="3937E779" w:rsidR="00B648C0" w:rsidRPr="00AB7D1E" w:rsidRDefault="00B648C0" w:rsidP="00BE60A0">
      <w:pPr>
        <w:pStyle w:val="ListParagraph"/>
        <w:numPr>
          <w:ilvl w:val="0"/>
          <w:numId w:val="22"/>
        </w:numPr>
        <w:rPr>
          <w:lang w:val="en-US"/>
        </w:rPr>
      </w:pPr>
      <w:r w:rsidRPr="00AB7D1E">
        <w:rPr>
          <w:lang w:val="en-US"/>
        </w:rPr>
        <w:t>The working-day adjusted index of construction works in April 2020, as compared to April 2019, decreased by 4</w:t>
      </w:r>
      <w:r w:rsidR="00A02FDF" w:rsidRPr="00AB7D1E">
        <w:rPr>
          <w:lang w:val="en-US"/>
        </w:rPr>
        <w:t>,</w:t>
      </w:r>
      <w:r w:rsidRPr="00AB7D1E">
        <w:rPr>
          <w:lang w:val="en-US"/>
        </w:rPr>
        <w:t>7%;</w:t>
      </w:r>
    </w:p>
    <w:p w14:paraId="67116F2C" w14:textId="74C324B6" w:rsidR="00B648C0" w:rsidRPr="00AB7D1E" w:rsidRDefault="00B648C0" w:rsidP="00BE60A0">
      <w:pPr>
        <w:pStyle w:val="ListParagraph"/>
        <w:numPr>
          <w:ilvl w:val="0"/>
          <w:numId w:val="22"/>
        </w:numPr>
        <w:rPr>
          <w:lang w:val="en-US"/>
        </w:rPr>
      </w:pPr>
      <w:r w:rsidRPr="00AB7D1E">
        <w:rPr>
          <w:lang w:val="en-US"/>
        </w:rPr>
        <w:t>From January to April 2020, as compared to the same period last year, the export of the Republic of Croatia decreased by 4</w:t>
      </w:r>
      <w:r w:rsidR="004A0F7D" w:rsidRPr="00AB7D1E">
        <w:rPr>
          <w:lang w:val="en-US"/>
        </w:rPr>
        <w:t>,</w:t>
      </w:r>
      <w:r w:rsidRPr="00AB7D1E">
        <w:rPr>
          <w:lang w:val="en-US"/>
        </w:rPr>
        <w:t>9%, while the import decreased by</w:t>
      </w:r>
      <w:r w:rsidR="008A495C" w:rsidRPr="00AB7D1E">
        <w:rPr>
          <w:lang w:val="en-US"/>
        </w:rPr>
        <w:t xml:space="preserve"> </w:t>
      </w:r>
      <w:r w:rsidRPr="00AB7D1E">
        <w:rPr>
          <w:lang w:val="en-US"/>
        </w:rPr>
        <w:t>10</w:t>
      </w:r>
      <w:r w:rsidR="004A0F7D" w:rsidRPr="00AB7D1E">
        <w:rPr>
          <w:lang w:val="en-US"/>
        </w:rPr>
        <w:t>,</w:t>
      </w:r>
      <w:r w:rsidRPr="00AB7D1E">
        <w:rPr>
          <w:lang w:val="en-US"/>
        </w:rPr>
        <w:t>1%;</w:t>
      </w:r>
    </w:p>
    <w:p w14:paraId="212DE3E0" w14:textId="03052A59" w:rsidR="00B648C0" w:rsidRPr="00AB7D1E" w:rsidRDefault="00B648C0" w:rsidP="00BE60A0">
      <w:pPr>
        <w:pStyle w:val="ListParagraph"/>
        <w:numPr>
          <w:ilvl w:val="0"/>
          <w:numId w:val="22"/>
        </w:numPr>
        <w:rPr>
          <w:lang w:val="en-US"/>
        </w:rPr>
      </w:pPr>
      <w:r w:rsidRPr="00AB7D1E">
        <w:rPr>
          <w:lang w:val="en-US"/>
        </w:rPr>
        <w:t>In May 2020, the number of unemployed persons amounted to 157</w:t>
      </w:r>
      <w:r w:rsidR="00A02FDF" w:rsidRPr="00AB7D1E">
        <w:rPr>
          <w:lang w:val="en-US"/>
        </w:rPr>
        <w:t>.</w:t>
      </w:r>
      <w:r w:rsidRPr="00AB7D1E">
        <w:rPr>
          <w:lang w:val="en-US"/>
        </w:rPr>
        <w:t>839. The registered unemployment reached 9</w:t>
      </w:r>
      <w:r w:rsidR="00A02FDF" w:rsidRPr="00AB7D1E">
        <w:rPr>
          <w:lang w:val="en-US"/>
        </w:rPr>
        <w:t>,</w:t>
      </w:r>
      <w:r w:rsidRPr="00AB7D1E">
        <w:rPr>
          <w:lang w:val="en-US"/>
        </w:rPr>
        <w:t>5% in May 2020, which is 2</w:t>
      </w:r>
      <w:r w:rsidR="00A02FDF" w:rsidRPr="00AB7D1E">
        <w:rPr>
          <w:lang w:val="en-US"/>
        </w:rPr>
        <w:t>,</w:t>
      </w:r>
      <w:r w:rsidRPr="00AB7D1E">
        <w:rPr>
          <w:lang w:val="en-US"/>
        </w:rPr>
        <w:t xml:space="preserve">5 percentage points </w:t>
      </w:r>
      <w:proofErr w:type="spellStart"/>
      <w:r w:rsidRPr="00AB7D1E">
        <w:rPr>
          <w:lang w:val="en-US"/>
        </w:rPr>
        <w:t>higer</w:t>
      </w:r>
      <w:proofErr w:type="spellEnd"/>
      <w:r w:rsidRPr="00AB7D1E">
        <w:rPr>
          <w:lang w:val="en-US"/>
        </w:rPr>
        <w:t xml:space="preserve"> than in May 2019;</w:t>
      </w:r>
    </w:p>
    <w:p w14:paraId="324BC0CB" w14:textId="4A7C7DD4" w:rsidR="00B648C0" w:rsidRPr="00AB7D1E" w:rsidRDefault="00B648C0" w:rsidP="00BE60A0">
      <w:pPr>
        <w:pStyle w:val="ListParagraph"/>
        <w:numPr>
          <w:ilvl w:val="0"/>
          <w:numId w:val="22"/>
        </w:numPr>
        <w:rPr>
          <w:lang w:val="en-US"/>
        </w:rPr>
      </w:pPr>
      <w:r w:rsidRPr="00AB7D1E">
        <w:rPr>
          <w:lang w:val="en-US"/>
        </w:rPr>
        <w:lastRenderedPageBreak/>
        <w:t>Average gross earnings amounted to 9</w:t>
      </w:r>
      <w:r w:rsidR="00A02FDF" w:rsidRPr="00AB7D1E">
        <w:rPr>
          <w:lang w:val="en-US"/>
        </w:rPr>
        <w:t>.</w:t>
      </w:r>
      <w:r w:rsidRPr="00AB7D1E">
        <w:rPr>
          <w:lang w:val="en-US"/>
        </w:rPr>
        <w:t xml:space="preserve">057 </w:t>
      </w:r>
      <w:proofErr w:type="spellStart"/>
      <w:r w:rsidRPr="00AB7D1E">
        <w:rPr>
          <w:lang w:val="en-US"/>
        </w:rPr>
        <w:t>kuna</w:t>
      </w:r>
      <w:proofErr w:type="spellEnd"/>
      <w:r w:rsidRPr="00AB7D1E">
        <w:rPr>
          <w:lang w:val="en-US"/>
        </w:rPr>
        <w:t xml:space="preserve"> in April 2020, which is in real terms 0</w:t>
      </w:r>
      <w:r w:rsidR="00A02FDF" w:rsidRPr="00AB7D1E">
        <w:rPr>
          <w:lang w:val="en-US"/>
        </w:rPr>
        <w:t>,</w:t>
      </w:r>
      <w:r w:rsidRPr="00AB7D1E">
        <w:rPr>
          <w:lang w:val="en-US"/>
        </w:rPr>
        <w:t>4% higher than in April 2019. Average net earnings in the same period amounted to 6</w:t>
      </w:r>
      <w:r w:rsidR="008A495C" w:rsidRPr="00AB7D1E">
        <w:rPr>
          <w:lang w:val="en-US"/>
        </w:rPr>
        <w:t>.</w:t>
      </w:r>
      <w:r w:rsidRPr="00AB7D1E">
        <w:rPr>
          <w:lang w:val="en-US"/>
        </w:rPr>
        <w:t>622</w:t>
      </w:r>
      <w:r w:rsidR="008A495C" w:rsidRPr="00AB7D1E">
        <w:rPr>
          <w:lang w:val="en-US"/>
        </w:rPr>
        <w:t xml:space="preserve"> </w:t>
      </w:r>
      <w:proofErr w:type="spellStart"/>
      <w:r w:rsidRPr="00AB7D1E">
        <w:rPr>
          <w:lang w:val="en-US"/>
        </w:rPr>
        <w:t>kuna</w:t>
      </w:r>
      <w:proofErr w:type="spellEnd"/>
      <w:r w:rsidRPr="00AB7D1E">
        <w:rPr>
          <w:lang w:val="en-US"/>
        </w:rPr>
        <w:t>, which is in real terms 0</w:t>
      </w:r>
      <w:r w:rsidR="00A02FDF" w:rsidRPr="00AB7D1E">
        <w:rPr>
          <w:lang w:val="en-US"/>
        </w:rPr>
        <w:t>,</w:t>
      </w:r>
      <w:r w:rsidRPr="00AB7D1E">
        <w:rPr>
          <w:lang w:val="en-US"/>
        </w:rPr>
        <w:t>4% higher than in April 2019;</w:t>
      </w:r>
    </w:p>
    <w:p w14:paraId="68B802F9" w14:textId="33EB8707" w:rsidR="00B648C0" w:rsidRPr="00AB7D1E" w:rsidRDefault="00B648C0" w:rsidP="00BE60A0">
      <w:pPr>
        <w:pStyle w:val="ListParagraph"/>
        <w:numPr>
          <w:ilvl w:val="0"/>
          <w:numId w:val="22"/>
        </w:numPr>
        <w:rPr>
          <w:lang w:val="en-US"/>
        </w:rPr>
      </w:pPr>
      <w:r w:rsidRPr="00AB7D1E">
        <w:rPr>
          <w:lang w:val="en-US"/>
        </w:rPr>
        <w:t>The prices of goods and services for personal consumption, measured by the consumer price index decreased by 0</w:t>
      </w:r>
      <w:r w:rsidR="00A02FDF" w:rsidRPr="00AB7D1E">
        <w:rPr>
          <w:lang w:val="en-US"/>
        </w:rPr>
        <w:t>,</w:t>
      </w:r>
      <w:r w:rsidRPr="00AB7D1E">
        <w:rPr>
          <w:lang w:val="en-US"/>
        </w:rPr>
        <w:t>2% on average in June 2020 compared to June 2019, while</w:t>
      </w:r>
      <w:r w:rsidR="009E0055" w:rsidRPr="00AB7D1E">
        <w:rPr>
          <w:lang w:val="en-US"/>
        </w:rPr>
        <w:t xml:space="preserve"> </w:t>
      </w:r>
      <w:r w:rsidRPr="00AB7D1E">
        <w:rPr>
          <w:lang w:val="en-US"/>
        </w:rPr>
        <w:t>the consumer price index excluding energy and food increased by 0</w:t>
      </w:r>
      <w:r w:rsidR="00A02FDF" w:rsidRPr="00AB7D1E">
        <w:rPr>
          <w:lang w:val="en-US"/>
        </w:rPr>
        <w:t>,</w:t>
      </w:r>
      <w:r w:rsidRPr="00AB7D1E">
        <w:rPr>
          <w:lang w:val="en-US"/>
        </w:rPr>
        <w:t>9% on average. The producer prices of industrial goods in June 2020, as compared to June</w:t>
      </w:r>
      <w:r w:rsidR="0053748C" w:rsidRPr="00AB7D1E">
        <w:rPr>
          <w:lang w:val="en-US"/>
        </w:rPr>
        <w:t xml:space="preserve"> </w:t>
      </w:r>
      <w:r w:rsidRPr="00AB7D1E">
        <w:rPr>
          <w:lang w:val="en-US"/>
        </w:rPr>
        <w:t>2019, decreased by 4,2%;</w:t>
      </w:r>
    </w:p>
    <w:p w14:paraId="63D7F840" w14:textId="3528F24C" w:rsidR="0052473B" w:rsidRPr="00AB7D1E" w:rsidRDefault="00C02D55" w:rsidP="0052473B">
      <w:pPr>
        <w:rPr>
          <w:lang w:val="en-US"/>
        </w:rPr>
      </w:pPr>
      <w:r w:rsidRPr="00AB7D1E">
        <w:rPr>
          <w:lang w:val="en-US"/>
        </w:rPr>
        <w:t>It is anticipated that Croatia will need to revisit its growth model and focus on specific policies to increase its resilience to exogenous shocks and raise the economy’s growth potential.</w:t>
      </w:r>
      <w:r w:rsidRPr="00AB7D1E">
        <w:rPr>
          <w:rStyle w:val="FootnoteReference"/>
          <w:lang w:val="en-US"/>
        </w:rPr>
        <w:footnoteReference w:id="75"/>
      </w:r>
    </w:p>
    <w:p w14:paraId="3D46541E" w14:textId="7343F464" w:rsidR="00370812" w:rsidRPr="00AB7D1E" w:rsidRDefault="00370812" w:rsidP="006D1455">
      <w:pPr>
        <w:pStyle w:val="Heading3"/>
        <w:rPr>
          <w:lang w:val="en-US"/>
        </w:rPr>
      </w:pPr>
      <w:bookmarkStart w:id="85" w:name="_Toc56954049"/>
      <w:r w:rsidRPr="00AB7D1E">
        <w:rPr>
          <w:lang w:val="en-US"/>
        </w:rPr>
        <w:t>So</w:t>
      </w:r>
      <w:r w:rsidR="00597A3F" w:rsidRPr="00AB7D1E">
        <w:rPr>
          <w:lang w:val="en-US"/>
        </w:rPr>
        <w:t>c</w:t>
      </w:r>
      <w:r w:rsidRPr="00AB7D1E">
        <w:rPr>
          <w:lang w:val="en-US"/>
        </w:rPr>
        <w:t>ial protection</w:t>
      </w:r>
      <w:bookmarkEnd w:id="85"/>
    </w:p>
    <w:p w14:paraId="1944F1CB" w14:textId="7254E0ED" w:rsidR="00530720" w:rsidRPr="00AB7D1E" w:rsidRDefault="00530720" w:rsidP="00207AC2">
      <w:pPr>
        <w:rPr>
          <w:lang w:val="en-US"/>
        </w:rPr>
      </w:pPr>
      <w:r w:rsidRPr="00AB7D1E">
        <w:rPr>
          <w:lang w:val="en-US"/>
        </w:rPr>
        <w:t>The social welfare system in the Republic of Croatia is based on the principle of subsidiarity, which implies the responsibility of individuals and families for their own social security. The role of the state is to help, with the aim of preventing, mitigating and eliminating social vulnerability. Beneficiaries, rights and conditions for their realization, as well as other issues of importance for this activity, are defined by the Law on Social Welfare</w:t>
      </w:r>
      <w:r w:rsidRPr="00AB7D1E">
        <w:rPr>
          <w:rStyle w:val="FootnoteReference"/>
          <w:lang w:val="en-US"/>
        </w:rPr>
        <w:footnoteReference w:id="76"/>
      </w:r>
      <w:r w:rsidRPr="00AB7D1E">
        <w:rPr>
          <w:lang w:val="en-US"/>
        </w:rPr>
        <w:t>.</w:t>
      </w:r>
      <w:r w:rsidRPr="00AB7D1E">
        <w:rPr>
          <w:rStyle w:val="FootnoteReference"/>
          <w:lang w:val="en-US"/>
        </w:rPr>
        <w:footnoteReference w:id="77"/>
      </w:r>
    </w:p>
    <w:p w14:paraId="7CCF0C3B" w14:textId="0545E750" w:rsidR="00530720" w:rsidRPr="00AB7D1E" w:rsidRDefault="00530720" w:rsidP="00530720">
      <w:pPr>
        <w:rPr>
          <w:lang w:val="en-US"/>
        </w:rPr>
      </w:pPr>
      <w:r w:rsidRPr="00AB7D1E">
        <w:rPr>
          <w:lang w:val="en-US"/>
        </w:rPr>
        <w:t>About the recognition of the right in the social welfare system, except for compensation for housing costs and the right to heating costs, decides locally competent social welfare center in the form of decision, according to the applicant's place of residence.</w:t>
      </w:r>
    </w:p>
    <w:p w14:paraId="0AA01219" w14:textId="2E1533CA" w:rsidR="00530720" w:rsidRPr="00AB7D1E" w:rsidRDefault="00530720" w:rsidP="00530720">
      <w:pPr>
        <w:rPr>
          <w:lang w:val="en-US"/>
        </w:rPr>
      </w:pPr>
      <w:r w:rsidRPr="00AB7D1E">
        <w:rPr>
          <w:lang w:val="en-US"/>
        </w:rPr>
        <w:t>The recognition of the right to compensation for housing costs is decided by the local self-government unit and the City of Zagreb, in accordance with the provisions of the Social Welfare Act and special laws.</w:t>
      </w:r>
    </w:p>
    <w:p w14:paraId="139B72E4" w14:textId="2510581B" w:rsidR="00530720" w:rsidRPr="00AB7D1E" w:rsidRDefault="00530720" w:rsidP="009F3537">
      <w:pPr>
        <w:rPr>
          <w:lang w:val="en-US"/>
        </w:rPr>
      </w:pPr>
      <w:r w:rsidRPr="00AB7D1E">
        <w:rPr>
          <w:lang w:val="en-US"/>
        </w:rPr>
        <w:t>The recognition of the right to compensation for heating costs is decided by the regional self-government unit and the City of Zagreb, in accordance with the provisions of the Social Welfare Act.</w:t>
      </w:r>
    </w:p>
    <w:p w14:paraId="2A0C6720" w14:textId="33E282F1" w:rsidR="004840DC" w:rsidRPr="00AB7D1E" w:rsidRDefault="004840DC" w:rsidP="004840DC">
      <w:pPr>
        <w:rPr>
          <w:lang w:val="en-US"/>
        </w:rPr>
      </w:pPr>
      <w:r w:rsidRPr="00AB7D1E">
        <w:rPr>
          <w:lang w:val="en-US"/>
        </w:rPr>
        <w:t>Except social welfare center, social services also provide:</w:t>
      </w:r>
    </w:p>
    <w:p w14:paraId="38DD01C7" w14:textId="3CCD14F0" w:rsidR="004840DC" w:rsidRPr="00AB7D1E" w:rsidRDefault="004840DC" w:rsidP="00BE60A0">
      <w:pPr>
        <w:pStyle w:val="ListParagraph"/>
        <w:numPr>
          <w:ilvl w:val="0"/>
          <w:numId w:val="22"/>
        </w:numPr>
        <w:rPr>
          <w:lang w:val="en-US"/>
        </w:rPr>
      </w:pPr>
      <w:r w:rsidRPr="00AB7D1E">
        <w:rPr>
          <w:lang w:val="en-US"/>
        </w:rPr>
        <w:t>a social care home / community service center,</w:t>
      </w:r>
    </w:p>
    <w:p w14:paraId="119A1041" w14:textId="22A9225E" w:rsidR="004840DC" w:rsidRPr="00AB7D1E" w:rsidRDefault="004840DC" w:rsidP="00BE60A0">
      <w:pPr>
        <w:pStyle w:val="ListParagraph"/>
        <w:numPr>
          <w:ilvl w:val="0"/>
          <w:numId w:val="22"/>
        </w:numPr>
        <w:rPr>
          <w:lang w:val="en-US"/>
        </w:rPr>
      </w:pPr>
      <w:r w:rsidRPr="00AB7D1E">
        <w:rPr>
          <w:lang w:val="en-US"/>
        </w:rPr>
        <w:t>home help center,</w:t>
      </w:r>
    </w:p>
    <w:p w14:paraId="5E6E42BC" w14:textId="4D982832" w:rsidR="004840DC" w:rsidRPr="00AB7D1E" w:rsidRDefault="004840DC" w:rsidP="00BE60A0">
      <w:pPr>
        <w:pStyle w:val="ListParagraph"/>
        <w:numPr>
          <w:ilvl w:val="0"/>
          <w:numId w:val="22"/>
        </w:numPr>
        <w:rPr>
          <w:lang w:val="en-US"/>
        </w:rPr>
      </w:pPr>
      <w:r w:rsidRPr="00AB7D1E">
        <w:rPr>
          <w:lang w:val="en-US"/>
        </w:rPr>
        <w:t>associations, religious communities, other legal entities and craftsmen,</w:t>
      </w:r>
    </w:p>
    <w:p w14:paraId="47031E2F" w14:textId="614ADAE8" w:rsidR="004840DC" w:rsidRPr="00AB7D1E" w:rsidRDefault="004840DC" w:rsidP="00BE60A0">
      <w:pPr>
        <w:pStyle w:val="ListParagraph"/>
        <w:numPr>
          <w:ilvl w:val="0"/>
          <w:numId w:val="22"/>
        </w:numPr>
        <w:rPr>
          <w:lang w:val="en-US"/>
        </w:rPr>
      </w:pPr>
      <w:r w:rsidRPr="00AB7D1E">
        <w:rPr>
          <w:lang w:val="en-US"/>
        </w:rPr>
        <w:t>natural persons as a professional activity,</w:t>
      </w:r>
    </w:p>
    <w:p w14:paraId="4284F13F" w14:textId="2E5C2AE4" w:rsidR="00200325" w:rsidRPr="00AB7D1E" w:rsidRDefault="004840DC" w:rsidP="00BE60A0">
      <w:pPr>
        <w:pStyle w:val="ListParagraph"/>
        <w:numPr>
          <w:ilvl w:val="0"/>
          <w:numId w:val="22"/>
        </w:numPr>
        <w:rPr>
          <w:lang w:val="en-US"/>
        </w:rPr>
      </w:pPr>
      <w:r w:rsidRPr="00AB7D1E">
        <w:rPr>
          <w:lang w:val="en-US"/>
        </w:rPr>
        <w:t>foster families.</w:t>
      </w:r>
    </w:p>
    <w:p w14:paraId="6694795E" w14:textId="577D1DD5" w:rsidR="00425A67" w:rsidRPr="00AB7D1E" w:rsidRDefault="00207AC2" w:rsidP="00B460BD">
      <w:pPr>
        <w:rPr>
          <w:lang w:val="en-US"/>
        </w:rPr>
      </w:pPr>
      <w:r w:rsidRPr="00AB7D1E">
        <w:rPr>
          <w:lang w:val="en-US"/>
        </w:rPr>
        <w:t>In 2018, the share of social protection in the GDP of the Republic of Croatia amounted to 21</w:t>
      </w:r>
      <w:r w:rsidR="00A02FDF" w:rsidRPr="00AB7D1E">
        <w:rPr>
          <w:lang w:val="en-US"/>
        </w:rPr>
        <w:t>,</w:t>
      </w:r>
      <w:r w:rsidRPr="00AB7D1E">
        <w:rPr>
          <w:lang w:val="en-US"/>
        </w:rPr>
        <w:t>7%, which represents an increase of 0</w:t>
      </w:r>
      <w:r w:rsidR="00A02FDF" w:rsidRPr="00AB7D1E">
        <w:rPr>
          <w:lang w:val="en-US"/>
        </w:rPr>
        <w:t>,</w:t>
      </w:r>
      <w:r w:rsidRPr="00AB7D1E">
        <w:rPr>
          <w:lang w:val="en-US"/>
        </w:rPr>
        <w:t>1 percentage points compared to 2017. The GDP in current prices increased by approximately 16</w:t>
      </w:r>
      <w:r w:rsidR="00A02FDF" w:rsidRPr="00AB7D1E">
        <w:rPr>
          <w:lang w:val="en-US"/>
        </w:rPr>
        <w:t>,</w:t>
      </w:r>
      <w:r w:rsidRPr="00AB7D1E">
        <w:rPr>
          <w:lang w:val="en-US"/>
        </w:rPr>
        <w:t xml:space="preserve">5 billion </w:t>
      </w:r>
      <w:proofErr w:type="spellStart"/>
      <w:r w:rsidRPr="00AB7D1E">
        <w:rPr>
          <w:lang w:val="en-US"/>
        </w:rPr>
        <w:t>kuna</w:t>
      </w:r>
      <w:proofErr w:type="spellEnd"/>
      <w:r w:rsidRPr="00AB7D1E">
        <w:rPr>
          <w:lang w:val="en-US"/>
        </w:rPr>
        <w:t>, while total social protection expenditures increased by approximately 3</w:t>
      </w:r>
      <w:r w:rsidR="00A02FDF" w:rsidRPr="00AB7D1E">
        <w:rPr>
          <w:lang w:val="en-US"/>
        </w:rPr>
        <w:t>,</w:t>
      </w:r>
      <w:r w:rsidRPr="00AB7D1E">
        <w:rPr>
          <w:lang w:val="en-US"/>
        </w:rPr>
        <w:t xml:space="preserve">9 billion </w:t>
      </w:r>
      <w:proofErr w:type="spellStart"/>
      <w:r w:rsidRPr="00AB7D1E">
        <w:rPr>
          <w:lang w:val="en-US"/>
        </w:rPr>
        <w:t>kuna</w:t>
      </w:r>
      <w:proofErr w:type="spellEnd"/>
      <w:r w:rsidRPr="00AB7D1E">
        <w:rPr>
          <w:lang w:val="en-US"/>
        </w:rPr>
        <w:t>.</w:t>
      </w:r>
    </w:p>
    <w:p w14:paraId="3301C6F3" w14:textId="100EED18" w:rsidR="00207AC2" w:rsidRPr="00AB7D1E" w:rsidRDefault="00207AC2" w:rsidP="00B460BD">
      <w:pPr>
        <w:rPr>
          <w:lang w:val="en-US"/>
        </w:rPr>
      </w:pPr>
      <w:r w:rsidRPr="00AB7D1E">
        <w:rPr>
          <w:lang w:val="en-US"/>
        </w:rPr>
        <w:t>Concerning receipts, social contributions were the most frequent ones (59</w:t>
      </w:r>
      <w:r w:rsidR="00A02FDF" w:rsidRPr="00AB7D1E">
        <w:rPr>
          <w:lang w:val="en-US"/>
        </w:rPr>
        <w:t>,</w:t>
      </w:r>
      <w:r w:rsidRPr="00AB7D1E">
        <w:rPr>
          <w:lang w:val="en-US"/>
        </w:rPr>
        <w:t>9% of all social protection receipts in 2018). General government contributions followed with 36</w:t>
      </w:r>
      <w:r w:rsidR="00A02FDF" w:rsidRPr="00AB7D1E">
        <w:rPr>
          <w:lang w:val="en-US"/>
        </w:rPr>
        <w:t>,</w:t>
      </w:r>
      <w:r w:rsidRPr="00AB7D1E">
        <w:rPr>
          <w:lang w:val="en-US"/>
        </w:rPr>
        <w:t>8%.</w:t>
      </w:r>
    </w:p>
    <w:p w14:paraId="0B0AC1A6" w14:textId="21174358" w:rsidR="00207AC2" w:rsidRPr="00AB7D1E" w:rsidRDefault="00207AC2" w:rsidP="00B460BD">
      <w:pPr>
        <w:rPr>
          <w:lang w:val="en-US"/>
        </w:rPr>
      </w:pPr>
      <w:r w:rsidRPr="00AB7D1E">
        <w:rPr>
          <w:lang w:val="en-US"/>
        </w:rPr>
        <w:lastRenderedPageBreak/>
        <w:t>Social protection benefits accounted for 98</w:t>
      </w:r>
      <w:r w:rsidR="00A02FDF" w:rsidRPr="00AB7D1E">
        <w:rPr>
          <w:lang w:val="en-US"/>
        </w:rPr>
        <w:t>,</w:t>
      </w:r>
      <w:r w:rsidRPr="00AB7D1E">
        <w:rPr>
          <w:lang w:val="en-US"/>
        </w:rPr>
        <w:t>3% of total social protection expenditures in 2018. By type of social benefits, those in cash were the most frequent ones (64</w:t>
      </w:r>
      <w:r w:rsidR="00A02FDF" w:rsidRPr="00AB7D1E">
        <w:rPr>
          <w:lang w:val="en-US"/>
        </w:rPr>
        <w:t>,</w:t>
      </w:r>
      <w:r w:rsidRPr="00AB7D1E">
        <w:rPr>
          <w:lang w:val="en-US"/>
        </w:rPr>
        <w:t>8%). By characteristics, non-means-tested social protection benefits (both in cash and in kind) were the most frequent ones (95</w:t>
      </w:r>
      <w:r w:rsidR="00A02FDF" w:rsidRPr="00AB7D1E">
        <w:rPr>
          <w:lang w:val="en-US"/>
        </w:rPr>
        <w:t>,</w:t>
      </w:r>
      <w:r w:rsidRPr="00AB7D1E">
        <w:rPr>
          <w:lang w:val="en-US"/>
        </w:rPr>
        <w:t>3%).</w:t>
      </w:r>
    </w:p>
    <w:p w14:paraId="08EEF7BB" w14:textId="192C7707" w:rsidR="00207AC2" w:rsidRPr="00AB7D1E" w:rsidRDefault="00207AC2" w:rsidP="00B460BD">
      <w:pPr>
        <w:rPr>
          <w:lang w:val="en-US"/>
        </w:rPr>
      </w:pPr>
      <w:r w:rsidRPr="00AB7D1E">
        <w:rPr>
          <w:lang w:val="en-US"/>
        </w:rPr>
        <w:t>Viewed by social protection functions, the largest share of social benefits was spent on relieving the financial burden related to the Old-age risk (34</w:t>
      </w:r>
      <w:r w:rsidR="00A02FDF" w:rsidRPr="00AB7D1E">
        <w:rPr>
          <w:lang w:val="en-US"/>
        </w:rPr>
        <w:t>,</w:t>
      </w:r>
      <w:r w:rsidRPr="00AB7D1E">
        <w:rPr>
          <w:lang w:val="en-US"/>
        </w:rPr>
        <w:t>0% of all social protection benefits), followed by the Sickness/Health care function (33</w:t>
      </w:r>
      <w:r w:rsidR="00A02FDF" w:rsidRPr="00AB7D1E">
        <w:rPr>
          <w:lang w:val="en-US"/>
        </w:rPr>
        <w:t>,</w:t>
      </w:r>
      <w:r w:rsidRPr="00AB7D1E">
        <w:rPr>
          <w:lang w:val="en-US"/>
        </w:rPr>
        <w:t>6%). The least resources were spent on the Housing function (0</w:t>
      </w:r>
      <w:r w:rsidR="00A02FDF" w:rsidRPr="00AB7D1E">
        <w:rPr>
          <w:lang w:val="en-US"/>
        </w:rPr>
        <w:t>,</w:t>
      </w:r>
      <w:r w:rsidRPr="00AB7D1E">
        <w:rPr>
          <w:lang w:val="en-US"/>
        </w:rPr>
        <w:t>1%).</w:t>
      </w:r>
    </w:p>
    <w:p w14:paraId="59F6ECBC" w14:textId="59736A72" w:rsidR="00207AC2" w:rsidRPr="00AB7D1E" w:rsidRDefault="00207AC2" w:rsidP="00B460BD">
      <w:pPr>
        <w:rPr>
          <w:lang w:val="en-US"/>
        </w:rPr>
      </w:pPr>
      <w:r w:rsidRPr="00AB7D1E">
        <w:rPr>
          <w:lang w:val="en-US"/>
        </w:rPr>
        <w:t>Comparing the data on the share of costs for the social protection in the national GDP with the EU Member States, the Republic of Croatia fell behind the EU-28 average by 6</w:t>
      </w:r>
      <w:r w:rsidR="00A02FDF" w:rsidRPr="00AB7D1E">
        <w:rPr>
          <w:lang w:val="en-US"/>
        </w:rPr>
        <w:t>,</w:t>
      </w:r>
      <w:r w:rsidRPr="00AB7D1E">
        <w:rPr>
          <w:lang w:val="en-US"/>
        </w:rPr>
        <w:t>3 percentage points in 2017. When it comes to data on social protection expenditures per inhabitant with EU Member States, calculated in purchasing power standard, the Republic of Croatia fell behind the EU-28 average by 53% in 2017. According to this indicator, expenditures on all social protection functions in the Republic of Croatia were below the EU average, and in absolute terms, the Old-age function fell behind the most.</w:t>
      </w:r>
    </w:p>
    <w:p w14:paraId="778E6E3D" w14:textId="43F1B59B" w:rsidR="00333FED" w:rsidRPr="00AB7D1E" w:rsidRDefault="00333FED" w:rsidP="007D1E1B">
      <w:pPr>
        <w:pStyle w:val="Style1"/>
      </w:pPr>
      <w:bookmarkStart w:id="86" w:name="_Toc56952707"/>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7</w:t>
      </w:r>
      <w:r w:rsidR="00DF4A34" w:rsidRPr="00AB7D1E">
        <w:fldChar w:fldCharType="end"/>
      </w:r>
      <w:r w:rsidRPr="00AB7D1E">
        <w:t>. Share of each function in total amount of social protection benefits over years, Croatia</w:t>
      </w:r>
      <w:r w:rsidR="007378E2" w:rsidRPr="00AB7D1E">
        <w:rPr>
          <w:vertAlign w:val="superscript"/>
        </w:rPr>
        <w:footnoteReference w:id="78"/>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742"/>
        <w:gridCol w:w="741"/>
        <w:gridCol w:w="741"/>
        <w:gridCol w:w="741"/>
        <w:gridCol w:w="844"/>
        <w:gridCol w:w="741"/>
        <w:gridCol w:w="750"/>
      </w:tblGrid>
      <w:tr w:rsidR="00333FED" w:rsidRPr="00AB7D1E" w14:paraId="1156792E" w14:textId="77777777" w:rsidTr="000D0CF5">
        <w:trPr>
          <w:trHeight w:val="20"/>
        </w:trPr>
        <w:tc>
          <w:tcPr>
            <w:tcW w:w="3716" w:type="dxa"/>
            <w:shd w:val="clear" w:color="auto" w:fill="CEDBE6" w:themeFill="background2"/>
            <w:noWrap/>
            <w:vAlign w:val="bottom"/>
            <w:hideMark/>
          </w:tcPr>
          <w:p w14:paraId="55F016FC" w14:textId="3D24E7A5"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p>
        </w:tc>
        <w:tc>
          <w:tcPr>
            <w:tcW w:w="742" w:type="dxa"/>
            <w:shd w:val="clear" w:color="auto" w:fill="CEDBE6" w:themeFill="background2"/>
            <w:noWrap/>
            <w:vAlign w:val="center"/>
            <w:hideMark/>
          </w:tcPr>
          <w:p w14:paraId="721F3C97" w14:textId="10976340"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2012</w:t>
            </w:r>
          </w:p>
        </w:tc>
        <w:tc>
          <w:tcPr>
            <w:tcW w:w="741" w:type="dxa"/>
            <w:shd w:val="clear" w:color="auto" w:fill="CEDBE6" w:themeFill="background2"/>
            <w:noWrap/>
            <w:vAlign w:val="center"/>
            <w:hideMark/>
          </w:tcPr>
          <w:p w14:paraId="33645ADA" w14:textId="1AC74267"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2013</w:t>
            </w:r>
          </w:p>
        </w:tc>
        <w:tc>
          <w:tcPr>
            <w:tcW w:w="741" w:type="dxa"/>
            <w:shd w:val="clear" w:color="auto" w:fill="CEDBE6" w:themeFill="background2"/>
            <w:noWrap/>
            <w:vAlign w:val="center"/>
            <w:hideMark/>
          </w:tcPr>
          <w:p w14:paraId="2BFE298C" w14:textId="694B2D13"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2014</w:t>
            </w:r>
          </w:p>
        </w:tc>
        <w:tc>
          <w:tcPr>
            <w:tcW w:w="741" w:type="dxa"/>
            <w:shd w:val="clear" w:color="auto" w:fill="CEDBE6" w:themeFill="background2"/>
            <w:noWrap/>
            <w:vAlign w:val="center"/>
            <w:hideMark/>
          </w:tcPr>
          <w:p w14:paraId="508CBD38" w14:textId="040D32EF"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2015</w:t>
            </w:r>
          </w:p>
        </w:tc>
        <w:tc>
          <w:tcPr>
            <w:tcW w:w="844" w:type="dxa"/>
            <w:shd w:val="clear" w:color="auto" w:fill="CEDBE6" w:themeFill="background2"/>
            <w:noWrap/>
            <w:vAlign w:val="center"/>
            <w:hideMark/>
          </w:tcPr>
          <w:p w14:paraId="4243F39F" w14:textId="0967A610"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2016</w:t>
            </w:r>
            <w:r w:rsidRPr="00AB7D1E">
              <w:rPr>
                <w:rFonts w:eastAsia="Times New Roman" w:cstheme="minorHAnsi"/>
                <w:b/>
                <w:bCs/>
                <w:sz w:val="20"/>
                <w:szCs w:val="20"/>
                <w:vertAlign w:val="superscript"/>
                <w:lang w:val="en-US" w:eastAsia="hr-HR"/>
              </w:rPr>
              <w:t>1)</w:t>
            </w:r>
          </w:p>
        </w:tc>
        <w:tc>
          <w:tcPr>
            <w:tcW w:w="741" w:type="dxa"/>
            <w:shd w:val="clear" w:color="auto" w:fill="CEDBE6" w:themeFill="background2"/>
            <w:noWrap/>
            <w:vAlign w:val="center"/>
            <w:hideMark/>
          </w:tcPr>
          <w:p w14:paraId="43E5F247" w14:textId="685A5FDE"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2017</w:t>
            </w:r>
          </w:p>
        </w:tc>
        <w:tc>
          <w:tcPr>
            <w:tcW w:w="750" w:type="dxa"/>
            <w:shd w:val="clear" w:color="auto" w:fill="CEDBE6" w:themeFill="background2"/>
            <w:noWrap/>
            <w:vAlign w:val="center"/>
            <w:hideMark/>
          </w:tcPr>
          <w:p w14:paraId="678C6DA0" w14:textId="6E1CC05B" w:rsidR="00333FED" w:rsidRPr="00AB7D1E" w:rsidRDefault="00333FED" w:rsidP="00236BCE">
            <w:pPr>
              <w:suppressAutoHyphens w:val="0"/>
              <w:autoSpaceDN/>
              <w:spacing w:before="0" w:after="0" w:line="240" w:lineRule="auto"/>
              <w:jc w:val="center"/>
              <w:textAlignment w:val="auto"/>
              <w:rPr>
                <w:rFonts w:eastAsia="Times New Roman" w:cstheme="minorHAnsi"/>
                <w:b/>
                <w:bCs/>
                <w:sz w:val="20"/>
                <w:szCs w:val="20"/>
                <w:lang w:val="en-US" w:eastAsia="hr-HR"/>
              </w:rPr>
            </w:pPr>
            <w:r w:rsidRPr="00AB7D1E">
              <w:rPr>
                <w:rFonts w:eastAsia="Times New Roman" w:cstheme="minorHAnsi"/>
                <w:b/>
                <w:bCs/>
                <w:sz w:val="20"/>
                <w:szCs w:val="20"/>
                <w:lang w:val="en-US" w:eastAsia="hr-HR"/>
              </w:rPr>
              <w:t>2018</w:t>
            </w:r>
          </w:p>
        </w:tc>
      </w:tr>
      <w:tr w:rsidR="00333FED" w:rsidRPr="00AB7D1E" w14:paraId="4A970F9D" w14:textId="77777777" w:rsidTr="000D0CF5">
        <w:trPr>
          <w:trHeight w:val="510"/>
        </w:trPr>
        <w:tc>
          <w:tcPr>
            <w:tcW w:w="3716" w:type="dxa"/>
            <w:shd w:val="clear" w:color="auto" w:fill="CEDBE6" w:themeFill="background2"/>
            <w:vAlign w:val="bottom"/>
            <w:hideMark/>
          </w:tcPr>
          <w:p w14:paraId="1740E1FD" w14:textId="74284610"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Total expenditures on social protection benefits, by function</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47227122" w14:textId="6ECEEB1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0F5B04D0" w14:textId="6CC5E4F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31D462C6" w14:textId="210720A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3BDE1D26" w14:textId="3FB5BFE7"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844" w:type="dxa"/>
            <w:shd w:val="clear" w:color="auto" w:fill="auto"/>
            <w:noWrap/>
            <w:vAlign w:val="center"/>
            <w:hideMark/>
          </w:tcPr>
          <w:p w14:paraId="5310FEC4" w14:textId="3932F3E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4E0A7560" w14:textId="4D3A02C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50" w:type="dxa"/>
            <w:shd w:val="clear" w:color="auto" w:fill="auto"/>
            <w:noWrap/>
            <w:vAlign w:val="center"/>
            <w:hideMark/>
          </w:tcPr>
          <w:p w14:paraId="0245CB5B" w14:textId="1F3195DE"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r>
      <w:tr w:rsidR="00333FED" w:rsidRPr="00AB7D1E" w14:paraId="012946DF" w14:textId="77777777" w:rsidTr="000D0CF5">
        <w:trPr>
          <w:trHeight w:val="300"/>
        </w:trPr>
        <w:tc>
          <w:tcPr>
            <w:tcW w:w="3716" w:type="dxa"/>
            <w:shd w:val="clear" w:color="auto" w:fill="CEDBE6" w:themeFill="background2"/>
            <w:vAlign w:val="center"/>
            <w:hideMark/>
          </w:tcPr>
          <w:p w14:paraId="7865DA47" w14:textId="7F6B9586"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Sickness/Health care</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7BB0A83C" w14:textId="15C2416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35</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4332F7D6" w14:textId="336825D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155AB844" w14:textId="33C88244"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545BD547" w14:textId="0A5371F8"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844" w:type="dxa"/>
            <w:shd w:val="clear" w:color="auto" w:fill="auto"/>
            <w:noWrap/>
            <w:vAlign w:val="center"/>
            <w:hideMark/>
          </w:tcPr>
          <w:p w14:paraId="6211F70F" w14:textId="6694850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c>
          <w:tcPr>
            <w:tcW w:w="741" w:type="dxa"/>
            <w:shd w:val="clear" w:color="auto" w:fill="auto"/>
            <w:noWrap/>
            <w:vAlign w:val="center"/>
            <w:hideMark/>
          </w:tcPr>
          <w:p w14:paraId="663FD45C" w14:textId="4B9D66E7"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750" w:type="dxa"/>
            <w:shd w:val="clear" w:color="auto" w:fill="auto"/>
            <w:noWrap/>
            <w:vAlign w:val="center"/>
            <w:hideMark/>
          </w:tcPr>
          <w:p w14:paraId="39C2CC6D" w14:textId="351A67F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r>
      <w:tr w:rsidR="00333FED" w:rsidRPr="00AB7D1E" w14:paraId="118E37AB" w14:textId="77777777" w:rsidTr="000D0CF5">
        <w:trPr>
          <w:trHeight w:val="300"/>
        </w:trPr>
        <w:tc>
          <w:tcPr>
            <w:tcW w:w="3716" w:type="dxa"/>
            <w:shd w:val="clear" w:color="auto" w:fill="CEDBE6" w:themeFill="background2"/>
            <w:vAlign w:val="center"/>
            <w:hideMark/>
          </w:tcPr>
          <w:p w14:paraId="6DBB3C7B" w14:textId="407F70E0"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Disability</w:t>
            </w:r>
            <w:r w:rsidRPr="00AB7D1E">
              <w:rPr>
                <w:rFonts w:eastAsia="Times New Roman" w:cstheme="minorHAnsi"/>
                <w:sz w:val="20"/>
                <w:szCs w:val="20"/>
                <w:vertAlign w:val="superscript"/>
                <w:lang w:val="en-US" w:eastAsia="hr-HR"/>
              </w:rPr>
              <w:t>2)</w:t>
            </w:r>
            <w:r w:rsidR="00821DA5" w:rsidRPr="00AB7D1E">
              <w:rPr>
                <w:rFonts w:eastAsia="Times New Roman" w:cstheme="minorHAnsi"/>
                <w:sz w:val="20"/>
                <w:szCs w:val="20"/>
                <w:vertAlign w:val="superscript"/>
                <w:lang w:val="en-US" w:eastAsia="hr-HR"/>
              </w:rPr>
              <w:t xml:space="preserve"> </w:t>
            </w:r>
            <w:r w:rsidR="00821DA5" w:rsidRPr="00AB7D1E">
              <w:rPr>
                <w:rFonts w:eastAsia="Times New Roman" w:cstheme="minorHAnsi"/>
                <w:sz w:val="20"/>
                <w:szCs w:val="20"/>
                <w:lang w:val="en-US" w:eastAsia="hr-HR"/>
              </w:rPr>
              <w:t>(%)</w:t>
            </w:r>
          </w:p>
        </w:tc>
        <w:tc>
          <w:tcPr>
            <w:tcW w:w="742" w:type="dxa"/>
            <w:shd w:val="clear" w:color="auto" w:fill="auto"/>
            <w:noWrap/>
            <w:vAlign w:val="center"/>
            <w:hideMark/>
          </w:tcPr>
          <w:p w14:paraId="344254BB" w14:textId="60825D12"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6FB95562" w14:textId="2819EA1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340D8D6F" w14:textId="6815EA79"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06F7A67B" w14:textId="11314CE6"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8</w:t>
            </w:r>
          </w:p>
        </w:tc>
        <w:tc>
          <w:tcPr>
            <w:tcW w:w="844" w:type="dxa"/>
            <w:shd w:val="clear" w:color="auto" w:fill="auto"/>
            <w:noWrap/>
            <w:vAlign w:val="center"/>
            <w:hideMark/>
          </w:tcPr>
          <w:p w14:paraId="65BA7747" w14:textId="13F054C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8</w:t>
            </w:r>
          </w:p>
        </w:tc>
        <w:tc>
          <w:tcPr>
            <w:tcW w:w="741" w:type="dxa"/>
            <w:shd w:val="clear" w:color="auto" w:fill="auto"/>
            <w:noWrap/>
            <w:vAlign w:val="center"/>
            <w:hideMark/>
          </w:tcPr>
          <w:p w14:paraId="3D7EBA48" w14:textId="6A35D6A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50" w:type="dxa"/>
            <w:shd w:val="clear" w:color="auto" w:fill="auto"/>
            <w:noWrap/>
            <w:vAlign w:val="center"/>
            <w:hideMark/>
          </w:tcPr>
          <w:p w14:paraId="41BD2DAE" w14:textId="5AA6A327"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r>
      <w:tr w:rsidR="00333FED" w:rsidRPr="00AB7D1E" w14:paraId="20A5CC0A" w14:textId="77777777" w:rsidTr="000D0CF5">
        <w:trPr>
          <w:trHeight w:val="300"/>
        </w:trPr>
        <w:tc>
          <w:tcPr>
            <w:tcW w:w="3716" w:type="dxa"/>
            <w:shd w:val="clear" w:color="auto" w:fill="CEDBE6" w:themeFill="background2"/>
            <w:vAlign w:val="bottom"/>
            <w:hideMark/>
          </w:tcPr>
          <w:p w14:paraId="7824BB12" w14:textId="293F56E5"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Old age</w:t>
            </w:r>
            <w:r w:rsidRPr="00AB7D1E">
              <w:rPr>
                <w:rFonts w:eastAsia="Times New Roman" w:cstheme="minorHAnsi"/>
                <w:sz w:val="20"/>
                <w:szCs w:val="20"/>
                <w:vertAlign w:val="superscript"/>
                <w:lang w:val="en-US" w:eastAsia="hr-HR"/>
              </w:rPr>
              <w:t>2)</w:t>
            </w:r>
            <w:r w:rsidR="00821DA5" w:rsidRPr="00AB7D1E">
              <w:rPr>
                <w:rFonts w:eastAsia="Times New Roman" w:cstheme="minorHAnsi"/>
                <w:sz w:val="20"/>
                <w:szCs w:val="20"/>
                <w:vertAlign w:val="superscript"/>
                <w:lang w:val="en-US" w:eastAsia="hr-HR"/>
              </w:rPr>
              <w:t xml:space="preserve"> </w:t>
            </w:r>
            <w:r w:rsidR="00821DA5" w:rsidRPr="00AB7D1E">
              <w:rPr>
                <w:rFonts w:eastAsia="Times New Roman" w:cstheme="minorHAnsi"/>
                <w:sz w:val="20"/>
                <w:szCs w:val="20"/>
                <w:lang w:val="en-US" w:eastAsia="hr-HR"/>
              </w:rPr>
              <w:t>(%)</w:t>
            </w:r>
          </w:p>
        </w:tc>
        <w:tc>
          <w:tcPr>
            <w:tcW w:w="742" w:type="dxa"/>
            <w:shd w:val="clear" w:color="auto" w:fill="auto"/>
            <w:noWrap/>
            <w:vAlign w:val="center"/>
            <w:hideMark/>
          </w:tcPr>
          <w:p w14:paraId="01F83E3E" w14:textId="08C3F424"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4</w:t>
            </w:r>
          </w:p>
        </w:tc>
        <w:tc>
          <w:tcPr>
            <w:tcW w:w="741" w:type="dxa"/>
            <w:shd w:val="clear" w:color="auto" w:fill="auto"/>
            <w:noWrap/>
            <w:vAlign w:val="center"/>
            <w:hideMark/>
          </w:tcPr>
          <w:p w14:paraId="2B78716B" w14:textId="3B0F509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46A3E5BF" w14:textId="7498FAD0"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18B1B2FF" w14:textId="0AF59D93"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844" w:type="dxa"/>
            <w:shd w:val="clear" w:color="auto" w:fill="auto"/>
            <w:noWrap/>
            <w:vAlign w:val="center"/>
            <w:hideMark/>
          </w:tcPr>
          <w:p w14:paraId="742C959C" w14:textId="322EF4A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41" w:type="dxa"/>
            <w:shd w:val="clear" w:color="auto" w:fill="auto"/>
            <w:noWrap/>
            <w:vAlign w:val="center"/>
            <w:hideMark/>
          </w:tcPr>
          <w:p w14:paraId="6D746B9E" w14:textId="241E5973"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50" w:type="dxa"/>
            <w:shd w:val="clear" w:color="auto" w:fill="auto"/>
            <w:noWrap/>
            <w:vAlign w:val="center"/>
            <w:hideMark/>
          </w:tcPr>
          <w:p w14:paraId="2651869C" w14:textId="129450CB"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34</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r>
      <w:tr w:rsidR="00333FED" w:rsidRPr="00AB7D1E" w14:paraId="543F4097" w14:textId="77777777" w:rsidTr="000D0CF5">
        <w:trPr>
          <w:trHeight w:val="300"/>
        </w:trPr>
        <w:tc>
          <w:tcPr>
            <w:tcW w:w="3716" w:type="dxa"/>
            <w:shd w:val="clear" w:color="auto" w:fill="CEDBE6" w:themeFill="background2"/>
            <w:vAlign w:val="center"/>
            <w:hideMark/>
          </w:tcPr>
          <w:p w14:paraId="4CF8A447" w14:textId="48304795"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Survivors</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79CE6843" w14:textId="297725DE"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8</w:t>
            </w:r>
          </w:p>
        </w:tc>
        <w:tc>
          <w:tcPr>
            <w:tcW w:w="741" w:type="dxa"/>
            <w:shd w:val="clear" w:color="auto" w:fill="auto"/>
            <w:noWrap/>
            <w:vAlign w:val="center"/>
            <w:hideMark/>
          </w:tcPr>
          <w:p w14:paraId="7E82BBD6" w14:textId="705A40C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786CF75A" w14:textId="0AA96DB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c>
          <w:tcPr>
            <w:tcW w:w="741" w:type="dxa"/>
            <w:shd w:val="clear" w:color="auto" w:fill="auto"/>
            <w:noWrap/>
            <w:vAlign w:val="center"/>
            <w:hideMark/>
          </w:tcPr>
          <w:p w14:paraId="075A2638" w14:textId="620A786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844" w:type="dxa"/>
            <w:shd w:val="clear" w:color="auto" w:fill="auto"/>
            <w:noWrap/>
            <w:vAlign w:val="center"/>
            <w:hideMark/>
          </w:tcPr>
          <w:p w14:paraId="2878E2D3" w14:textId="5D49A01D"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c>
          <w:tcPr>
            <w:tcW w:w="741" w:type="dxa"/>
            <w:shd w:val="clear" w:color="auto" w:fill="auto"/>
            <w:noWrap/>
            <w:vAlign w:val="center"/>
            <w:hideMark/>
          </w:tcPr>
          <w:p w14:paraId="40A28022" w14:textId="79A0886E"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50" w:type="dxa"/>
            <w:shd w:val="clear" w:color="auto" w:fill="auto"/>
            <w:noWrap/>
            <w:vAlign w:val="center"/>
            <w:hideMark/>
          </w:tcPr>
          <w:p w14:paraId="351A7D22" w14:textId="4E764A18"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r>
      <w:tr w:rsidR="00333FED" w:rsidRPr="00AB7D1E" w14:paraId="5426305D" w14:textId="77777777" w:rsidTr="000D0CF5">
        <w:trPr>
          <w:trHeight w:val="300"/>
        </w:trPr>
        <w:tc>
          <w:tcPr>
            <w:tcW w:w="3716" w:type="dxa"/>
            <w:shd w:val="clear" w:color="auto" w:fill="CEDBE6" w:themeFill="background2"/>
            <w:vAlign w:val="center"/>
            <w:hideMark/>
          </w:tcPr>
          <w:p w14:paraId="54D07C29" w14:textId="7A7B9974"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Family/Children</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2B09FBBA" w14:textId="069822F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7</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41" w:type="dxa"/>
            <w:shd w:val="clear" w:color="auto" w:fill="auto"/>
            <w:noWrap/>
            <w:vAlign w:val="center"/>
            <w:hideMark/>
          </w:tcPr>
          <w:p w14:paraId="390ACC03" w14:textId="4DB22B68"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7</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41" w:type="dxa"/>
            <w:shd w:val="clear" w:color="auto" w:fill="auto"/>
            <w:noWrap/>
            <w:vAlign w:val="center"/>
            <w:hideMark/>
          </w:tcPr>
          <w:p w14:paraId="6E4166D4" w14:textId="4D958FE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5E12C7C1" w14:textId="2C469EC1"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844" w:type="dxa"/>
            <w:shd w:val="clear" w:color="auto" w:fill="auto"/>
            <w:noWrap/>
            <w:vAlign w:val="center"/>
            <w:hideMark/>
          </w:tcPr>
          <w:p w14:paraId="118610F5" w14:textId="71A064B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5F453250" w14:textId="604BDFE2"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8</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50" w:type="dxa"/>
            <w:shd w:val="clear" w:color="auto" w:fill="auto"/>
            <w:noWrap/>
            <w:vAlign w:val="center"/>
            <w:hideMark/>
          </w:tcPr>
          <w:p w14:paraId="7CA80073" w14:textId="6A57A36B"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9</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r>
      <w:tr w:rsidR="00333FED" w:rsidRPr="00AB7D1E" w14:paraId="5FE964BF" w14:textId="77777777" w:rsidTr="000D0CF5">
        <w:trPr>
          <w:trHeight w:val="300"/>
        </w:trPr>
        <w:tc>
          <w:tcPr>
            <w:tcW w:w="3716" w:type="dxa"/>
            <w:shd w:val="clear" w:color="auto" w:fill="CEDBE6" w:themeFill="background2"/>
            <w:vAlign w:val="center"/>
            <w:hideMark/>
          </w:tcPr>
          <w:p w14:paraId="04C4D6E6" w14:textId="0811CF58"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Unemployment</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4B97DAEB" w14:textId="1206D6DD"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741" w:type="dxa"/>
            <w:shd w:val="clear" w:color="auto" w:fill="auto"/>
            <w:noWrap/>
            <w:vAlign w:val="center"/>
            <w:hideMark/>
          </w:tcPr>
          <w:p w14:paraId="1BB6399F" w14:textId="264D90B6"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c>
          <w:tcPr>
            <w:tcW w:w="741" w:type="dxa"/>
            <w:shd w:val="clear" w:color="auto" w:fill="auto"/>
            <w:noWrap/>
            <w:vAlign w:val="center"/>
            <w:hideMark/>
          </w:tcPr>
          <w:p w14:paraId="38CD50D8" w14:textId="2FDD667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5</w:t>
            </w:r>
          </w:p>
        </w:tc>
        <w:tc>
          <w:tcPr>
            <w:tcW w:w="741" w:type="dxa"/>
            <w:shd w:val="clear" w:color="auto" w:fill="auto"/>
            <w:noWrap/>
            <w:vAlign w:val="center"/>
            <w:hideMark/>
          </w:tcPr>
          <w:p w14:paraId="37A33E45" w14:textId="4073204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c>
          <w:tcPr>
            <w:tcW w:w="844" w:type="dxa"/>
            <w:shd w:val="clear" w:color="auto" w:fill="auto"/>
            <w:noWrap/>
            <w:vAlign w:val="center"/>
            <w:hideMark/>
          </w:tcPr>
          <w:p w14:paraId="0C98A1B4" w14:textId="5CDA04C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5680388D" w14:textId="389A61F5"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3</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3</w:t>
            </w:r>
          </w:p>
        </w:tc>
        <w:tc>
          <w:tcPr>
            <w:tcW w:w="750" w:type="dxa"/>
            <w:shd w:val="clear" w:color="auto" w:fill="auto"/>
            <w:noWrap/>
            <w:vAlign w:val="center"/>
            <w:hideMark/>
          </w:tcPr>
          <w:p w14:paraId="100661FA" w14:textId="204515F2"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2</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9</w:t>
            </w:r>
          </w:p>
        </w:tc>
      </w:tr>
      <w:tr w:rsidR="00333FED" w:rsidRPr="00AB7D1E" w14:paraId="24F32E54" w14:textId="77777777" w:rsidTr="000D0CF5">
        <w:trPr>
          <w:trHeight w:val="300"/>
        </w:trPr>
        <w:tc>
          <w:tcPr>
            <w:tcW w:w="3716" w:type="dxa"/>
            <w:shd w:val="clear" w:color="auto" w:fill="CEDBE6" w:themeFill="background2"/>
            <w:vAlign w:val="center"/>
            <w:hideMark/>
          </w:tcPr>
          <w:p w14:paraId="5DB3B343" w14:textId="35F4FCE2"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Housing</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18E12355" w14:textId="45E2FCB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101535F8" w14:textId="16C5463D"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18C42684" w14:textId="7192D8BC"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38064B01" w14:textId="51FF0414"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844" w:type="dxa"/>
            <w:shd w:val="clear" w:color="auto" w:fill="auto"/>
            <w:noWrap/>
            <w:vAlign w:val="center"/>
            <w:hideMark/>
          </w:tcPr>
          <w:p w14:paraId="64782FEA" w14:textId="6E5EE928"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71D319F1" w14:textId="53DD1A03"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50" w:type="dxa"/>
            <w:shd w:val="clear" w:color="auto" w:fill="auto"/>
            <w:noWrap/>
            <w:vAlign w:val="center"/>
            <w:hideMark/>
          </w:tcPr>
          <w:p w14:paraId="4A972F02" w14:textId="641E165D"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0</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r>
      <w:tr w:rsidR="00333FED" w:rsidRPr="00AB7D1E" w14:paraId="59988C45" w14:textId="77777777" w:rsidTr="000D0CF5">
        <w:trPr>
          <w:trHeight w:val="510"/>
        </w:trPr>
        <w:tc>
          <w:tcPr>
            <w:tcW w:w="3716" w:type="dxa"/>
            <w:shd w:val="clear" w:color="auto" w:fill="CEDBE6" w:themeFill="background2"/>
            <w:vAlign w:val="center"/>
            <w:hideMark/>
          </w:tcPr>
          <w:p w14:paraId="1539C120" w14:textId="284F1685" w:rsidR="00333FED" w:rsidRPr="00AB7D1E" w:rsidRDefault="00333FED" w:rsidP="008130EA">
            <w:pPr>
              <w:suppressAutoHyphens w:val="0"/>
              <w:autoSpaceDN/>
              <w:spacing w:before="0" w:after="0" w:line="240" w:lineRule="auto"/>
              <w:jc w:val="lef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Social exclusion not elsewhere classified</w:t>
            </w:r>
            <w:r w:rsidR="00821DA5" w:rsidRPr="00AB7D1E">
              <w:rPr>
                <w:rFonts w:eastAsia="Times New Roman" w:cstheme="minorHAnsi"/>
                <w:sz w:val="20"/>
                <w:szCs w:val="20"/>
                <w:lang w:val="en-US" w:eastAsia="hr-HR"/>
              </w:rPr>
              <w:t xml:space="preserve"> (%)</w:t>
            </w:r>
          </w:p>
        </w:tc>
        <w:tc>
          <w:tcPr>
            <w:tcW w:w="742" w:type="dxa"/>
            <w:shd w:val="clear" w:color="auto" w:fill="auto"/>
            <w:noWrap/>
            <w:vAlign w:val="center"/>
            <w:hideMark/>
          </w:tcPr>
          <w:p w14:paraId="76F852D5" w14:textId="2ACC68B4"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0</w:t>
            </w:r>
          </w:p>
        </w:tc>
        <w:tc>
          <w:tcPr>
            <w:tcW w:w="741" w:type="dxa"/>
            <w:shd w:val="clear" w:color="auto" w:fill="auto"/>
            <w:noWrap/>
            <w:vAlign w:val="center"/>
            <w:hideMark/>
          </w:tcPr>
          <w:p w14:paraId="2F8EAAF1" w14:textId="790327B2"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1</w:t>
            </w:r>
          </w:p>
        </w:tc>
        <w:tc>
          <w:tcPr>
            <w:tcW w:w="741" w:type="dxa"/>
            <w:shd w:val="clear" w:color="auto" w:fill="auto"/>
            <w:noWrap/>
            <w:vAlign w:val="center"/>
            <w:hideMark/>
          </w:tcPr>
          <w:p w14:paraId="0F40B93E" w14:textId="49A6D0F3"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2</w:t>
            </w:r>
          </w:p>
        </w:tc>
        <w:tc>
          <w:tcPr>
            <w:tcW w:w="741" w:type="dxa"/>
            <w:shd w:val="clear" w:color="auto" w:fill="auto"/>
            <w:noWrap/>
            <w:vAlign w:val="center"/>
            <w:hideMark/>
          </w:tcPr>
          <w:p w14:paraId="410F4342" w14:textId="79C8DB59"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2</w:t>
            </w:r>
          </w:p>
        </w:tc>
        <w:tc>
          <w:tcPr>
            <w:tcW w:w="844" w:type="dxa"/>
            <w:shd w:val="clear" w:color="auto" w:fill="auto"/>
            <w:noWrap/>
            <w:vAlign w:val="center"/>
            <w:hideMark/>
          </w:tcPr>
          <w:p w14:paraId="01941C9D" w14:textId="2A15E7B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41" w:type="dxa"/>
            <w:shd w:val="clear" w:color="auto" w:fill="auto"/>
            <w:noWrap/>
            <w:vAlign w:val="center"/>
            <w:hideMark/>
          </w:tcPr>
          <w:p w14:paraId="2A1A5A26" w14:textId="1291538A"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7</w:t>
            </w:r>
          </w:p>
        </w:tc>
        <w:tc>
          <w:tcPr>
            <w:tcW w:w="750" w:type="dxa"/>
            <w:shd w:val="clear" w:color="auto" w:fill="auto"/>
            <w:noWrap/>
            <w:vAlign w:val="center"/>
            <w:hideMark/>
          </w:tcPr>
          <w:p w14:paraId="5001369A" w14:textId="34598DDF" w:rsidR="00333FED" w:rsidRPr="00AB7D1E" w:rsidRDefault="00333FED" w:rsidP="008130EA">
            <w:pPr>
              <w:suppressAutoHyphens w:val="0"/>
              <w:autoSpaceDN/>
              <w:spacing w:before="0" w:after="0" w:line="240" w:lineRule="auto"/>
              <w:jc w:val="right"/>
              <w:textAlignment w:val="auto"/>
              <w:rPr>
                <w:rFonts w:eastAsia="Times New Roman" w:cstheme="minorHAnsi"/>
                <w:sz w:val="20"/>
                <w:szCs w:val="20"/>
                <w:lang w:val="en-US" w:eastAsia="hr-HR"/>
              </w:rPr>
            </w:pPr>
            <w:r w:rsidRPr="00AB7D1E">
              <w:rPr>
                <w:rFonts w:eastAsia="Times New Roman" w:cstheme="minorHAnsi"/>
                <w:sz w:val="20"/>
                <w:szCs w:val="20"/>
                <w:lang w:val="en-US" w:eastAsia="hr-HR"/>
              </w:rPr>
              <w:t>1</w:t>
            </w:r>
            <w:r w:rsidR="00A02FDF" w:rsidRPr="00AB7D1E">
              <w:rPr>
                <w:rFonts w:eastAsia="Times New Roman" w:cstheme="minorHAnsi"/>
                <w:sz w:val="20"/>
                <w:szCs w:val="20"/>
                <w:lang w:val="en-US" w:eastAsia="hr-HR"/>
              </w:rPr>
              <w:t>,</w:t>
            </w:r>
            <w:r w:rsidRPr="00AB7D1E">
              <w:rPr>
                <w:rFonts w:eastAsia="Times New Roman" w:cstheme="minorHAnsi"/>
                <w:sz w:val="20"/>
                <w:szCs w:val="20"/>
                <w:lang w:val="en-US" w:eastAsia="hr-HR"/>
              </w:rPr>
              <w:t>6</w:t>
            </w:r>
          </w:p>
        </w:tc>
      </w:tr>
    </w:tbl>
    <w:p w14:paraId="4CC20A7E" w14:textId="3C317398" w:rsidR="007378E2" w:rsidRPr="00AB7D1E" w:rsidRDefault="007378E2" w:rsidP="007378E2">
      <w:pPr>
        <w:rPr>
          <w:sz w:val="16"/>
          <w:szCs w:val="16"/>
          <w:lang w:val="en-US"/>
        </w:rPr>
      </w:pPr>
      <w:r w:rsidRPr="00AB7D1E">
        <w:rPr>
          <w:sz w:val="16"/>
          <w:szCs w:val="16"/>
          <w:lang w:val="en-US"/>
        </w:rPr>
        <w:t>Note 1) Revised da</w:t>
      </w:r>
      <w:r w:rsidR="0061792B" w:rsidRPr="00AB7D1E">
        <w:rPr>
          <w:sz w:val="16"/>
          <w:szCs w:val="16"/>
          <w:lang w:val="en-US"/>
        </w:rPr>
        <w:t>t</w:t>
      </w:r>
      <w:r w:rsidRPr="00AB7D1E">
        <w:rPr>
          <w:sz w:val="16"/>
          <w:szCs w:val="16"/>
          <w:lang w:val="en-US"/>
        </w:rPr>
        <w:t>a; Note 2) In line with the ESSPROS methodology, disability pensions for beneficiaries above legal retirement age have been transferred to Old-age function.</w:t>
      </w:r>
    </w:p>
    <w:p w14:paraId="0CCFA5FA" w14:textId="16F78F0F" w:rsidR="007378E2" w:rsidRPr="00AB7D1E" w:rsidRDefault="001F7F32" w:rsidP="006D1455">
      <w:pPr>
        <w:pStyle w:val="Heading3"/>
        <w:rPr>
          <w:lang w:val="en-US"/>
        </w:rPr>
      </w:pPr>
      <w:bookmarkStart w:id="87" w:name="_Toc56954050"/>
      <w:r w:rsidRPr="00AB7D1E">
        <w:rPr>
          <w:lang w:val="en-US"/>
        </w:rPr>
        <w:t>Health Care</w:t>
      </w:r>
      <w:bookmarkEnd w:id="87"/>
      <w:r w:rsidRPr="00AB7D1E">
        <w:rPr>
          <w:lang w:val="en-US"/>
        </w:rPr>
        <w:t xml:space="preserve"> </w:t>
      </w:r>
    </w:p>
    <w:p w14:paraId="7827021A" w14:textId="6B47AC1B" w:rsidR="00207AC2" w:rsidRPr="00AB7D1E" w:rsidRDefault="005C4F0B" w:rsidP="00241038">
      <w:pPr>
        <w:rPr>
          <w:lang w:val="en-US"/>
        </w:rPr>
      </w:pPr>
      <w:r w:rsidRPr="00AB7D1E">
        <w:rPr>
          <w:lang w:val="en-US"/>
        </w:rPr>
        <w:t>Despite a challenging economic context and major fiscal pressures on health expenditure, Croatia has managed to keep publicly funded health services accessible to its population. Croatia has seen major fluctuations in its per capita health expenditure in recent years, due to high unemployment rates and a challenging fiscal context. Strengthened health system governance will be crucial to ensure financial sustainability.</w:t>
      </w:r>
    </w:p>
    <w:p w14:paraId="707AA5DB" w14:textId="77777777" w:rsidR="008C6085" w:rsidRPr="00AB7D1E" w:rsidRDefault="00D57399" w:rsidP="00241038">
      <w:pPr>
        <w:rPr>
          <w:lang w:val="en-US"/>
        </w:rPr>
      </w:pPr>
      <w:r w:rsidRPr="00AB7D1E">
        <w:rPr>
          <w:lang w:val="en-US"/>
        </w:rPr>
        <w:t xml:space="preserve">The Ministry of Health holds the stewardship role in the health system and is the main regulatory body, responsible for an array of functions, including health policy development, planning and evaluation, public health </w:t>
      </w:r>
      <w:proofErr w:type="spellStart"/>
      <w:r w:rsidRPr="00AB7D1E">
        <w:rPr>
          <w:lang w:val="en-US"/>
        </w:rPr>
        <w:t>programmes</w:t>
      </w:r>
      <w:proofErr w:type="spellEnd"/>
      <w:r w:rsidRPr="00AB7D1E">
        <w:rPr>
          <w:lang w:val="en-US"/>
        </w:rPr>
        <w:t xml:space="preserve">, regulatory standards and the training of health professionals. </w:t>
      </w:r>
    </w:p>
    <w:p w14:paraId="22F2523E" w14:textId="19C9DEF2" w:rsidR="005C4F0B" w:rsidRPr="00AB7D1E" w:rsidRDefault="00CE3BD9" w:rsidP="00241038">
      <w:pPr>
        <w:rPr>
          <w:lang w:val="en-US"/>
        </w:rPr>
      </w:pPr>
      <w:r w:rsidRPr="00AB7D1E">
        <w:rPr>
          <w:lang w:val="en-US"/>
        </w:rPr>
        <w:t xml:space="preserve">Croatia has a mandatory health insurance system, with the Croatian Health Insurance Fund (CHIF) being the sole insurer and the main purchaser of health services. The CHIF contracts with health care providers for the provision of services and plays a key role in defining which health services are covered by the publicly financed system. It also oversees performance standards and price-setting for services; is responsible for the payment of sick leave compensation, maternity benefits and other </w:t>
      </w:r>
      <w:r w:rsidRPr="00AB7D1E">
        <w:rPr>
          <w:lang w:val="en-US"/>
        </w:rPr>
        <w:lastRenderedPageBreak/>
        <w:t>allowances; and is the main provider of complementary Voluntary Health Insurance (VHI) covering user charges (termed ‘supplemental insurance’ in Croatia).</w:t>
      </w:r>
      <w:r w:rsidR="00D57399" w:rsidRPr="00AB7D1E">
        <w:rPr>
          <w:lang w:val="en-US"/>
        </w:rPr>
        <w:t xml:space="preserve"> </w:t>
      </w:r>
    </w:p>
    <w:p w14:paraId="27EC5E76" w14:textId="381379BF" w:rsidR="00AB0134" w:rsidRPr="00AB7D1E" w:rsidRDefault="00AB0134" w:rsidP="00241038">
      <w:pPr>
        <w:rPr>
          <w:lang w:val="en-US"/>
        </w:rPr>
      </w:pPr>
      <w:r w:rsidRPr="00AB7D1E">
        <w:rPr>
          <w:lang w:val="en-US"/>
        </w:rPr>
        <w:t xml:space="preserve">The CHIF provides universal health insurance coverage to the entire resident population and it is not possible to opt out of the mandatory health insurance system. </w:t>
      </w:r>
      <w:r w:rsidR="00D57399" w:rsidRPr="00AB7D1E">
        <w:rPr>
          <w:lang w:val="en-US"/>
        </w:rPr>
        <w:t>Dependent family members are covered through the contributions made by working family members, while those who are not economically active (such as pensioners and the unemployed), as well as vulnerable groups (people with disabilities, those on low incomes) are exempt from contributions and are covered through state budget transfers. The benefit package is broad, covering most types of health services. While co-payments have been introduced in recent years, exemptions for vulnerable groups ensure a good degree of financial protection</w:t>
      </w:r>
    </w:p>
    <w:p w14:paraId="6D569B02" w14:textId="27589454" w:rsidR="00AB0134" w:rsidRPr="00AB7D1E" w:rsidRDefault="00AB0134" w:rsidP="00241038">
      <w:pPr>
        <w:rPr>
          <w:lang w:val="en-US"/>
        </w:rPr>
      </w:pPr>
      <w:r w:rsidRPr="00AB7D1E">
        <w:rPr>
          <w:lang w:val="en-US"/>
        </w:rPr>
        <w:t>Complementary health insurance (mainly to cover user charges in the mandatory health insurance system, see below) is voluntary and is purchased individually from either the CHIF or a private insurer.</w:t>
      </w:r>
      <w:r w:rsidR="0078214A" w:rsidRPr="00AB7D1E">
        <w:rPr>
          <w:lang w:val="en-US"/>
        </w:rPr>
        <w:t xml:space="preserve"> Over 60 % of the population has this additional insurance.</w:t>
      </w:r>
    </w:p>
    <w:p w14:paraId="191DB3D5" w14:textId="006A5B2B" w:rsidR="00AB0134" w:rsidRPr="00AB7D1E" w:rsidRDefault="00097B18" w:rsidP="00241038">
      <w:pPr>
        <w:rPr>
          <w:lang w:val="en-US"/>
        </w:rPr>
      </w:pPr>
      <w:r w:rsidRPr="00AB7D1E">
        <w:rPr>
          <w:lang w:val="en-US"/>
        </w:rPr>
        <w:t xml:space="preserve">Health expenditure in Croatia is among the lowest among EU Member States, both in per capita terms and as a percentage of gross domestic product (GDP). </w:t>
      </w:r>
      <w:r w:rsidR="000C269F" w:rsidRPr="00AB7D1E">
        <w:rPr>
          <w:lang w:val="en-US"/>
        </w:rPr>
        <w:t>Expenditure as a percentage of GDP was 6</w:t>
      </w:r>
      <w:r w:rsidR="00A02FDF" w:rsidRPr="00AB7D1E">
        <w:rPr>
          <w:lang w:val="en-US"/>
        </w:rPr>
        <w:t>,</w:t>
      </w:r>
      <w:r w:rsidR="000C269F" w:rsidRPr="00AB7D1E">
        <w:rPr>
          <w:lang w:val="en-US"/>
        </w:rPr>
        <w:t>8 % in 2017, below the EU average of 9</w:t>
      </w:r>
      <w:r w:rsidR="00A02FDF" w:rsidRPr="00AB7D1E">
        <w:rPr>
          <w:lang w:val="en-US"/>
        </w:rPr>
        <w:t>,</w:t>
      </w:r>
      <w:r w:rsidR="000C269F" w:rsidRPr="00AB7D1E">
        <w:rPr>
          <w:lang w:val="en-US"/>
        </w:rPr>
        <w:t>8 %, but higher than eight other EU countries.</w:t>
      </w:r>
    </w:p>
    <w:p w14:paraId="406EA551" w14:textId="182CD6C6" w:rsidR="00F114FA" w:rsidRPr="00AB7D1E" w:rsidRDefault="00F114FA" w:rsidP="00241038">
      <w:pPr>
        <w:rPr>
          <w:lang w:val="en-US"/>
        </w:rPr>
      </w:pPr>
      <w:r w:rsidRPr="00AB7D1E">
        <w:rPr>
          <w:lang w:val="en-US"/>
        </w:rPr>
        <w:t xml:space="preserve">Hospital care is delivered through a network of general and specialist hospitals, most of which are owned by the counties. Highly </w:t>
      </w:r>
      <w:proofErr w:type="spellStart"/>
      <w:r w:rsidRPr="00AB7D1E">
        <w:rPr>
          <w:lang w:val="en-US"/>
        </w:rPr>
        <w:t>specialised</w:t>
      </w:r>
      <w:proofErr w:type="spellEnd"/>
      <w:r w:rsidRPr="00AB7D1E">
        <w:rPr>
          <w:lang w:val="en-US"/>
        </w:rPr>
        <w:t xml:space="preserve"> tertiary care is provided by hospitals owned by the central government. </w:t>
      </w:r>
      <w:proofErr w:type="spellStart"/>
      <w:r w:rsidRPr="00AB7D1E">
        <w:rPr>
          <w:lang w:val="en-US"/>
        </w:rPr>
        <w:t>Specialised</w:t>
      </w:r>
      <w:proofErr w:type="spellEnd"/>
      <w:r w:rsidRPr="00AB7D1E">
        <w:rPr>
          <w:lang w:val="en-US"/>
        </w:rPr>
        <w:t xml:space="preserve"> outpatient services, such as consultations provided by secondary care specialists, are mostly delivered in hospital outpatient departments. Since 2009, hospitals contracted by the CHIF have been paid using a diagnosis-related group (DRG) system and spending limits, with the aim of reducing costs and increasing efficiency.</w:t>
      </w:r>
      <w:r w:rsidR="00A22033" w:rsidRPr="00AB7D1E">
        <w:rPr>
          <w:rStyle w:val="FootnoteReference"/>
          <w:lang w:val="en-US"/>
        </w:rPr>
        <w:t xml:space="preserve"> </w:t>
      </w:r>
      <w:r w:rsidR="00A22033" w:rsidRPr="00AB7D1E">
        <w:rPr>
          <w:rStyle w:val="FootnoteReference"/>
          <w:lang w:val="en-US"/>
        </w:rPr>
        <w:footnoteReference w:id="79"/>
      </w:r>
    </w:p>
    <w:p w14:paraId="0B382726" w14:textId="6A3F7008" w:rsidR="00A02FDF" w:rsidRPr="00AB7D1E" w:rsidRDefault="00BB06F8" w:rsidP="007D1E1B">
      <w:pPr>
        <w:pStyle w:val="Style1"/>
      </w:pPr>
      <w:bookmarkStart w:id="88" w:name="_Toc56952708"/>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8</w:t>
      </w:r>
      <w:r w:rsidR="00DF4A34" w:rsidRPr="00AB7D1E">
        <w:fldChar w:fldCharType="end"/>
      </w:r>
      <w:r w:rsidRPr="00AB7D1E">
        <w:t xml:space="preserve">. Founders responsible for </w:t>
      </w:r>
      <w:r w:rsidR="00937394" w:rsidRPr="00AB7D1E">
        <w:t>investment in health care institutions</w:t>
      </w:r>
      <w:bookmarkEnd w:id="88"/>
    </w:p>
    <w:tbl>
      <w:tblPr>
        <w:tblStyle w:val="TableGrid"/>
        <w:tblW w:w="5000" w:type="pct"/>
        <w:tblLook w:val="04A0" w:firstRow="1" w:lastRow="0" w:firstColumn="1" w:lastColumn="0" w:noHBand="0" w:noVBand="1"/>
      </w:tblPr>
      <w:tblGrid>
        <w:gridCol w:w="2681"/>
        <w:gridCol w:w="6335"/>
      </w:tblGrid>
      <w:tr w:rsidR="00BB06F8" w:rsidRPr="00AB7D1E" w14:paraId="7A9215BE" w14:textId="77777777" w:rsidTr="00BB06F8">
        <w:trPr>
          <w:tblHeader/>
        </w:trPr>
        <w:tc>
          <w:tcPr>
            <w:tcW w:w="1487" w:type="pct"/>
            <w:shd w:val="clear" w:color="auto" w:fill="CEDBE6" w:themeFill="background2"/>
          </w:tcPr>
          <w:p w14:paraId="0A2FA0B8" w14:textId="77777777" w:rsidR="00BB06F8" w:rsidRPr="00AB7D1E" w:rsidRDefault="00BB06F8" w:rsidP="00BB06F8">
            <w:pPr>
              <w:spacing w:before="0" w:after="0"/>
              <w:jc w:val="center"/>
              <w:rPr>
                <w:rFonts w:cstheme="minorHAnsi"/>
                <w:b/>
                <w:bCs/>
                <w:sz w:val="20"/>
                <w:szCs w:val="20"/>
                <w:lang w:val="en-US"/>
              </w:rPr>
            </w:pPr>
            <w:r w:rsidRPr="00AB7D1E">
              <w:rPr>
                <w:rFonts w:cstheme="minorHAnsi"/>
                <w:b/>
                <w:bCs/>
                <w:sz w:val="20"/>
                <w:szCs w:val="20"/>
                <w:lang w:val="en-US"/>
              </w:rPr>
              <w:t>Founder</w:t>
            </w:r>
          </w:p>
        </w:tc>
        <w:tc>
          <w:tcPr>
            <w:tcW w:w="3513" w:type="pct"/>
            <w:shd w:val="clear" w:color="auto" w:fill="CEDBE6" w:themeFill="background2"/>
          </w:tcPr>
          <w:p w14:paraId="60355F33" w14:textId="77777777" w:rsidR="00BB06F8" w:rsidRPr="00AB7D1E" w:rsidRDefault="00BB06F8" w:rsidP="00BB06F8">
            <w:pPr>
              <w:spacing w:before="0" w:after="0"/>
              <w:jc w:val="center"/>
              <w:rPr>
                <w:rFonts w:cstheme="minorHAnsi"/>
                <w:b/>
                <w:bCs/>
                <w:sz w:val="20"/>
                <w:szCs w:val="20"/>
                <w:lang w:val="en-US"/>
              </w:rPr>
            </w:pPr>
            <w:r w:rsidRPr="00AB7D1E">
              <w:rPr>
                <w:rFonts w:cstheme="minorHAnsi"/>
                <w:b/>
                <w:bCs/>
                <w:sz w:val="20"/>
                <w:szCs w:val="20"/>
                <w:lang w:val="en-US"/>
              </w:rPr>
              <w:t>Responsible for investments</w:t>
            </w:r>
          </w:p>
        </w:tc>
      </w:tr>
      <w:tr w:rsidR="00BB06F8" w:rsidRPr="00AB7D1E" w14:paraId="55ADA954" w14:textId="77777777" w:rsidTr="00B11652">
        <w:tc>
          <w:tcPr>
            <w:tcW w:w="1487" w:type="pct"/>
            <w:shd w:val="clear" w:color="auto" w:fill="auto"/>
          </w:tcPr>
          <w:p w14:paraId="515921A5" w14:textId="777777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State</w:t>
            </w:r>
          </w:p>
        </w:tc>
        <w:tc>
          <w:tcPr>
            <w:tcW w:w="3513" w:type="pct"/>
            <w:shd w:val="clear" w:color="auto" w:fill="auto"/>
          </w:tcPr>
          <w:p w14:paraId="636C8816" w14:textId="777777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and current maintenance of health care institutions - space, medical and non-medical equipment and means of transport and for informatization of health care activities, in accordance with the plan and program of health care measures in the public health service network for health care institutions founded by losses of health institutions </w:t>
            </w:r>
            <w:r w:rsidRPr="00AB7D1E">
              <w:rPr>
                <w:rFonts w:cstheme="minorHAnsi"/>
                <w:b/>
                <w:sz w:val="20"/>
                <w:szCs w:val="20"/>
                <w:lang w:val="en-US"/>
              </w:rPr>
              <w:t>of which it is the founder</w:t>
            </w:r>
          </w:p>
        </w:tc>
      </w:tr>
      <w:tr w:rsidR="00BB06F8" w:rsidRPr="00AB7D1E" w14:paraId="3655632E" w14:textId="77777777" w:rsidTr="00B11652">
        <w:tc>
          <w:tcPr>
            <w:tcW w:w="1487" w:type="pct"/>
            <w:shd w:val="clear" w:color="auto" w:fill="auto"/>
          </w:tcPr>
          <w:p w14:paraId="0245E698" w14:textId="777777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State</w:t>
            </w:r>
          </w:p>
        </w:tc>
        <w:tc>
          <w:tcPr>
            <w:tcW w:w="3513" w:type="pct"/>
            <w:shd w:val="clear" w:color="auto" w:fill="auto"/>
          </w:tcPr>
          <w:p w14:paraId="4EABF7FC" w14:textId="500A84DF"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in hospitals and investment in all health care institutions </w:t>
            </w:r>
            <w:r w:rsidRPr="00AB7D1E">
              <w:rPr>
                <w:rFonts w:cstheme="minorHAnsi"/>
                <w:b/>
                <w:sz w:val="20"/>
                <w:szCs w:val="20"/>
                <w:lang w:val="en-US"/>
              </w:rPr>
              <w:t>whose founders are units of regional self-government, i</w:t>
            </w:r>
            <w:r w:rsidR="00DF4A34" w:rsidRPr="00AB7D1E">
              <w:rPr>
                <w:rFonts w:cstheme="minorHAnsi"/>
                <w:b/>
                <w:sz w:val="20"/>
                <w:szCs w:val="20"/>
                <w:lang w:val="en-US"/>
              </w:rPr>
              <w:t>.</w:t>
            </w:r>
            <w:r w:rsidRPr="00AB7D1E">
              <w:rPr>
                <w:rFonts w:cstheme="minorHAnsi"/>
                <w:b/>
                <w:sz w:val="20"/>
                <w:szCs w:val="20"/>
                <w:lang w:val="en-US"/>
              </w:rPr>
              <w:t>e</w:t>
            </w:r>
            <w:r w:rsidR="00DF4A34" w:rsidRPr="00AB7D1E">
              <w:rPr>
                <w:rFonts w:cstheme="minorHAnsi"/>
                <w:b/>
                <w:sz w:val="20"/>
                <w:szCs w:val="20"/>
                <w:lang w:val="en-US"/>
              </w:rPr>
              <w:t>.</w:t>
            </w:r>
            <w:r w:rsidRPr="00AB7D1E">
              <w:rPr>
                <w:rFonts w:cstheme="minorHAnsi"/>
                <w:b/>
                <w:sz w:val="20"/>
                <w:szCs w:val="20"/>
                <w:lang w:val="en-US"/>
              </w:rPr>
              <w:t xml:space="preserve"> the City of Zagreb or local self-government units,</w:t>
            </w:r>
            <w:r w:rsidRPr="00AB7D1E">
              <w:rPr>
                <w:rFonts w:cstheme="minorHAnsi"/>
                <w:bCs/>
                <w:sz w:val="20"/>
                <w:szCs w:val="20"/>
                <w:lang w:val="en-US"/>
              </w:rPr>
              <w:t xml:space="preserve"> </w:t>
            </w:r>
            <w:r w:rsidRPr="00AB7D1E">
              <w:rPr>
                <w:rFonts w:cstheme="minorHAnsi"/>
                <w:b/>
                <w:sz w:val="20"/>
                <w:szCs w:val="20"/>
                <w:lang w:val="en-US"/>
              </w:rPr>
              <w:t xml:space="preserve">and </w:t>
            </w:r>
            <w:proofErr w:type="gramStart"/>
            <w:r w:rsidRPr="00AB7D1E">
              <w:rPr>
                <w:rFonts w:cstheme="minorHAnsi"/>
                <w:b/>
                <w:sz w:val="20"/>
                <w:szCs w:val="20"/>
                <w:lang w:val="en-US"/>
              </w:rPr>
              <w:t>are located in</w:t>
            </w:r>
            <w:proofErr w:type="gramEnd"/>
            <w:r w:rsidRPr="00AB7D1E">
              <w:rPr>
                <w:rFonts w:cstheme="minorHAnsi"/>
                <w:b/>
                <w:sz w:val="20"/>
                <w:szCs w:val="20"/>
                <w:lang w:val="en-US"/>
              </w:rPr>
              <w:t xml:space="preserve"> assisted areas</w:t>
            </w:r>
            <w:r w:rsidRPr="00AB7D1E">
              <w:rPr>
                <w:rFonts w:cstheme="minorHAnsi"/>
                <w:sz w:val="20"/>
                <w:szCs w:val="20"/>
                <w:lang w:val="en-US"/>
              </w:rPr>
              <w:t>.</w:t>
            </w:r>
          </w:p>
        </w:tc>
      </w:tr>
      <w:tr w:rsidR="00BB06F8" w:rsidRPr="00AB7D1E" w14:paraId="29DC672B" w14:textId="77777777" w:rsidTr="00B11652">
        <w:tc>
          <w:tcPr>
            <w:tcW w:w="1487" w:type="pct"/>
            <w:shd w:val="clear" w:color="auto" w:fill="auto"/>
          </w:tcPr>
          <w:p w14:paraId="04CAA405" w14:textId="777777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State</w:t>
            </w:r>
          </w:p>
        </w:tc>
        <w:tc>
          <w:tcPr>
            <w:tcW w:w="3513" w:type="pct"/>
            <w:shd w:val="clear" w:color="auto" w:fill="auto"/>
          </w:tcPr>
          <w:p w14:paraId="6D031228" w14:textId="3831344D"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in health care institutions </w:t>
            </w:r>
            <w:r w:rsidRPr="00AB7D1E">
              <w:rPr>
                <w:rFonts w:cstheme="minorHAnsi"/>
                <w:b/>
                <w:sz w:val="20"/>
                <w:szCs w:val="20"/>
                <w:lang w:val="en-US"/>
              </w:rPr>
              <w:t>whose founders are units of regional self-government, i</w:t>
            </w:r>
            <w:r w:rsidR="00DF4A34" w:rsidRPr="00AB7D1E">
              <w:rPr>
                <w:rFonts w:cstheme="minorHAnsi"/>
                <w:b/>
                <w:sz w:val="20"/>
                <w:szCs w:val="20"/>
                <w:lang w:val="en-US"/>
              </w:rPr>
              <w:t>.</w:t>
            </w:r>
            <w:r w:rsidRPr="00AB7D1E">
              <w:rPr>
                <w:rFonts w:cstheme="minorHAnsi"/>
                <w:b/>
                <w:sz w:val="20"/>
                <w:szCs w:val="20"/>
                <w:lang w:val="en-US"/>
              </w:rPr>
              <w:t>e</w:t>
            </w:r>
            <w:r w:rsidR="00DF4A34" w:rsidRPr="00AB7D1E">
              <w:rPr>
                <w:rFonts w:cstheme="minorHAnsi"/>
                <w:b/>
                <w:sz w:val="20"/>
                <w:szCs w:val="20"/>
                <w:lang w:val="en-US"/>
              </w:rPr>
              <w:t>.</w:t>
            </w:r>
            <w:r w:rsidRPr="00AB7D1E">
              <w:rPr>
                <w:rFonts w:cstheme="minorHAnsi"/>
                <w:b/>
                <w:sz w:val="20"/>
                <w:szCs w:val="20"/>
                <w:lang w:val="en-US"/>
              </w:rPr>
              <w:t xml:space="preserve"> the City of Zagreb or units of local self-government, in case of the need to remedy the consequences caused by a natural disaster or other catastrophe.</w:t>
            </w:r>
          </w:p>
        </w:tc>
      </w:tr>
      <w:tr w:rsidR="00BB06F8" w:rsidRPr="00AB7D1E" w14:paraId="1DFCD653" w14:textId="77777777" w:rsidTr="00B11652">
        <w:tc>
          <w:tcPr>
            <w:tcW w:w="1487" w:type="pct"/>
            <w:shd w:val="clear" w:color="auto" w:fill="auto"/>
          </w:tcPr>
          <w:p w14:paraId="076E9FFC" w14:textId="55C11908"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Regional self-</w:t>
            </w:r>
            <w:r w:rsidR="003A5FF1" w:rsidRPr="00AB7D1E">
              <w:rPr>
                <w:rFonts w:cstheme="minorHAnsi"/>
                <w:sz w:val="20"/>
                <w:szCs w:val="20"/>
                <w:lang w:val="en-US"/>
              </w:rPr>
              <w:t>government</w:t>
            </w:r>
            <w:r w:rsidRPr="00AB7D1E">
              <w:rPr>
                <w:rFonts w:cstheme="minorHAnsi"/>
                <w:sz w:val="20"/>
                <w:szCs w:val="20"/>
                <w:lang w:val="en-US"/>
              </w:rPr>
              <w:t xml:space="preserve"> units</w:t>
            </w:r>
          </w:p>
        </w:tc>
        <w:tc>
          <w:tcPr>
            <w:tcW w:w="3513" w:type="pct"/>
            <w:shd w:val="clear" w:color="auto" w:fill="auto"/>
          </w:tcPr>
          <w:p w14:paraId="39FC4556" w14:textId="2A024D77"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and current maintenance of health care institutions - space, medical and non-medical equipment and means of transport and for informatization of health care activities, in accordance with the plan and program of health care measures and public health service network, as well as cover of losses of health care institutions </w:t>
            </w:r>
            <w:r w:rsidRPr="00AB7D1E">
              <w:rPr>
                <w:rFonts w:cstheme="minorHAnsi"/>
                <w:b/>
                <w:bCs/>
                <w:sz w:val="20"/>
                <w:szCs w:val="20"/>
                <w:lang w:val="en-US"/>
              </w:rPr>
              <w:t>of which it is the founder.</w:t>
            </w:r>
          </w:p>
        </w:tc>
      </w:tr>
      <w:tr w:rsidR="00BB06F8" w:rsidRPr="00AB7D1E" w14:paraId="2F372051" w14:textId="77777777" w:rsidTr="00B11652">
        <w:tc>
          <w:tcPr>
            <w:tcW w:w="1487" w:type="pct"/>
            <w:shd w:val="clear" w:color="auto" w:fill="auto"/>
          </w:tcPr>
          <w:p w14:paraId="07B6FF14" w14:textId="46667B25"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Local self-</w:t>
            </w:r>
            <w:r w:rsidR="003A5FF1" w:rsidRPr="00AB7D1E">
              <w:rPr>
                <w:rFonts w:cstheme="minorHAnsi"/>
                <w:sz w:val="20"/>
                <w:szCs w:val="20"/>
                <w:lang w:val="en-US"/>
              </w:rPr>
              <w:t>government</w:t>
            </w:r>
            <w:r w:rsidRPr="00AB7D1E">
              <w:rPr>
                <w:rFonts w:cstheme="minorHAnsi"/>
                <w:sz w:val="20"/>
                <w:szCs w:val="20"/>
                <w:lang w:val="en-US"/>
              </w:rPr>
              <w:t xml:space="preserve"> units</w:t>
            </w:r>
          </w:p>
        </w:tc>
        <w:tc>
          <w:tcPr>
            <w:tcW w:w="3513" w:type="pct"/>
            <w:shd w:val="clear" w:color="auto" w:fill="auto"/>
          </w:tcPr>
          <w:p w14:paraId="12645C57" w14:textId="78AED740" w:rsidR="00BB06F8" w:rsidRPr="00AB7D1E" w:rsidRDefault="00BB06F8" w:rsidP="00BB06F8">
            <w:pPr>
              <w:spacing w:before="0" w:after="0"/>
              <w:rPr>
                <w:rFonts w:cstheme="minorHAnsi"/>
                <w:sz w:val="20"/>
                <w:szCs w:val="20"/>
                <w:lang w:val="en-US"/>
              </w:rPr>
            </w:pPr>
            <w:r w:rsidRPr="00AB7D1E">
              <w:rPr>
                <w:rFonts w:cstheme="minorHAnsi"/>
                <w:sz w:val="20"/>
                <w:szCs w:val="20"/>
                <w:lang w:val="en-US"/>
              </w:rPr>
              <w:t xml:space="preserve">Investment and current maintenance of health care institutions - space, medical and non-medical equipment and means of transport and for informatization of health care activities, in accordance with the plan and </w:t>
            </w:r>
            <w:r w:rsidRPr="00AB7D1E">
              <w:rPr>
                <w:rFonts w:cstheme="minorHAnsi"/>
                <w:sz w:val="20"/>
                <w:szCs w:val="20"/>
                <w:lang w:val="en-US"/>
              </w:rPr>
              <w:lastRenderedPageBreak/>
              <w:t xml:space="preserve">program of health care measures and public health service network, as well as cover of losses of health care institutions </w:t>
            </w:r>
            <w:r w:rsidRPr="00AB7D1E">
              <w:rPr>
                <w:rFonts w:cstheme="minorHAnsi"/>
                <w:b/>
                <w:bCs/>
                <w:sz w:val="20"/>
                <w:szCs w:val="20"/>
                <w:lang w:val="en-US"/>
              </w:rPr>
              <w:t>of which it is the founder.</w:t>
            </w:r>
          </w:p>
        </w:tc>
      </w:tr>
    </w:tbl>
    <w:p w14:paraId="4E0C637F" w14:textId="0799E91A" w:rsidR="003A5FF1" w:rsidRPr="00AB7D1E" w:rsidRDefault="00656081" w:rsidP="00656081">
      <w:pPr>
        <w:pStyle w:val="Caption"/>
        <w:rPr>
          <w:rFonts w:cstheme="minorHAnsi"/>
          <w:i w:val="0"/>
          <w:iCs w:val="0"/>
          <w:color w:val="auto"/>
          <w:sz w:val="22"/>
          <w:szCs w:val="22"/>
          <w:lang w:val="en-US"/>
        </w:rPr>
      </w:pPr>
      <w:r w:rsidRPr="00AB7D1E">
        <w:rPr>
          <w:rFonts w:cstheme="minorHAnsi"/>
          <w:i w:val="0"/>
          <w:iCs w:val="0"/>
          <w:color w:val="auto"/>
          <w:sz w:val="22"/>
          <w:szCs w:val="22"/>
          <w:lang w:val="en-US"/>
        </w:rPr>
        <w:lastRenderedPageBreak/>
        <w:t xml:space="preserve">There are several types of health care institution (university hospitals, university hospital </w:t>
      </w:r>
      <w:proofErr w:type="spellStart"/>
      <w:r w:rsidRPr="00AB7D1E">
        <w:rPr>
          <w:rFonts w:cstheme="minorHAnsi"/>
          <w:i w:val="0"/>
          <w:iCs w:val="0"/>
          <w:color w:val="auto"/>
          <w:sz w:val="22"/>
          <w:szCs w:val="22"/>
          <w:lang w:val="en-US"/>
        </w:rPr>
        <w:t>centres</w:t>
      </w:r>
      <w:proofErr w:type="spellEnd"/>
      <w:r w:rsidRPr="00AB7D1E">
        <w:rPr>
          <w:rFonts w:cstheme="minorHAnsi"/>
          <w:i w:val="0"/>
          <w:iCs w:val="0"/>
          <w:color w:val="auto"/>
          <w:sz w:val="22"/>
          <w:szCs w:val="22"/>
          <w:lang w:val="en-US"/>
        </w:rPr>
        <w:t xml:space="preserve">, national institutes of health, specialist clinical hospitals) can only be established by the Ministry of Health. Counties can establish general and special hospitals (special hospitals may also be established by cities and other legal persons); primary health </w:t>
      </w:r>
      <w:proofErr w:type="spellStart"/>
      <w:r w:rsidRPr="00AB7D1E">
        <w:rPr>
          <w:rFonts w:cstheme="minorHAnsi"/>
          <w:i w:val="0"/>
          <w:iCs w:val="0"/>
          <w:color w:val="auto"/>
          <w:sz w:val="22"/>
          <w:szCs w:val="22"/>
          <w:lang w:val="en-US"/>
        </w:rPr>
        <w:t>centres</w:t>
      </w:r>
      <w:proofErr w:type="spellEnd"/>
      <w:r w:rsidRPr="00AB7D1E">
        <w:rPr>
          <w:rFonts w:cstheme="minorHAnsi"/>
          <w:i w:val="0"/>
          <w:iCs w:val="0"/>
          <w:color w:val="auto"/>
          <w:sz w:val="22"/>
          <w:szCs w:val="22"/>
          <w:lang w:val="en-US"/>
        </w:rPr>
        <w:t xml:space="preserve"> (there must be at least one primary health </w:t>
      </w:r>
      <w:proofErr w:type="spellStart"/>
      <w:r w:rsidRPr="00AB7D1E">
        <w:rPr>
          <w:rFonts w:cstheme="minorHAnsi"/>
          <w:i w:val="0"/>
          <w:iCs w:val="0"/>
          <w:color w:val="auto"/>
          <w:sz w:val="22"/>
          <w:szCs w:val="22"/>
          <w:lang w:val="en-US"/>
        </w:rPr>
        <w:t>centre</w:t>
      </w:r>
      <w:proofErr w:type="spellEnd"/>
      <w:r w:rsidRPr="00AB7D1E">
        <w:rPr>
          <w:rFonts w:cstheme="minorHAnsi"/>
          <w:i w:val="0"/>
          <w:iCs w:val="0"/>
          <w:color w:val="auto"/>
          <w:sz w:val="22"/>
          <w:szCs w:val="22"/>
          <w:lang w:val="en-US"/>
        </w:rPr>
        <w:t xml:space="preserve"> per county and at least three in the city of Zagreb); County Institutes of Emergency Medicine; County Institutes of Public Health; outpatient clinics; spas; health care facilities providing home care; palliative care institutions; and pharmacies.</w:t>
      </w:r>
      <w:r w:rsidRPr="00AB7D1E">
        <w:rPr>
          <w:rStyle w:val="FootnoteReference"/>
          <w:rFonts w:cstheme="minorHAnsi"/>
          <w:i w:val="0"/>
          <w:iCs w:val="0"/>
          <w:color w:val="auto"/>
          <w:sz w:val="22"/>
          <w:szCs w:val="22"/>
          <w:lang w:val="en-US"/>
        </w:rPr>
        <w:footnoteReference w:id="80"/>
      </w:r>
    </w:p>
    <w:p w14:paraId="3C0884EE" w14:textId="049419AD" w:rsidR="00802AE4" w:rsidRPr="00AB7D1E" w:rsidRDefault="00802AE4" w:rsidP="007D1E1B">
      <w:pPr>
        <w:pStyle w:val="Style1"/>
      </w:pPr>
      <w:bookmarkStart w:id="89" w:name="_Toc56952709"/>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9</w:t>
      </w:r>
      <w:r w:rsidR="00DF4A34" w:rsidRPr="00AB7D1E">
        <w:fldChar w:fldCharType="end"/>
      </w:r>
      <w:r w:rsidRPr="00AB7D1E">
        <w:t xml:space="preserve">. </w:t>
      </w:r>
      <w:r w:rsidRPr="00AB7D1E">
        <w:rPr>
          <w:lang w:eastAsia="hr-HR"/>
        </w:rPr>
        <w:t>Health institutions in Croatia, December 31,2019</w:t>
      </w:r>
      <w:r w:rsidR="00E56196">
        <w:rPr>
          <w:rStyle w:val="FootnoteReference"/>
          <w:lang w:val="en-US" w:eastAsia="hr-HR"/>
        </w:rPr>
        <w:footnoteReference w:id="81"/>
      </w:r>
      <w:bookmarkEnd w:id="89"/>
      <w:r w:rsidR="00C94823" w:rsidRPr="00AB7D1E">
        <w:rPr>
          <w:lang w:eastAsia="hr-H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245"/>
        <w:gridCol w:w="3764"/>
      </w:tblGrid>
      <w:tr w:rsidR="00732CDF" w:rsidRPr="00AB7D1E" w14:paraId="4FA58AA4" w14:textId="21B4DA3C" w:rsidTr="00345198">
        <w:trPr>
          <w:trHeight w:val="20"/>
          <w:tblHeader/>
        </w:trPr>
        <w:tc>
          <w:tcPr>
            <w:tcW w:w="0" w:type="auto"/>
            <w:shd w:val="clear" w:color="auto" w:fill="CEDBE6" w:themeFill="background2"/>
            <w:noWrap/>
            <w:hideMark/>
          </w:tcPr>
          <w:p w14:paraId="2ACA8A6A" w14:textId="77777777" w:rsidR="00732CDF" w:rsidRPr="00AB7D1E" w:rsidRDefault="00732CDF" w:rsidP="0038437A">
            <w:pPr>
              <w:suppressAutoHyphens w:val="0"/>
              <w:autoSpaceDN/>
              <w:spacing w:before="0" w:after="0" w:line="240" w:lineRule="auto"/>
              <w:jc w:val="center"/>
              <w:textAlignment w:val="auto"/>
              <w:rPr>
                <w:rFonts w:eastAsia="Times New Roman" w:cstheme="minorHAnsi"/>
                <w:b/>
                <w:bCs/>
                <w:color w:val="000000"/>
                <w:sz w:val="20"/>
                <w:szCs w:val="20"/>
                <w:lang w:val="en-US" w:eastAsia="hr-HR"/>
              </w:rPr>
            </w:pPr>
            <w:r w:rsidRPr="00AB7D1E">
              <w:rPr>
                <w:rFonts w:eastAsia="Times New Roman" w:cstheme="minorHAnsi"/>
                <w:b/>
                <w:bCs/>
                <w:color w:val="000000"/>
                <w:sz w:val="20"/>
                <w:szCs w:val="20"/>
                <w:lang w:val="en-US" w:eastAsia="hr-HR"/>
              </w:rPr>
              <w:t>Health institutions</w:t>
            </w:r>
          </w:p>
        </w:tc>
        <w:tc>
          <w:tcPr>
            <w:tcW w:w="0" w:type="auto"/>
            <w:shd w:val="clear" w:color="auto" w:fill="CEDBE6" w:themeFill="background2"/>
            <w:noWrap/>
            <w:hideMark/>
          </w:tcPr>
          <w:p w14:paraId="372CE04C" w14:textId="20467177" w:rsidR="00732CDF" w:rsidRPr="00AB7D1E" w:rsidRDefault="00732CDF" w:rsidP="0038437A">
            <w:pPr>
              <w:suppressAutoHyphens w:val="0"/>
              <w:autoSpaceDN/>
              <w:spacing w:before="0" w:after="0" w:line="240" w:lineRule="auto"/>
              <w:jc w:val="center"/>
              <w:textAlignment w:val="auto"/>
              <w:rPr>
                <w:rFonts w:eastAsia="Times New Roman" w:cstheme="minorHAnsi"/>
                <w:b/>
                <w:bCs/>
                <w:color w:val="000000"/>
                <w:sz w:val="20"/>
                <w:szCs w:val="20"/>
                <w:lang w:val="en-US" w:eastAsia="hr-HR"/>
              </w:rPr>
            </w:pPr>
            <w:r w:rsidRPr="00AB7D1E">
              <w:rPr>
                <w:rFonts w:eastAsia="Times New Roman" w:cstheme="minorHAnsi"/>
                <w:b/>
                <w:bCs/>
                <w:color w:val="000000"/>
                <w:sz w:val="20"/>
                <w:szCs w:val="20"/>
                <w:lang w:val="en-US" w:eastAsia="hr-HR"/>
              </w:rPr>
              <w:t>N</w:t>
            </w:r>
            <w:r w:rsidR="004F75A4" w:rsidRPr="00AB7D1E">
              <w:rPr>
                <w:rFonts w:eastAsia="Times New Roman" w:cstheme="minorHAnsi"/>
                <w:b/>
                <w:bCs/>
                <w:color w:val="000000"/>
                <w:sz w:val="20"/>
                <w:szCs w:val="20"/>
                <w:lang w:val="en-US" w:eastAsia="hr-HR"/>
              </w:rPr>
              <w:t>umber</w:t>
            </w:r>
            <w:r w:rsidRPr="00AB7D1E">
              <w:rPr>
                <w:rFonts w:eastAsia="Times New Roman" w:cstheme="minorHAnsi"/>
                <w:b/>
                <w:bCs/>
                <w:color w:val="000000"/>
                <w:sz w:val="20"/>
                <w:szCs w:val="20"/>
                <w:lang w:val="en-US" w:eastAsia="hr-HR"/>
              </w:rPr>
              <w:t xml:space="preserve"> of institutions</w:t>
            </w:r>
            <w:r w:rsidR="00750169" w:rsidRPr="00AB7D1E">
              <w:rPr>
                <w:rStyle w:val="FootnoteReference"/>
                <w:rFonts w:eastAsia="Times New Roman" w:cstheme="minorHAnsi"/>
                <w:b/>
                <w:bCs/>
                <w:lang w:val="en-US" w:eastAsia="hr-HR"/>
              </w:rPr>
              <w:footnoteReference w:id="82"/>
            </w:r>
          </w:p>
        </w:tc>
        <w:tc>
          <w:tcPr>
            <w:tcW w:w="0" w:type="auto"/>
            <w:shd w:val="clear" w:color="auto" w:fill="CEDBE6" w:themeFill="background2"/>
          </w:tcPr>
          <w:p w14:paraId="3224F256" w14:textId="4F4ADC89" w:rsidR="00732CDF" w:rsidRPr="00AB7D1E" w:rsidRDefault="00DD161C" w:rsidP="0038437A">
            <w:pPr>
              <w:suppressAutoHyphens w:val="0"/>
              <w:autoSpaceDN/>
              <w:spacing w:before="0" w:after="0" w:line="240" w:lineRule="auto"/>
              <w:jc w:val="center"/>
              <w:textAlignment w:val="auto"/>
              <w:rPr>
                <w:rFonts w:eastAsia="Times New Roman" w:cstheme="minorHAnsi"/>
                <w:b/>
                <w:bCs/>
                <w:color w:val="000000"/>
                <w:sz w:val="20"/>
                <w:szCs w:val="20"/>
                <w:lang w:val="en-US" w:eastAsia="hr-HR"/>
              </w:rPr>
            </w:pPr>
            <w:r w:rsidRPr="00AB7D1E">
              <w:rPr>
                <w:rFonts w:eastAsia="Times New Roman" w:cstheme="minorHAnsi"/>
                <w:b/>
                <w:bCs/>
                <w:color w:val="000000"/>
                <w:sz w:val="20"/>
                <w:szCs w:val="20"/>
                <w:lang w:val="en-US" w:eastAsia="hr-HR"/>
              </w:rPr>
              <w:t>Founder</w:t>
            </w:r>
            <w:r w:rsidR="00750169" w:rsidRPr="00AB7D1E">
              <w:rPr>
                <w:rStyle w:val="FootnoteReference"/>
                <w:rFonts w:eastAsia="Times New Roman" w:cstheme="minorHAnsi"/>
                <w:b/>
                <w:bCs/>
                <w:color w:val="000000"/>
                <w:sz w:val="20"/>
                <w:szCs w:val="20"/>
                <w:lang w:val="en-US" w:eastAsia="hr-HR"/>
              </w:rPr>
              <w:footnoteReference w:id="83"/>
            </w:r>
          </w:p>
        </w:tc>
      </w:tr>
      <w:tr w:rsidR="00732CDF" w:rsidRPr="00AB7D1E" w14:paraId="465371C8" w14:textId="4E718C1B" w:rsidTr="00345198">
        <w:trPr>
          <w:trHeight w:val="20"/>
        </w:trPr>
        <w:tc>
          <w:tcPr>
            <w:tcW w:w="0" w:type="auto"/>
            <w:shd w:val="clear" w:color="auto" w:fill="auto"/>
            <w:noWrap/>
            <w:vAlign w:val="bottom"/>
            <w:hideMark/>
          </w:tcPr>
          <w:p w14:paraId="790FF4F7" w14:textId="4ECF1747"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Health center</w:t>
            </w:r>
          </w:p>
        </w:tc>
        <w:tc>
          <w:tcPr>
            <w:tcW w:w="0" w:type="auto"/>
            <w:shd w:val="clear" w:color="auto" w:fill="auto"/>
            <w:noWrap/>
            <w:vAlign w:val="bottom"/>
            <w:hideMark/>
          </w:tcPr>
          <w:p w14:paraId="743592F3"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49</w:t>
            </w:r>
          </w:p>
        </w:tc>
        <w:tc>
          <w:tcPr>
            <w:tcW w:w="0" w:type="auto"/>
          </w:tcPr>
          <w:p w14:paraId="7518D0DB" w14:textId="0524D246"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w:t>
            </w:r>
            <w:r w:rsidRPr="00AB7D1E">
              <w:rPr>
                <w:rFonts w:eastAsia="Times New Roman" w:cstheme="minorHAnsi"/>
                <w:color w:val="000000"/>
                <w:sz w:val="20"/>
                <w:szCs w:val="20"/>
                <w:lang w:val="en-US" w:eastAsia="hr-HR"/>
              </w:rPr>
              <w:t xml:space="preserve"> and City of Zagreb</w:t>
            </w:r>
          </w:p>
        </w:tc>
      </w:tr>
      <w:tr w:rsidR="00732CDF" w:rsidRPr="00AB7D1E" w14:paraId="25BABC98" w14:textId="541154B9" w:rsidTr="00345198">
        <w:trPr>
          <w:trHeight w:val="20"/>
        </w:trPr>
        <w:tc>
          <w:tcPr>
            <w:tcW w:w="0" w:type="auto"/>
            <w:shd w:val="clear" w:color="auto" w:fill="auto"/>
            <w:noWrap/>
            <w:vAlign w:val="bottom"/>
            <w:hideMark/>
          </w:tcPr>
          <w:p w14:paraId="0A40E917" w14:textId="334FFBE7"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Clinical teaching hospital</w:t>
            </w:r>
          </w:p>
        </w:tc>
        <w:tc>
          <w:tcPr>
            <w:tcW w:w="0" w:type="auto"/>
            <w:shd w:val="clear" w:color="auto" w:fill="auto"/>
            <w:noWrap/>
            <w:vAlign w:val="bottom"/>
            <w:hideMark/>
          </w:tcPr>
          <w:p w14:paraId="773ACC40"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5</w:t>
            </w:r>
          </w:p>
        </w:tc>
        <w:tc>
          <w:tcPr>
            <w:tcW w:w="0" w:type="auto"/>
          </w:tcPr>
          <w:p w14:paraId="37EC1E17" w14:textId="745B9F2A"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State</w:t>
            </w:r>
          </w:p>
        </w:tc>
      </w:tr>
      <w:tr w:rsidR="00732CDF" w:rsidRPr="00AB7D1E" w14:paraId="4845FF7E" w14:textId="784B2CDF" w:rsidTr="00345198">
        <w:trPr>
          <w:trHeight w:val="20"/>
        </w:trPr>
        <w:tc>
          <w:tcPr>
            <w:tcW w:w="0" w:type="auto"/>
            <w:shd w:val="clear" w:color="auto" w:fill="auto"/>
            <w:noWrap/>
            <w:vAlign w:val="bottom"/>
            <w:hideMark/>
          </w:tcPr>
          <w:p w14:paraId="07E1EB1D" w14:textId="7961BA0D"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Clinical hospital</w:t>
            </w:r>
          </w:p>
        </w:tc>
        <w:tc>
          <w:tcPr>
            <w:tcW w:w="0" w:type="auto"/>
            <w:shd w:val="clear" w:color="auto" w:fill="auto"/>
            <w:noWrap/>
            <w:vAlign w:val="bottom"/>
            <w:hideMark/>
          </w:tcPr>
          <w:p w14:paraId="01056D7D"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3</w:t>
            </w:r>
          </w:p>
        </w:tc>
        <w:tc>
          <w:tcPr>
            <w:tcW w:w="0" w:type="auto"/>
          </w:tcPr>
          <w:p w14:paraId="77056304" w14:textId="433536EF"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State</w:t>
            </w:r>
          </w:p>
        </w:tc>
      </w:tr>
      <w:tr w:rsidR="00732CDF" w:rsidRPr="00AB7D1E" w14:paraId="2A22708A" w14:textId="24B481F9" w:rsidTr="00345198">
        <w:trPr>
          <w:trHeight w:val="20"/>
        </w:trPr>
        <w:tc>
          <w:tcPr>
            <w:tcW w:w="0" w:type="auto"/>
            <w:shd w:val="clear" w:color="auto" w:fill="auto"/>
            <w:noWrap/>
            <w:vAlign w:val="bottom"/>
            <w:hideMark/>
          </w:tcPr>
          <w:p w14:paraId="40676F9F" w14:textId="665A0F37"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Clinic</w:t>
            </w:r>
          </w:p>
        </w:tc>
        <w:tc>
          <w:tcPr>
            <w:tcW w:w="0" w:type="auto"/>
            <w:shd w:val="clear" w:color="auto" w:fill="auto"/>
            <w:noWrap/>
            <w:vAlign w:val="bottom"/>
            <w:hideMark/>
          </w:tcPr>
          <w:p w14:paraId="5B320CD0"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5</w:t>
            </w:r>
          </w:p>
        </w:tc>
        <w:tc>
          <w:tcPr>
            <w:tcW w:w="0" w:type="auto"/>
          </w:tcPr>
          <w:p w14:paraId="3BEAE820" w14:textId="39FF68E2"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State</w:t>
            </w:r>
          </w:p>
        </w:tc>
      </w:tr>
      <w:tr w:rsidR="00732CDF" w:rsidRPr="00AB7D1E" w14:paraId="3B0DE392" w14:textId="3DD7F615" w:rsidTr="00345198">
        <w:trPr>
          <w:trHeight w:val="20"/>
        </w:trPr>
        <w:tc>
          <w:tcPr>
            <w:tcW w:w="0" w:type="auto"/>
            <w:shd w:val="clear" w:color="auto" w:fill="auto"/>
            <w:noWrap/>
            <w:vAlign w:val="bottom"/>
            <w:hideMark/>
          </w:tcPr>
          <w:p w14:paraId="064423F8" w14:textId="5559C6C5"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General hospital</w:t>
            </w:r>
          </w:p>
        </w:tc>
        <w:tc>
          <w:tcPr>
            <w:tcW w:w="0" w:type="auto"/>
            <w:shd w:val="clear" w:color="auto" w:fill="auto"/>
            <w:noWrap/>
            <w:vAlign w:val="bottom"/>
            <w:hideMark/>
          </w:tcPr>
          <w:p w14:paraId="7F249FA8"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22</w:t>
            </w:r>
          </w:p>
        </w:tc>
        <w:tc>
          <w:tcPr>
            <w:tcW w:w="0" w:type="auto"/>
          </w:tcPr>
          <w:p w14:paraId="21085108" w14:textId="70A3823F"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w:t>
            </w:r>
            <w:r w:rsidRPr="00AB7D1E">
              <w:rPr>
                <w:rFonts w:eastAsia="Times New Roman" w:cstheme="minorHAnsi"/>
                <w:color w:val="000000"/>
                <w:sz w:val="20"/>
                <w:szCs w:val="20"/>
                <w:lang w:val="en-US" w:eastAsia="hr-HR"/>
              </w:rPr>
              <w:t xml:space="preserve"> and City of Zagreb</w:t>
            </w:r>
          </w:p>
        </w:tc>
      </w:tr>
      <w:tr w:rsidR="00732CDF" w:rsidRPr="00AB7D1E" w14:paraId="61C1AE49" w14:textId="57196BBC" w:rsidTr="00345198">
        <w:trPr>
          <w:trHeight w:val="20"/>
        </w:trPr>
        <w:tc>
          <w:tcPr>
            <w:tcW w:w="0" w:type="auto"/>
            <w:shd w:val="clear" w:color="auto" w:fill="auto"/>
            <w:noWrap/>
            <w:vAlign w:val="bottom"/>
            <w:hideMark/>
          </w:tcPr>
          <w:p w14:paraId="1EE0357A" w14:textId="47F4C198"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Special hospital</w:t>
            </w:r>
          </w:p>
        </w:tc>
        <w:tc>
          <w:tcPr>
            <w:tcW w:w="0" w:type="auto"/>
            <w:shd w:val="clear" w:color="auto" w:fill="auto"/>
            <w:noWrap/>
            <w:vAlign w:val="bottom"/>
            <w:hideMark/>
          </w:tcPr>
          <w:p w14:paraId="1A705035"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34</w:t>
            </w:r>
          </w:p>
        </w:tc>
        <w:tc>
          <w:tcPr>
            <w:tcW w:w="0" w:type="auto"/>
          </w:tcPr>
          <w:p w14:paraId="0546DE3F" w14:textId="4BC89B47"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Regional self-government </w:t>
            </w:r>
            <w:r w:rsidR="00393852"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 xml:space="preserve">and City of Zagreb, local self-government </w:t>
            </w:r>
            <w:r w:rsidR="002F1E25"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and another legal entity and a natural person</w:t>
            </w:r>
          </w:p>
        </w:tc>
      </w:tr>
      <w:tr w:rsidR="00732CDF" w:rsidRPr="00AB7D1E" w14:paraId="32A5E9D1" w14:textId="0AC8CD4A" w:rsidTr="00345198">
        <w:trPr>
          <w:trHeight w:val="20"/>
        </w:trPr>
        <w:tc>
          <w:tcPr>
            <w:tcW w:w="0" w:type="auto"/>
            <w:shd w:val="clear" w:color="auto" w:fill="auto"/>
            <w:noWrap/>
            <w:vAlign w:val="bottom"/>
            <w:hideMark/>
          </w:tcPr>
          <w:p w14:paraId="5E4806BA" w14:textId="3788648E"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Health resort</w:t>
            </w:r>
          </w:p>
        </w:tc>
        <w:tc>
          <w:tcPr>
            <w:tcW w:w="0" w:type="auto"/>
            <w:shd w:val="clear" w:color="auto" w:fill="auto"/>
            <w:noWrap/>
            <w:vAlign w:val="bottom"/>
            <w:hideMark/>
          </w:tcPr>
          <w:p w14:paraId="0C36F01B"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7</w:t>
            </w:r>
          </w:p>
        </w:tc>
        <w:tc>
          <w:tcPr>
            <w:tcW w:w="0" w:type="auto"/>
          </w:tcPr>
          <w:p w14:paraId="54783E6A" w14:textId="69F9DE50"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w:t>
            </w:r>
            <w:r w:rsidRPr="00AB7D1E">
              <w:rPr>
                <w:rFonts w:eastAsia="Times New Roman" w:cstheme="minorHAnsi"/>
                <w:color w:val="000000"/>
                <w:sz w:val="20"/>
                <w:szCs w:val="20"/>
                <w:lang w:val="en-US" w:eastAsia="hr-HR"/>
              </w:rPr>
              <w:t xml:space="preserve"> and City of Zagreb and another legal entity and a natural person</w:t>
            </w:r>
          </w:p>
        </w:tc>
      </w:tr>
      <w:tr w:rsidR="00732CDF" w:rsidRPr="00AB7D1E" w14:paraId="2AC4113A" w14:textId="23FF3AA2" w:rsidTr="00345198">
        <w:trPr>
          <w:trHeight w:val="20"/>
        </w:trPr>
        <w:tc>
          <w:tcPr>
            <w:tcW w:w="0" w:type="auto"/>
            <w:shd w:val="clear" w:color="auto" w:fill="auto"/>
            <w:noWrap/>
            <w:vAlign w:val="bottom"/>
            <w:hideMark/>
          </w:tcPr>
          <w:p w14:paraId="2207BEA2" w14:textId="55103870"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Public health institute</w:t>
            </w:r>
          </w:p>
        </w:tc>
        <w:tc>
          <w:tcPr>
            <w:tcW w:w="0" w:type="auto"/>
            <w:shd w:val="clear" w:color="auto" w:fill="auto"/>
            <w:noWrap/>
            <w:vAlign w:val="bottom"/>
            <w:hideMark/>
          </w:tcPr>
          <w:p w14:paraId="1E29202D"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22</w:t>
            </w:r>
          </w:p>
        </w:tc>
        <w:tc>
          <w:tcPr>
            <w:tcW w:w="0" w:type="auto"/>
          </w:tcPr>
          <w:p w14:paraId="11790F54" w14:textId="1633BFF6"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units</w:t>
            </w:r>
            <w:r w:rsidRPr="00AB7D1E">
              <w:rPr>
                <w:rFonts w:eastAsia="Times New Roman" w:cstheme="minorHAnsi"/>
                <w:color w:val="000000"/>
                <w:sz w:val="20"/>
                <w:szCs w:val="20"/>
                <w:lang w:val="en-US" w:eastAsia="hr-HR"/>
              </w:rPr>
              <w:t xml:space="preserve"> and City of Zagreb </w:t>
            </w:r>
          </w:p>
        </w:tc>
      </w:tr>
      <w:tr w:rsidR="00732CDF" w:rsidRPr="00AB7D1E" w14:paraId="5474EB19" w14:textId="6C4DBF03" w:rsidTr="00345198">
        <w:trPr>
          <w:trHeight w:val="20"/>
        </w:trPr>
        <w:tc>
          <w:tcPr>
            <w:tcW w:w="0" w:type="auto"/>
            <w:shd w:val="clear" w:color="auto" w:fill="auto"/>
            <w:noWrap/>
            <w:vAlign w:val="bottom"/>
            <w:hideMark/>
          </w:tcPr>
          <w:p w14:paraId="3ED59E5C" w14:textId="55B18329" w:rsidR="00732CDF" w:rsidRPr="00AB7D1E" w:rsidRDefault="00732CDF" w:rsidP="00732CDF">
            <w:pPr>
              <w:suppressAutoHyphens w:val="0"/>
              <w:autoSpaceDN/>
              <w:spacing w:before="0" w:after="0" w:line="240" w:lineRule="auto"/>
              <w:textAlignment w:val="auto"/>
              <w:rPr>
                <w:rFonts w:eastAsia="Times New Roman" w:cstheme="minorHAnsi"/>
                <w:i/>
                <w:iCs/>
                <w:color w:val="000000"/>
                <w:sz w:val="20"/>
                <w:szCs w:val="20"/>
                <w:lang w:val="en-US" w:eastAsia="hr-HR"/>
              </w:rPr>
            </w:pPr>
            <w:r w:rsidRPr="00AB7D1E">
              <w:rPr>
                <w:rFonts w:eastAsia="Times New Roman" w:cstheme="minorHAnsi"/>
                <w:i/>
                <w:iCs/>
                <w:color w:val="000000"/>
                <w:sz w:val="20"/>
                <w:szCs w:val="20"/>
                <w:lang w:val="en-US" w:eastAsia="hr-HR"/>
              </w:rPr>
              <w:t>Other state institutes:</w:t>
            </w:r>
          </w:p>
        </w:tc>
        <w:tc>
          <w:tcPr>
            <w:tcW w:w="0" w:type="auto"/>
            <w:shd w:val="clear" w:color="auto" w:fill="auto"/>
            <w:noWrap/>
            <w:vAlign w:val="bottom"/>
            <w:hideMark/>
          </w:tcPr>
          <w:p w14:paraId="2429036B" w14:textId="77777777" w:rsidR="00732CDF" w:rsidRPr="00AB7D1E" w:rsidRDefault="00732CDF" w:rsidP="00732CDF">
            <w:pPr>
              <w:suppressAutoHyphens w:val="0"/>
              <w:autoSpaceDN/>
              <w:spacing w:before="0" w:after="0" w:line="240" w:lineRule="auto"/>
              <w:textAlignment w:val="auto"/>
              <w:rPr>
                <w:rFonts w:eastAsia="Times New Roman" w:cstheme="minorHAnsi"/>
                <w:color w:val="000000"/>
                <w:sz w:val="20"/>
                <w:szCs w:val="20"/>
                <w:lang w:val="en-US" w:eastAsia="hr-HR"/>
              </w:rPr>
            </w:pPr>
          </w:p>
        </w:tc>
        <w:tc>
          <w:tcPr>
            <w:tcW w:w="0" w:type="auto"/>
          </w:tcPr>
          <w:p w14:paraId="7DA5CA73" w14:textId="77777777" w:rsidR="00732CDF" w:rsidRPr="00AB7D1E" w:rsidRDefault="00732CDF"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p>
        </w:tc>
      </w:tr>
      <w:tr w:rsidR="00732CDF" w:rsidRPr="00AB7D1E" w14:paraId="356D349E" w14:textId="5C54A16D" w:rsidTr="00345198">
        <w:trPr>
          <w:trHeight w:val="20"/>
        </w:trPr>
        <w:tc>
          <w:tcPr>
            <w:tcW w:w="0" w:type="auto"/>
            <w:shd w:val="clear" w:color="auto" w:fill="auto"/>
            <w:noWrap/>
            <w:vAlign w:val="bottom"/>
            <w:hideMark/>
          </w:tcPr>
          <w:p w14:paraId="246C0602" w14:textId="61E8310B" w:rsidR="00732CDF" w:rsidRPr="00AB7D1E" w:rsidRDefault="00732CDF" w:rsidP="00732CDF">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Institute of </w:t>
            </w:r>
            <w:proofErr w:type="spellStart"/>
            <w:r w:rsidRPr="00AB7D1E">
              <w:rPr>
                <w:rFonts w:eastAsia="Times New Roman" w:cstheme="minorHAnsi"/>
                <w:color w:val="000000"/>
                <w:sz w:val="20"/>
                <w:szCs w:val="20"/>
                <w:lang w:val="en-US" w:eastAsia="hr-HR"/>
              </w:rPr>
              <w:t>transfusional</w:t>
            </w:r>
            <w:proofErr w:type="spellEnd"/>
            <w:r w:rsidRPr="00AB7D1E">
              <w:rPr>
                <w:rFonts w:eastAsia="Times New Roman" w:cstheme="minorHAnsi"/>
                <w:color w:val="000000"/>
                <w:sz w:val="20"/>
                <w:szCs w:val="20"/>
                <w:lang w:val="en-US" w:eastAsia="hr-HR"/>
              </w:rPr>
              <w:t xml:space="preserve"> medicine</w:t>
            </w:r>
          </w:p>
        </w:tc>
        <w:tc>
          <w:tcPr>
            <w:tcW w:w="0" w:type="auto"/>
            <w:shd w:val="clear" w:color="auto" w:fill="auto"/>
            <w:noWrap/>
            <w:vAlign w:val="bottom"/>
            <w:hideMark/>
          </w:tcPr>
          <w:p w14:paraId="5F2F5217"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1</w:t>
            </w:r>
          </w:p>
        </w:tc>
        <w:tc>
          <w:tcPr>
            <w:tcW w:w="0" w:type="auto"/>
          </w:tcPr>
          <w:p w14:paraId="35C1B1FB" w14:textId="45831880" w:rsidR="00732CDF"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State </w:t>
            </w:r>
          </w:p>
        </w:tc>
      </w:tr>
      <w:tr w:rsidR="00732CDF" w:rsidRPr="00AB7D1E" w14:paraId="78E2ECE6" w14:textId="62D5CCCA" w:rsidTr="00345198">
        <w:trPr>
          <w:trHeight w:val="20"/>
        </w:trPr>
        <w:tc>
          <w:tcPr>
            <w:tcW w:w="0" w:type="auto"/>
            <w:shd w:val="clear" w:color="auto" w:fill="auto"/>
            <w:noWrap/>
            <w:vAlign w:val="bottom"/>
            <w:hideMark/>
          </w:tcPr>
          <w:p w14:paraId="39885955" w14:textId="6CAC5F6C" w:rsidR="00732CDF" w:rsidRPr="00AB7D1E" w:rsidRDefault="00732CDF" w:rsidP="00732CDF">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Institute of emergency medicine</w:t>
            </w:r>
          </w:p>
        </w:tc>
        <w:tc>
          <w:tcPr>
            <w:tcW w:w="0" w:type="auto"/>
            <w:shd w:val="clear" w:color="auto" w:fill="auto"/>
            <w:noWrap/>
            <w:vAlign w:val="bottom"/>
            <w:hideMark/>
          </w:tcPr>
          <w:p w14:paraId="3ED7D3BE" w14:textId="77777777" w:rsidR="00732CDF" w:rsidRPr="00AB7D1E" w:rsidRDefault="00732CDF" w:rsidP="00732CDF">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1</w:t>
            </w:r>
          </w:p>
        </w:tc>
        <w:tc>
          <w:tcPr>
            <w:tcW w:w="0" w:type="auto"/>
          </w:tcPr>
          <w:p w14:paraId="3F1E3CB9" w14:textId="410BC7E7" w:rsidR="00732CDF"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State</w:t>
            </w:r>
          </w:p>
        </w:tc>
      </w:tr>
      <w:tr w:rsidR="00BF1507" w:rsidRPr="00AB7D1E" w14:paraId="186871B6" w14:textId="060C48CC" w:rsidTr="00345198">
        <w:trPr>
          <w:trHeight w:val="20"/>
        </w:trPr>
        <w:tc>
          <w:tcPr>
            <w:tcW w:w="0" w:type="auto"/>
            <w:shd w:val="clear" w:color="auto" w:fill="auto"/>
            <w:noWrap/>
            <w:vAlign w:val="bottom"/>
            <w:hideMark/>
          </w:tcPr>
          <w:p w14:paraId="34A71B55" w14:textId="279B4D47"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Emergency care station</w:t>
            </w:r>
          </w:p>
        </w:tc>
        <w:tc>
          <w:tcPr>
            <w:tcW w:w="0" w:type="auto"/>
            <w:shd w:val="clear" w:color="auto" w:fill="auto"/>
            <w:noWrap/>
            <w:vAlign w:val="bottom"/>
            <w:hideMark/>
          </w:tcPr>
          <w:p w14:paraId="09D05563"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21</w:t>
            </w:r>
          </w:p>
        </w:tc>
        <w:tc>
          <w:tcPr>
            <w:tcW w:w="0" w:type="auto"/>
          </w:tcPr>
          <w:p w14:paraId="20516771" w14:textId="31D29601" w:rsidR="00BF1507"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Regional self-government</w:t>
            </w:r>
            <w:r w:rsidR="00393852" w:rsidRPr="00AB7D1E">
              <w:rPr>
                <w:rFonts w:eastAsia="Times New Roman" w:cstheme="minorHAnsi"/>
                <w:color w:val="000000"/>
                <w:sz w:val="20"/>
                <w:szCs w:val="20"/>
                <w:lang w:val="en-US" w:eastAsia="hr-HR"/>
              </w:rPr>
              <w:t xml:space="preserve"> unit</w:t>
            </w:r>
            <w:r w:rsidRPr="00AB7D1E">
              <w:rPr>
                <w:rFonts w:eastAsia="Times New Roman" w:cstheme="minorHAnsi"/>
                <w:color w:val="000000"/>
                <w:sz w:val="20"/>
                <w:szCs w:val="20"/>
                <w:lang w:val="en-US" w:eastAsia="hr-HR"/>
              </w:rPr>
              <w:t xml:space="preserve"> and City of Zagreb</w:t>
            </w:r>
          </w:p>
        </w:tc>
      </w:tr>
      <w:tr w:rsidR="00BF1507" w:rsidRPr="00AB7D1E" w14:paraId="2A6CFBA1" w14:textId="6DFA2FC4" w:rsidTr="00345198">
        <w:trPr>
          <w:trHeight w:val="20"/>
        </w:trPr>
        <w:tc>
          <w:tcPr>
            <w:tcW w:w="0" w:type="auto"/>
            <w:shd w:val="clear" w:color="auto" w:fill="auto"/>
            <w:noWrap/>
            <w:vAlign w:val="bottom"/>
            <w:hideMark/>
          </w:tcPr>
          <w:p w14:paraId="79DF162D" w14:textId="3E1864D0"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Polyclinic</w:t>
            </w:r>
          </w:p>
        </w:tc>
        <w:tc>
          <w:tcPr>
            <w:tcW w:w="0" w:type="auto"/>
            <w:shd w:val="clear" w:color="auto" w:fill="auto"/>
            <w:noWrap/>
            <w:vAlign w:val="bottom"/>
            <w:hideMark/>
          </w:tcPr>
          <w:p w14:paraId="7E62ABFD"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358</w:t>
            </w:r>
          </w:p>
        </w:tc>
        <w:tc>
          <w:tcPr>
            <w:tcW w:w="0" w:type="auto"/>
          </w:tcPr>
          <w:p w14:paraId="32076A9D" w14:textId="76D17043" w:rsidR="00BF1507"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Regional self-government </w:t>
            </w:r>
            <w:r w:rsidR="00393852"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and City of Zagreb and another legal entity and a natural person</w:t>
            </w:r>
          </w:p>
        </w:tc>
      </w:tr>
      <w:tr w:rsidR="00BF1507" w:rsidRPr="00AB7D1E" w14:paraId="54F2168F" w14:textId="6191DEFA" w:rsidTr="00345198">
        <w:trPr>
          <w:trHeight w:val="20"/>
        </w:trPr>
        <w:tc>
          <w:tcPr>
            <w:tcW w:w="0" w:type="auto"/>
            <w:shd w:val="clear" w:color="auto" w:fill="auto"/>
            <w:noWrap/>
            <w:vAlign w:val="bottom"/>
            <w:hideMark/>
          </w:tcPr>
          <w:p w14:paraId="31FE0690" w14:textId="19E0E079"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Institution of occupational health </w:t>
            </w:r>
          </w:p>
        </w:tc>
        <w:tc>
          <w:tcPr>
            <w:tcW w:w="0" w:type="auto"/>
            <w:shd w:val="clear" w:color="auto" w:fill="auto"/>
            <w:noWrap/>
            <w:vAlign w:val="bottom"/>
            <w:hideMark/>
          </w:tcPr>
          <w:p w14:paraId="794E8931"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6</w:t>
            </w:r>
          </w:p>
        </w:tc>
        <w:tc>
          <w:tcPr>
            <w:tcW w:w="0" w:type="auto"/>
          </w:tcPr>
          <w:p w14:paraId="342403C6" w14:textId="4D5407A0" w:rsidR="00BF1507"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Persons with a completed university graduate study in health.</w:t>
            </w:r>
          </w:p>
        </w:tc>
      </w:tr>
      <w:tr w:rsidR="00BF1507" w:rsidRPr="00AB7D1E" w14:paraId="6C070D12" w14:textId="64B18C6F" w:rsidTr="00345198">
        <w:trPr>
          <w:trHeight w:val="20"/>
        </w:trPr>
        <w:tc>
          <w:tcPr>
            <w:tcW w:w="0" w:type="auto"/>
            <w:shd w:val="clear" w:color="auto" w:fill="auto"/>
            <w:noWrap/>
            <w:vAlign w:val="bottom"/>
            <w:hideMark/>
          </w:tcPr>
          <w:p w14:paraId="66584C3B" w14:textId="339910A3"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Pharmacy</w:t>
            </w:r>
          </w:p>
        </w:tc>
        <w:tc>
          <w:tcPr>
            <w:tcW w:w="0" w:type="auto"/>
            <w:shd w:val="clear" w:color="auto" w:fill="auto"/>
            <w:noWrap/>
            <w:vAlign w:val="bottom"/>
            <w:hideMark/>
          </w:tcPr>
          <w:p w14:paraId="64715CEE"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186</w:t>
            </w:r>
          </w:p>
        </w:tc>
        <w:tc>
          <w:tcPr>
            <w:tcW w:w="0" w:type="auto"/>
          </w:tcPr>
          <w:p w14:paraId="0A655F6F" w14:textId="5BCCBA9E" w:rsidR="00BF1507" w:rsidRPr="00AB7D1E" w:rsidRDefault="00BF1507" w:rsidP="0038437A">
            <w:pPr>
              <w:tabs>
                <w:tab w:val="left" w:pos="503"/>
              </w:tabs>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Regional self-government </w:t>
            </w:r>
            <w:r w:rsidR="00393852"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and City of Zagreb and another legal entity and a natural person</w:t>
            </w:r>
          </w:p>
        </w:tc>
      </w:tr>
      <w:tr w:rsidR="00BF1507" w:rsidRPr="00AB7D1E" w14:paraId="7C0122B4" w14:textId="6E0AE862" w:rsidTr="00345198">
        <w:trPr>
          <w:trHeight w:val="20"/>
        </w:trPr>
        <w:tc>
          <w:tcPr>
            <w:tcW w:w="0" w:type="auto"/>
            <w:shd w:val="clear" w:color="auto" w:fill="auto"/>
            <w:noWrap/>
            <w:vAlign w:val="bottom"/>
            <w:hideMark/>
          </w:tcPr>
          <w:p w14:paraId="658D59FB" w14:textId="671B9B32"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Nursing care institution</w:t>
            </w:r>
          </w:p>
        </w:tc>
        <w:tc>
          <w:tcPr>
            <w:tcW w:w="0" w:type="auto"/>
            <w:shd w:val="clear" w:color="auto" w:fill="auto"/>
            <w:noWrap/>
            <w:vAlign w:val="bottom"/>
            <w:hideMark/>
          </w:tcPr>
          <w:p w14:paraId="7AC1E87E"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280</w:t>
            </w:r>
          </w:p>
        </w:tc>
        <w:tc>
          <w:tcPr>
            <w:tcW w:w="0" w:type="auto"/>
          </w:tcPr>
          <w:p w14:paraId="3381E73F" w14:textId="5820180A" w:rsidR="00BF1507" w:rsidRPr="00AB7D1E" w:rsidRDefault="00BF1507" w:rsidP="0038437A">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 xml:space="preserve">Regional self-government </w:t>
            </w:r>
            <w:r w:rsidR="00393852" w:rsidRPr="00AB7D1E">
              <w:rPr>
                <w:rFonts w:eastAsia="Times New Roman" w:cstheme="minorHAnsi"/>
                <w:color w:val="000000"/>
                <w:sz w:val="20"/>
                <w:szCs w:val="20"/>
                <w:lang w:val="en-US" w:eastAsia="hr-HR"/>
              </w:rPr>
              <w:t xml:space="preserve">unit </w:t>
            </w:r>
            <w:r w:rsidRPr="00AB7D1E">
              <w:rPr>
                <w:rFonts w:eastAsia="Times New Roman" w:cstheme="minorHAnsi"/>
                <w:color w:val="000000"/>
                <w:sz w:val="20"/>
                <w:szCs w:val="20"/>
                <w:lang w:val="en-US" w:eastAsia="hr-HR"/>
              </w:rPr>
              <w:t>and City of Zagreb and another legal entity and a natural person</w:t>
            </w:r>
          </w:p>
        </w:tc>
      </w:tr>
      <w:tr w:rsidR="00BF1507" w:rsidRPr="00AB7D1E" w14:paraId="18B1AD78" w14:textId="1991283E" w:rsidTr="00345198">
        <w:trPr>
          <w:trHeight w:val="20"/>
        </w:trPr>
        <w:tc>
          <w:tcPr>
            <w:tcW w:w="0" w:type="auto"/>
            <w:shd w:val="clear" w:color="auto" w:fill="auto"/>
            <w:noWrap/>
            <w:vAlign w:val="bottom"/>
            <w:hideMark/>
          </w:tcPr>
          <w:p w14:paraId="529D5A30" w14:textId="7AB15DDE"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Health company</w:t>
            </w:r>
          </w:p>
        </w:tc>
        <w:tc>
          <w:tcPr>
            <w:tcW w:w="0" w:type="auto"/>
            <w:shd w:val="clear" w:color="auto" w:fill="auto"/>
            <w:noWrap/>
            <w:vAlign w:val="bottom"/>
            <w:hideMark/>
          </w:tcPr>
          <w:p w14:paraId="7999B495"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648</w:t>
            </w:r>
          </w:p>
        </w:tc>
        <w:tc>
          <w:tcPr>
            <w:tcW w:w="0" w:type="auto"/>
          </w:tcPr>
          <w:p w14:paraId="70C18985" w14:textId="6F6B3D2E" w:rsidR="00BF1507" w:rsidRPr="00AB7D1E" w:rsidRDefault="00AF39F2" w:rsidP="00AF39F2">
            <w:pPr>
              <w:suppressAutoHyphens w:val="0"/>
              <w:autoSpaceDN/>
              <w:spacing w:before="0" w:after="0" w:line="240" w:lineRule="auto"/>
              <w:jc w:val="lef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Legal entity</w:t>
            </w:r>
          </w:p>
        </w:tc>
      </w:tr>
      <w:tr w:rsidR="00BF1507" w:rsidRPr="00AB7D1E" w14:paraId="120AA3CB" w14:textId="4BC59998" w:rsidTr="00345198">
        <w:trPr>
          <w:trHeight w:val="20"/>
        </w:trPr>
        <w:tc>
          <w:tcPr>
            <w:tcW w:w="0" w:type="auto"/>
            <w:shd w:val="clear" w:color="auto" w:fill="auto"/>
            <w:noWrap/>
            <w:vAlign w:val="bottom"/>
            <w:hideMark/>
          </w:tcPr>
          <w:p w14:paraId="73589973" w14:textId="3154B8DE" w:rsidR="00BF1507" w:rsidRPr="00AB7D1E" w:rsidRDefault="00BF1507" w:rsidP="00BF1507">
            <w:pPr>
              <w:suppressAutoHyphens w:val="0"/>
              <w:autoSpaceDN/>
              <w:spacing w:before="0" w:after="0" w:line="240" w:lineRule="auto"/>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Total</w:t>
            </w:r>
          </w:p>
        </w:tc>
        <w:tc>
          <w:tcPr>
            <w:tcW w:w="0" w:type="auto"/>
            <w:shd w:val="clear" w:color="auto" w:fill="auto"/>
            <w:noWrap/>
            <w:vAlign w:val="bottom"/>
            <w:hideMark/>
          </w:tcPr>
          <w:p w14:paraId="2903CE36" w14:textId="64B43AD1"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r w:rsidRPr="00AB7D1E">
              <w:rPr>
                <w:rFonts w:eastAsia="Times New Roman" w:cstheme="minorHAnsi"/>
                <w:color w:val="000000"/>
                <w:sz w:val="20"/>
                <w:szCs w:val="20"/>
                <w:lang w:val="en-US" w:eastAsia="hr-HR"/>
              </w:rPr>
              <w:t>1</w:t>
            </w:r>
            <w:r w:rsidR="00F657C4" w:rsidRPr="00AB7D1E">
              <w:rPr>
                <w:rFonts w:eastAsia="Times New Roman" w:cstheme="minorHAnsi"/>
                <w:color w:val="000000"/>
                <w:sz w:val="20"/>
                <w:szCs w:val="20"/>
                <w:lang w:val="en-US" w:eastAsia="hr-HR"/>
              </w:rPr>
              <w:t>.</w:t>
            </w:r>
            <w:r w:rsidRPr="00AB7D1E">
              <w:rPr>
                <w:rFonts w:eastAsia="Times New Roman" w:cstheme="minorHAnsi"/>
                <w:color w:val="000000"/>
                <w:sz w:val="20"/>
                <w:szCs w:val="20"/>
                <w:lang w:val="en-US" w:eastAsia="hr-HR"/>
              </w:rPr>
              <w:t>648</w:t>
            </w:r>
          </w:p>
        </w:tc>
        <w:tc>
          <w:tcPr>
            <w:tcW w:w="0" w:type="auto"/>
          </w:tcPr>
          <w:p w14:paraId="76A233CF" w14:textId="77777777" w:rsidR="00BF1507" w:rsidRPr="00AB7D1E" w:rsidRDefault="00BF1507" w:rsidP="00BF1507">
            <w:pPr>
              <w:suppressAutoHyphens w:val="0"/>
              <w:autoSpaceDN/>
              <w:spacing w:before="0" w:after="0" w:line="240" w:lineRule="auto"/>
              <w:jc w:val="right"/>
              <w:textAlignment w:val="auto"/>
              <w:rPr>
                <w:rFonts w:eastAsia="Times New Roman" w:cstheme="minorHAnsi"/>
                <w:color w:val="000000"/>
                <w:sz w:val="20"/>
                <w:szCs w:val="20"/>
                <w:lang w:val="en-US" w:eastAsia="hr-HR"/>
              </w:rPr>
            </w:pPr>
          </w:p>
        </w:tc>
      </w:tr>
    </w:tbl>
    <w:p w14:paraId="72C92BE8" w14:textId="1835820C" w:rsidR="00B24799" w:rsidRPr="00AB7D1E" w:rsidRDefault="00B24799">
      <w:pPr>
        <w:suppressAutoHyphens w:val="0"/>
        <w:jc w:val="left"/>
        <w:rPr>
          <w:lang w:val="en-US"/>
        </w:rPr>
      </w:pPr>
      <w:r w:rsidRPr="00AB7D1E">
        <w:rPr>
          <w:lang w:val="en-US"/>
        </w:rPr>
        <w:br w:type="page"/>
      </w:r>
    </w:p>
    <w:p w14:paraId="2C3409FB" w14:textId="266C60C8" w:rsidR="00DA18D0" w:rsidRPr="00AB7D1E" w:rsidRDefault="00075A6F" w:rsidP="00DA18D0">
      <w:pPr>
        <w:pStyle w:val="Heading1"/>
        <w:rPr>
          <w:b/>
          <w:lang w:val="en-US"/>
        </w:rPr>
      </w:pPr>
      <w:bookmarkStart w:id="90" w:name="_Toc56954051"/>
      <w:r w:rsidRPr="00AB7D1E">
        <w:rPr>
          <w:caps w:val="0"/>
          <w:lang w:val="en-US"/>
        </w:rPr>
        <w:lastRenderedPageBreak/>
        <w:t>NATIONAL ENVIRONMENTAL AND SOCIAL LEGISLATION AND INSTITUTIONS RELEVANT FOR THE PROJECT IMPLEMENTATION</w:t>
      </w:r>
      <w:bookmarkEnd w:id="90"/>
      <w:r w:rsidRPr="00AB7D1E">
        <w:rPr>
          <w:caps w:val="0"/>
          <w:lang w:val="en-US"/>
        </w:rPr>
        <w:t xml:space="preserve"> </w:t>
      </w:r>
    </w:p>
    <w:p w14:paraId="34A53327" w14:textId="49E1CD27" w:rsidR="00D60C6C" w:rsidRPr="00AB7D1E" w:rsidRDefault="00D60C6C" w:rsidP="00D60C6C">
      <w:pPr>
        <w:pStyle w:val="Heading2"/>
        <w:rPr>
          <w:lang w:val="en-US"/>
        </w:rPr>
      </w:pPr>
      <w:bookmarkStart w:id="91" w:name="_Ref48063421"/>
      <w:bookmarkStart w:id="92" w:name="_Toc56954052"/>
      <w:r w:rsidRPr="00AB7D1E">
        <w:rPr>
          <w:lang w:val="en-US"/>
        </w:rPr>
        <w:t>National environmental</w:t>
      </w:r>
      <w:r w:rsidR="00986410" w:rsidRPr="00AB7D1E">
        <w:rPr>
          <w:lang w:val="en-US"/>
        </w:rPr>
        <w:t xml:space="preserve"> and social</w:t>
      </w:r>
      <w:r w:rsidRPr="00AB7D1E">
        <w:rPr>
          <w:lang w:val="en-US"/>
        </w:rPr>
        <w:t xml:space="preserve"> legislation</w:t>
      </w:r>
      <w:bookmarkEnd w:id="91"/>
      <w:bookmarkEnd w:id="92"/>
    </w:p>
    <w:p w14:paraId="3BDF022C" w14:textId="77777777" w:rsidR="00986410" w:rsidRPr="00AB7D1E" w:rsidRDefault="00986410" w:rsidP="0040564F">
      <w:pPr>
        <w:pStyle w:val="Heading3"/>
        <w:rPr>
          <w:lang w:val="en-US"/>
        </w:rPr>
      </w:pPr>
      <w:bookmarkStart w:id="93" w:name="_Toc56954053"/>
      <w:r w:rsidRPr="00AB7D1E">
        <w:rPr>
          <w:lang w:val="en-US"/>
        </w:rPr>
        <w:t>National environmental legislation</w:t>
      </w:r>
      <w:bookmarkEnd w:id="93"/>
    </w:p>
    <w:p w14:paraId="7563309E" w14:textId="77777777" w:rsidR="00986410" w:rsidRPr="00AB7D1E" w:rsidRDefault="00986410" w:rsidP="00986410">
      <w:pPr>
        <w:rPr>
          <w:lang w:val="en-US"/>
        </w:rPr>
      </w:pPr>
      <w:r w:rsidRPr="00AB7D1E">
        <w:rPr>
          <w:lang w:val="en-US"/>
        </w:rPr>
        <w:t>The following Croatian legislation define a legal framework for environmental management:</w:t>
      </w:r>
    </w:p>
    <w:p w14:paraId="794D070B" w14:textId="38DEFFBF" w:rsidR="00986410" w:rsidRDefault="00986410" w:rsidP="00BE60A0">
      <w:pPr>
        <w:pStyle w:val="ListParagraph"/>
        <w:numPr>
          <w:ilvl w:val="0"/>
          <w:numId w:val="29"/>
        </w:numPr>
        <w:rPr>
          <w:lang w:val="en-US"/>
        </w:rPr>
      </w:pPr>
      <w:bookmarkStart w:id="94" w:name="_Hlk50891144"/>
      <w:r w:rsidRPr="00AB7D1E">
        <w:rPr>
          <w:lang w:val="en-US"/>
        </w:rPr>
        <w:t xml:space="preserve">Environmental Protection Act </w:t>
      </w:r>
      <w:bookmarkEnd w:id="94"/>
      <w:r w:rsidRPr="00AB7D1E">
        <w:rPr>
          <w:lang w:val="en-US"/>
        </w:rPr>
        <w:t>(OG 80/13, 153/13, 78/15, 12/18, 118/18),</w:t>
      </w:r>
    </w:p>
    <w:p w14:paraId="5E060944" w14:textId="0CF47DF5" w:rsidR="000A66C4" w:rsidRPr="00AB7D1E" w:rsidRDefault="00946E52" w:rsidP="00BE60A0">
      <w:pPr>
        <w:pStyle w:val="ListParagraph"/>
        <w:numPr>
          <w:ilvl w:val="0"/>
          <w:numId w:val="29"/>
        </w:numPr>
        <w:rPr>
          <w:lang w:val="en-US"/>
        </w:rPr>
      </w:pPr>
      <w:bookmarkStart w:id="95" w:name="_Hlk51705409"/>
      <w:r>
        <w:rPr>
          <w:lang w:val="en-US"/>
        </w:rPr>
        <w:t xml:space="preserve">Regulation on </w:t>
      </w:r>
      <w:r w:rsidR="0092564B" w:rsidRPr="0092564B">
        <w:rPr>
          <w:lang w:val="en-US"/>
        </w:rPr>
        <w:t>environmental impact assessment</w:t>
      </w:r>
      <w:r>
        <w:rPr>
          <w:lang w:val="en-US"/>
        </w:rPr>
        <w:t xml:space="preserve"> (OG </w:t>
      </w:r>
      <w:r w:rsidR="00F80B3F">
        <w:rPr>
          <w:lang w:val="en-US"/>
        </w:rPr>
        <w:t>61/</w:t>
      </w:r>
      <w:r w:rsidR="003742B7">
        <w:rPr>
          <w:lang w:val="en-US"/>
        </w:rPr>
        <w:t xml:space="preserve">14, </w:t>
      </w:r>
      <w:r w:rsidR="00895CAF">
        <w:rPr>
          <w:lang w:val="en-US"/>
        </w:rPr>
        <w:t>3/17</w:t>
      </w:r>
      <w:r>
        <w:rPr>
          <w:lang w:val="en-US"/>
        </w:rPr>
        <w:t>)</w:t>
      </w:r>
      <w:r w:rsidR="003742B7">
        <w:rPr>
          <w:lang w:val="en-US"/>
        </w:rPr>
        <w:t>,</w:t>
      </w:r>
    </w:p>
    <w:bookmarkEnd w:id="95"/>
    <w:p w14:paraId="1B1435B2" w14:textId="6F8F0570" w:rsidR="00986410" w:rsidRPr="00AB7D1E" w:rsidRDefault="00986410" w:rsidP="00BE60A0">
      <w:pPr>
        <w:pStyle w:val="ListParagraph"/>
        <w:numPr>
          <w:ilvl w:val="0"/>
          <w:numId w:val="29"/>
        </w:numPr>
        <w:rPr>
          <w:lang w:val="en-US"/>
        </w:rPr>
      </w:pPr>
      <w:r w:rsidRPr="00AB7D1E">
        <w:rPr>
          <w:lang w:val="en-US"/>
        </w:rPr>
        <w:t>Nature Protection Act (OG 80/13, 15/18, 14/19,127/19),</w:t>
      </w:r>
    </w:p>
    <w:p w14:paraId="715CBB83" w14:textId="77777777" w:rsidR="00986410" w:rsidRPr="00AB7D1E" w:rsidRDefault="00986410" w:rsidP="00BE60A0">
      <w:pPr>
        <w:pStyle w:val="ListParagraph"/>
        <w:numPr>
          <w:ilvl w:val="0"/>
          <w:numId w:val="29"/>
        </w:numPr>
        <w:rPr>
          <w:lang w:val="en-US"/>
        </w:rPr>
      </w:pPr>
      <w:r w:rsidRPr="00AB7D1E">
        <w:rPr>
          <w:lang w:val="en-US"/>
        </w:rPr>
        <w:t>Act on Sustainable Waste Management (OG 94/13, 73/17, 14/19, 98/19)</w:t>
      </w:r>
    </w:p>
    <w:p w14:paraId="0D92863B" w14:textId="77777777" w:rsidR="00986410" w:rsidRPr="00AB7D1E" w:rsidRDefault="00986410" w:rsidP="00BE60A0">
      <w:pPr>
        <w:pStyle w:val="ListParagraph"/>
        <w:numPr>
          <w:ilvl w:val="0"/>
          <w:numId w:val="29"/>
        </w:numPr>
        <w:rPr>
          <w:lang w:val="en-US"/>
        </w:rPr>
      </w:pPr>
      <w:r w:rsidRPr="00AB7D1E">
        <w:rPr>
          <w:lang w:val="en-US"/>
        </w:rPr>
        <w:t>Air Protection Act (OG 127/19)</w:t>
      </w:r>
    </w:p>
    <w:p w14:paraId="49343FCD" w14:textId="77777777" w:rsidR="00986410" w:rsidRPr="00AB7D1E" w:rsidRDefault="00986410" w:rsidP="00BE60A0">
      <w:pPr>
        <w:pStyle w:val="ListParagraph"/>
        <w:numPr>
          <w:ilvl w:val="0"/>
          <w:numId w:val="29"/>
        </w:numPr>
        <w:rPr>
          <w:lang w:val="en-US"/>
        </w:rPr>
      </w:pPr>
      <w:r w:rsidRPr="00AB7D1E">
        <w:rPr>
          <w:lang w:val="en-US"/>
        </w:rPr>
        <w:t>Water Act (OG 66/19)</w:t>
      </w:r>
    </w:p>
    <w:p w14:paraId="7480886A" w14:textId="6F93FF9A" w:rsidR="00986410" w:rsidRPr="00AB7D1E" w:rsidRDefault="00986410" w:rsidP="00BE60A0">
      <w:pPr>
        <w:pStyle w:val="ListParagraph"/>
        <w:numPr>
          <w:ilvl w:val="0"/>
          <w:numId w:val="29"/>
        </w:numPr>
        <w:rPr>
          <w:lang w:val="en-US"/>
        </w:rPr>
      </w:pPr>
      <w:r w:rsidRPr="00AB7D1E">
        <w:rPr>
          <w:lang w:val="en-US"/>
        </w:rPr>
        <w:t>Energy Efficiency Act (OG 127/14, 116/18, 25/20)</w:t>
      </w:r>
    </w:p>
    <w:p w14:paraId="1BC1A0F9" w14:textId="6E4924D4" w:rsidR="00DD6126" w:rsidRPr="00AB7D1E" w:rsidRDefault="00DD6126" w:rsidP="00BE60A0">
      <w:pPr>
        <w:pStyle w:val="ListParagraph"/>
        <w:numPr>
          <w:ilvl w:val="0"/>
          <w:numId w:val="29"/>
        </w:numPr>
        <w:rPr>
          <w:lang w:val="en-US"/>
        </w:rPr>
      </w:pPr>
      <w:r w:rsidRPr="00AB7D1E">
        <w:rPr>
          <w:lang w:val="en-US"/>
        </w:rPr>
        <w:t>Noise Protection Act (OG 30/09, 55/13, 153/13, 41/16, 114/18)</w:t>
      </w:r>
    </w:p>
    <w:p w14:paraId="33F1D55A" w14:textId="7734D179"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Environmental Protection Act</w:t>
      </w:r>
      <w:r w:rsidRPr="00895CAF">
        <w:rPr>
          <w:rFonts w:ascii="Calibri" w:hAnsi="Calibri" w:cs="Calibri"/>
          <w:lang w:val="en-GB"/>
        </w:rPr>
        <w:t xml:space="preserve"> </w:t>
      </w:r>
      <w:proofErr w:type="gramStart"/>
      <w:r w:rsidRPr="00895CAF">
        <w:rPr>
          <w:rFonts w:ascii="Calibri" w:hAnsi="Calibri" w:cs="Calibri"/>
          <w:lang w:val="en-GB"/>
        </w:rPr>
        <w:t>regulates:</w:t>
      </w:r>
      <w:proofErr w:type="gramEnd"/>
      <w:r w:rsidRPr="00895CAF">
        <w:rPr>
          <w:rFonts w:ascii="Calibri" w:hAnsi="Calibri" w:cs="Calibri"/>
          <w:lang w:val="en-GB"/>
        </w:rPr>
        <w:t xml:space="preserve"> environmental protection principles and objectives within the concept of sustainable development, environment components protection and environmental stress protection. Furthermore it regulates environmental protection entities, sustainable development and environmental protection documents, environmental protection instruments, environmental monitoring, information system, access to information on the environment, access to justice in the environmental issues, public participation in the environmental issues, responsibility for environmental damage, funding and general policy instruments in environmental protection as well as administrative and inspection control.</w:t>
      </w:r>
    </w:p>
    <w:p w14:paraId="5F92B0DD"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 xml:space="preserve">According to this Act environmental protection objectives are as follows: </w:t>
      </w:r>
    </w:p>
    <w:p w14:paraId="1997FFF4"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of human life and health,</w:t>
      </w:r>
    </w:p>
    <w:p w14:paraId="7742FC2B"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of flora and fauna, geodiversity, biological and landscape diversity and preservation of ecological stability,</w:t>
      </w:r>
    </w:p>
    <w:p w14:paraId="5FD0F73A"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and improvement of the quality of individual environmental components,</w:t>
      </w:r>
    </w:p>
    <w:p w14:paraId="6EA964C7"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of the ozone layer and climate change mitigation,</w:t>
      </w:r>
    </w:p>
    <w:p w14:paraId="738C1808"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protection and restoration of cultural and aesthetic landscape values,</w:t>
      </w:r>
    </w:p>
    <w:p w14:paraId="6082E0EB"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prevention of major accidents involving dangerous substances,</w:t>
      </w:r>
    </w:p>
    <w:p w14:paraId="17FB7482"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prevention and reduction of environmental pollution,</w:t>
      </w:r>
    </w:p>
    <w:p w14:paraId="24B1709A"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continuous use of natural resources,</w:t>
      </w:r>
    </w:p>
    <w:p w14:paraId="46398176"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rational use of energy and promoting the use of renewable energy sources,</w:t>
      </w:r>
    </w:p>
    <w:p w14:paraId="27286A94"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elimination of environmental pollution effects,</w:t>
      </w:r>
    </w:p>
    <w:p w14:paraId="548D7A05"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improvement of the disturbed natural balance and restoration of its regeneration capabilities,</w:t>
      </w:r>
    </w:p>
    <w:p w14:paraId="528EEBE1"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achievement of sustainable production and consumption,</w:t>
      </w:r>
    </w:p>
    <w:p w14:paraId="4FFBFD51"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phase-out and substitution of use of dangerous and harmful substances,</w:t>
      </w:r>
    </w:p>
    <w:p w14:paraId="1131D975"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sustainable use of natural assets,</w:t>
      </w:r>
    </w:p>
    <w:p w14:paraId="4070067D"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ensuring and development of long-term sustainability</w:t>
      </w:r>
    </w:p>
    <w:p w14:paraId="24B5D0F7" w14:textId="77777777" w:rsidR="00895CAF" w:rsidRPr="00895CAF" w:rsidRDefault="00895CAF" w:rsidP="00BE60A0">
      <w:pPr>
        <w:numPr>
          <w:ilvl w:val="0"/>
          <w:numId w:val="66"/>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improving environmental status and securing a healthy environment.</w:t>
      </w:r>
    </w:p>
    <w:p w14:paraId="6E1E4841"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lastRenderedPageBreak/>
        <w:t>These objectives should be accomplished through application of environmental protection principles and environmental protection instruments, prescribed by this Act and sub-laws.</w:t>
      </w:r>
    </w:p>
    <w:p w14:paraId="1AC6CC1E"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 xml:space="preserve">Sustainable development principles </w:t>
      </w:r>
      <w:bookmarkStart w:id="96" w:name="_Hlk50917298"/>
      <w:r w:rsidRPr="00895CAF">
        <w:rPr>
          <w:rFonts w:ascii="Calibri" w:hAnsi="Calibri" w:cs="Calibri"/>
          <w:lang w:val="en-GB"/>
        </w:rPr>
        <w:t>are following</w:t>
      </w:r>
      <w:bookmarkEnd w:id="96"/>
      <w:r w:rsidRPr="00895CAF">
        <w:rPr>
          <w:rFonts w:ascii="Calibri" w:hAnsi="Calibri" w:cs="Calibri"/>
          <w:lang w:val="en-GB"/>
        </w:rPr>
        <w:t>: precautionary principle, principle of preservation of natural assets, biological diversity and landscape, substitution and/or compensation principle, principle of removal and remediation of environmental damage at the source, principle of integrated approach, principle of cooperation, polluter pays principle, principle of access to information and public participation, promotion principle, principle of the right of access to justice.</w:t>
      </w:r>
    </w:p>
    <w:p w14:paraId="579160F5"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These principles should be applied to ensure the protection: of the soil and Earth’s lithosphere, forest, air, water, marine and coastal zones, nature, protection against the effects of environmental burdening, against adverse effects of genetically modified organisms, noise, Ionising radiation protection and nuclear safety, adverse effects of chemicals, light pollution, waste management.</w:t>
      </w:r>
    </w:p>
    <w:p w14:paraId="7F416A78"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bookmarkStart w:id="97" w:name="_Hlk50917852"/>
      <w:r w:rsidRPr="00895CAF">
        <w:rPr>
          <w:rFonts w:ascii="Calibri" w:hAnsi="Calibri" w:cs="Calibri"/>
          <w:lang w:val="en-GB"/>
        </w:rPr>
        <w:t xml:space="preserve">Different instruments and procedures are defined by this Act </w:t>
      </w:r>
      <w:proofErr w:type="gramStart"/>
      <w:r w:rsidRPr="00895CAF">
        <w:rPr>
          <w:rFonts w:ascii="Calibri" w:hAnsi="Calibri" w:cs="Calibri"/>
          <w:lang w:val="en-GB"/>
        </w:rPr>
        <w:t>like:</w:t>
      </w:r>
      <w:proofErr w:type="gramEnd"/>
      <w:r w:rsidRPr="00895CAF">
        <w:rPr>
          <w:rFonts w:ascii="Calibri" w:hAnsi="Calibri" w:cs="Calibri"/>
          <w:lang w:val="en-GB"/>
        </w:rPr>
        <w:t xml:space="preserve"> strategic environmental assessment of strategies, plans and programmes, environmental impact assessment and scoping procedure, environmental permitting procedure</w:t>
      </w:r>
      <w:r w:rsidRPr="00895CAF">
        <w:rPr>
          <w:rFonts w:ascii="Calibri" w:hAnsi="Calibri" w:cs="Calibri"/>
          <w:vertAlign w:val="superscript"/>
          <w:lang w:val="en-GB"/>
        </w:rPr>
        <w:footnoteReference w:id="84"/>
      </w:r>
      <w:r w:rsidRPr="00895CAF">
        <w:rPr>
          <w:rFonts w:ascii="Calibri" w:hAnsi="Calibri" w:cs="Calibri"/>
          <w:lang w:val="en-GB"/>
        </w:rPr>
        <w:t>, etc.</w:t>
      </w:r>
      <w:bookmarkEnd w:id="97"/>
    </w:p>
    <w:p w14:paraId="0B9E8B23" w14:textId="1CC50CBD" w:rsidR="00895CAF" w:rsidRPr="00895CAF" w:rsidRDefault="00895CAF" w:rsidP="001A00E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 xml:space="preserve">Detail provisions of environmental impact assessment procedure are defined by </w:t>
      </w:r>
      <w:bookmarkStart w:id="98" w:name="_Hlk50891237"/>
      <w:r w:rsidRPr="00895CAF">
        <w:rPr>
          <w:rFonts w:ascii="Calibri" w:hAnsi="Calibri" w:cs="Calibri"/>
          <w:b/>
          <w:bCs/>
          <w:lang w:val="en-GB"/>
        </w:rPr>
        <w:t>Regulation on environmental impact assessment</w:t>
      </w:r>
      <w:bookmarkEnd w:id="98"/>
      <w:r w:rsidRPr="00895CAF">
        <w:rPr>
          <w:rFonts w:ascii="Calibri" w:hAnsi="Calibri" w:cs="Calibri"/>
          <w:b/>
          <w:bCs/>
          <w:lang w:val="en-GB"/>
        </w:rPr>
        <w:t xml:space="preserve">. </w:t>
      </w:r>
      <w:r w:rsidRPr="00895CAF">
        <w:rPr>
          <w:rFonts w:ascii="Calibri" w:hAnsi="Calibri" w:cs="Calibri"/>
          <w:lang w:val="en-GB"/>
        </w:rPr>
        <w:t>This Regulation</w:t>
      </w:r>
      <w:r w:rsidR="001A00EF">
        <w:rPr>
          <w:rFonts w:ascii="Calibri" w:hAnsi="Calibri" w:cs="Calibri"/>
          <w:lang w:val="en-GB"/>
        </w:rPr>
        <w:t xml:space="preserve"> inter alia</w:t>
      </w:r>
      <w:r w:rsidRPr="00895CAF">
        <w:rPr>
          <w:rFonts w:ascii="Calibri" w:hAnsi="Calibri" w:cs="Calibri"/>
          <w:lang w:val="en-GB"/>
        </w:rPr>
        <w:t xml:space="preserve"> specifies: the criteria </w:t>
      </w:r>
      <w:r w:rsidR="001A00EF">
        <w:rPr>
          <w:rFonts w:ascii="Calibri" w:hAnsi="Calibri" w:cs="Calibri"/>
          <w:lang w:val="en-GB"/>
        </w:rPr>
        <w:t xml:space="preserve">and procedure </w:t>
      </w:r>
      <w:r w:rsidRPr="00895CAF">
        <w:rPr>
          <w:rFonts w:ascii="Calibri" w:hAnsi="Calibri" w:cs="Calibri"/>
          <w:lang w:val="en-GB"/>
        </w:rPr>
        <w:t xml:space="preserve">for </w:t>
      </w:r>
      <w:r w:rsidR="001A00EF">
        <w:rPr>
          <w:rFonts w:ascii="Calibri" w:hAnsi="Calibri" w:cs="Calibri"/>
          <w:lang w:val="en-GB"/>
        </w:rPr>
        <w:t xml:space="preserve">conducting </w:t>
      </w:r>
      <w:r w:rsidRPr="00895CAF">
        <w:rPr>
          <w:rFonts w:ascii="Calibri" w:hAnsi="Calibri" w:cs="Calibri"/>
          <w:lang w:val="en-GB"/>
        </w:rPr>
        <w:t>environmental impact assessment</w:t>
      </w:r>
      <w:r w:rsidR="001A00EF">
        <w:rPr>
          <w:rFonts w:ascii="Calibri" w:hAnsi="Calibri" w:cs="Calibri"/>
          <w:lang w:val="en-GB"/>
        </w:rPr>
        <w:t>;</w:t>
      </w:r>
      <w:r w:rsidRPr="00895CAF">
        <w:rPr>
          <w:rFonts w:ascii="Calibri" w:hAnsi="Calibri" w:cs="Calibri"/>
          <w:lang w:val="en-GB"/>
        </w:rPr>
        <w:t xml:space="preserve"> the content of the environmental impact assessment study</w:t>
      </w:r>
      <w:r w:rsidR="001A00EF">
        <w:rPr>
          <w:rFonts w:ascii="Calibri" w:hAnsi="Calibri" w:cs="Calibri"/>
          <w:lang w:val="en-GB"/>
        </w:rPr>
        <w:t xml:space="preserve"> and elaborate (preparation of elaborate is part of the screening process);</w:t>
      </w:r>
      <w:r w:rsidRPr="00895CAF">
        <w:rPr>
          <w:rFonts w:ascii="Calibri" w:hAnsi="Calibri" w:cs="Calibri"/>
          <w:lang w:val="en-GB"/>
        </w:rPr>
        <w:t xml:space="preserve"> the </w:t>
      </w:r>
      <w:r w:rsidR="001A00EF">
        <w:rPr>
          <w:rFonts w:ascii="Calibri" w:hAnsi="Calibri" w:cs="Calibri"/>
          <w:lang w:val="en-GB"/>
        </w:rPr>
        <w:t>manner of</w:t>
      </w:r>
      <w:r w:rsidRPr="00895CAF">
        <w:rPr>
          <w:rFonts w:ascii="Calibri" w:hAnsi="Calibri" w:cs="Calibri"/>
          <w:lang w:val="en-GB"/>
        </w:rPr>
        <w:t xml:space="preserve"> participation of persons </w:t>
      </w:r>
      <w:r w:rsidR="001A00EF">
        <w:rPr>
          <w:rFonts w:ascii="Calibri" w:hAnsi="Calibri" w:cs="Calibri"/>
          <w:lang w:val="en-GB"/>
        </w:rPr>
        <w:t xml:space="preserve">authorized to </w:t>
      </w:r>
      <w:r w:rsidRPr="00895CAF">
        <w:rPr>
          <w:rFonts w:ascii="Calibri" w:hAnsi="Calibri" w:cs="Calibri"/>
          <w:lang w:val="en-GB"/>
        </w:rPr>
        <w:t>prepare the environmental impact assessment study</w:t>
      </w:r>
      <w:r w:rsidR="001A00EF">
        <w:rPr>
          <w:rFonts w:ascii="Calibri" w:hAnsi="Calibri" w:cs="Calibri"/>
          <w:lang w:val="en-GB"/>
        </w:rPr>
        <w:t>/</w:t>
      </w:r>
      <w:proofErr w:type="spellStart"/>
      <w:r w:rsidR="001A00EF">
        <w:rPr>
          <w:rFonts w:ascii="Calibri" w:hAnsi="Calibri" w:cs="Calibri"/>
          <w:lang w:val="en-GB"/>
        </w:rPr>
        <w:t>elaborat</w:t>
      </w:r>
      <w:proofErr w:type="spellEnd"/>
      <w:r w:rsidRPr="00895CAF">
        <w:rPr>
          <w:rFonts w:ascii="Calibri" w:hAnsi="Calibri" w:cs="Calibri"/>
          <w:lang w:val="en-GB"/>
        </w:rPr>
        <w:t xml:space="preserve">; </w:t>
      </w:r>
      <w:r w:rsidR="001A00EF">
        <w:rPr>
          <w:rFonts w:ascii="Calibri" w:hAnsi="Calibri" w:cs="Calibri"/>
          <w:lang w:val="en-GB"/>
        </w:rPr>
        <w:t xml:space="preserve">public participation process, </w:t>
      </w:r>
      <w:r w:rsidR="001A00EF" w:rsidRPr="001A00EF">
        <w:rPr>
          <w:rFonts w:ascii="Calibri" w:hAnsi="Calibri" w:cs="Calibri"/>
          <w:lang w:val="en-GB"/>
        </w:rPr>
        <w:t>the manner of work of the commission</w:t>
      </w:r>
      <w:r w:rsidRPr="00895CAF">
        <w:rPr>
          <w:rFonts w:ascii="Calibri" w:hAnsi="Calibri" w:cs="Calibri"/>
          <w:lang w:val="en-GB"/>
        </w:rPr>
        <w:t xml:space="preserve"> participating in the environmental impact assessment procedure, development of guidelines for the preparation of environmental impact studies, </w:t>
      </w:r>
      <w:r w:rsidR="001A00EF">
        <w:rPr>
          <w:rFonts w:ascii="Calibri" w:hAnsi="Calibri" w:cs="Calibri"/>
          <w:lang w:val="en-GB"/>
        </w:rPr>
        <w:t>etc</w:t>
      </w:r>
      <w:r w:rsidRPr="00895CAF">
        <w:rPr>
          <w:rFonts w:ascii="Calibri" w:hAnsi="Calibri" w:cs="Calibri"/>
          <w:lang w:val="en-GB"/>
        </w:rPr>
        <w:t>. Regulation determines the</w:t>
      </w:r>
      <w:r w:rsidR="004E4090">
        <w:rPr>
          <w:rFonts w:ascii="Calibri" w:hAnsi="Calibri" w:cs="Calibri"/>
          <w:lang w:val="en-GB"/>
        </w:rPr>
        <w:t xml:space="preserve"> list of</w:t>
      </w:r>
      <w:r w:rsidRPr="00895CAF">
        <w:rPr>
          <w:rFonts w:ascii="Calibri" w:hAnsi="Calibri" w:cs="Calibri"/>
          <w:lang w:val="en-GB"/>
        </w:rPr>
        <w:t xml:space="preserve"> interventions</w:t>
      </w:r>
      <w:r w:rsidR="001A00EF">
        <w:rPr>
          <w:rFonts w:ascii="Calibri" w:hAnsi="Calibri" w:cs="Calibri"/>
          <w:lang w:val="en-GB"/>
        </w:rPr>
        <w:t>/projects</w:t>
      </w:r>
      <w:r w:rsidRPr="00895CAF">
        <w:rPr>
          <w:rFonts w:ascii="Calibri" w:hAnsi="Calibri" w:cs="Calibri"/>
          <w:lang w:val="en-GB"/>
        </w:rPr>
        <w:t xml:space="preserve"> that are within the competence of the </w:t>
      </w:r>
      <w:proofErr w:type="spellStart"/>
      <w:r w:rsidRPr="00895CAF">
        <w:rPr>
          <w:rFonts w:ascii="Calibri" w:hAnsi="Calibri" w:cs="Calibri"/>
          <w:lang w:val="en-GB"/>
        </w:rPr>
        <w:t>MoESD</w:t>
      </w:r>
      <w:proofErr w:type="spellEnd"/>
      <w:r w:rsidRPr="00895CAF">
        <w:rPr>
          <w:rFonts w:ascii="Calibri" w:hAnsi="Calibri" w:cs="Calibri"/>
          <w:lang w:val="en-GB"/>
        </w:rPr>
        <w:t xml:space="preserve"> and the competent administrative body in the counties and City of Zagreb</w:t>
      </w:r>
      <w:r w:rsidR="00144148">
        <w:rPr>
          <w:rFonts w:ascii="Calibri" w:hAnsi="Calibri" w:cs="Calibri"/>
          <w:lang w:val="en-GB"/>
        </w:rPr>
        <w:t xml:space="preserve"> for which it is necessary to conduct EIA procedure or screening procedure.</w:t>
      </w:r>
    </w:p>
    <w:p w14:paraId="5C4C75D6"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 xml:space="preserve">Nature Protection Act </w:t>
      </w:r>
      <w:r w:rsidRPr="00895CAF">
        <w:rPr>
          <w:rFonts w:ascii="Calibri" w:hAnsi="Calibri" w:cs="Calibri"/>
          <w:lang w:val="en-GB"/>
        </w:rPr>
        <w:t>regulates the nature protection system and integral nature preservation and its parts and other related issues.</w:t>
      </w:r>
    </w:p>
    <w:p w14:paraId="7C516E73"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According to this Act nature protection objectives and tasks are as follows:</w:t>
      </w:r>
    </w:p>
    <w:p w14:paraId="5B073E91"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preservation and / or restoration of biodiversity by preserving natural habitat types, wild species and their habitats, including all birds species that occur naturally in the territory of the Republic of Croatia, as well as bird eggs and nests, by establishing an appropriate protection, management and control system,</w:t>
      </w:r>
    </w:p>
    <w:p w14:paraId="3FF82634"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preservation of landscape and geodiversity in the natural balance state and harmonised relations with human activities,</w:t>
      </w:r>
    </w:p>
    <w:p w14:paraId="2DDE7774"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determination and monitoring the state of nature,</w:t>
      </w:r>
    </w:p>
    <w:p w14:paraId="4A995975"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providing of nature protection system for its permanent preservation,</w:t>
      </w:r>
    </w:p>
    <w:p w14:paraId="7809BFCF"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ensuring the sustainable natural resources usage without significant damage to parts of nature and with the least possible disturbance of the balance of its components,</w:t>
      </w:r>
    </w:p>
    <w:p w14:paraId="29104E07"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t>contribution to the preservation of the soil naturalness, the quality preservation, water and sea quantity and availability, the preservation of the atmosphere and the production of oxygen, and the preservation of the climate,</w:t>
      </w:r>
    </w:p>
    <w:p w14:paraId="718E36AF" w14:textId="77777777" w:rsidR="00895CAF" w:rsidRPr="00895CAF" w:rsidRDefault="00895CAF" w:rsidP="00BE60A0">
      <w:pPr>
        <w:numPr>
          <w:ilvl w:val="0"/>
          <w:numId w:val="67"/>
        </w:numPr>
        <w:suppressAutoHyphens w:val="0"/>
        <w:autoSpaceDN/>
        <w:spacing w:before="0" w:after="160" w:line="259" w:lineRule="auto"/>
        <w:contextualSpacing/>
        <w:textAlignment w:val="auto"/>
        <w:rPr>
          <w:rFonts w:ascii="Calibri" w:hAnsi="Calibri" w:cs="Calibri"/>
          <w:lang w:val="en-GB"/>
        </w:rPr>
      </w:pPr>
      <w:r w:rsidRPr="00895CAF">
        <w:rPr>
          <w:rFonts w:ascii="Calibri" w:hAnsi="Calibri" w:cs="Calibri"/>
          <w:lang w:val="en-GB"/>
        </w:rPr>
        <w:lastRenderedPageBreak/>
        <w:t xml:space="preserve">prevention or mitigation harmful interventions of people and disturbances in nature </w:t>
      </w:r>
      <w:proofErr w:type="gramStart"/>
      <w:r w:rsidRPr="00895CAF">
        <w:rPr>
          <w:rFonts w:ascii="Calibri" w:hAnsi="Calibri" w:cs="Calibri"/>
          <w:lang w:val="en-GB"/>
        </w:rPr>
        <w:t>as a consequence of</w:t>
      </w:r>
      <w:proofErr w:type="gramEnd"/>
      <w:r w:rsidRPr="00895CAF">
        <w:rPr>
          <w:rFonts w:ascii="Calibri" w:hAnsi="Calibri" w:cs="Calibri"/>
          <w:lang w:val="en-GB"/>
        </w:rPr>
        <w:t xml:space="preserve"> technological development and activities performance.</w:t>
      </w:r>
    </w:p>
    <w:p w14:paraId="6C991F02" w14:textId="77777777" w:rsidR="00E23620" w:rsidRDefault="00E23620" w:rsidP="00970CE6">
      <w:pPr>
        <w:suppressAutoHyphens w:val="0"/>
        <w:autoSpaceDN/>
        <w:textAlignment w:val="auto"/>
        <w:rPr>
          <w:rFonts w:ascii="Calibri" w:hAnsi="Calibri" w:cs="Calibri"/>
          <w:lang w:val="en-GB"/>
        </w:rPr>
      </w:pPr>
    </w:p>
    <w:p w14:paraId="77D4D719" w14:textId="3B37F404" w:rsidR="00895CAF" w:rsidRPr="00895CAF" w:rsidRDefault="00895CAF" w:rsidP="00970CE6">
      <w:pPr>
        <w:suppressAutoHyphens w:val="0"/>
        <w:autoSpaceDN/>
        <w:textAlignment w:val="auto"/>
        <w:rPr>
          <w:rFonts w:ascii="Calibri" w:hAnsi="Calibri" w:cs="Calibri"/>
          <w:lang w:val="en-GB"/>
        </w:rPr>
      </w:pPr>
      <w:r w:rsidRPr="00895CAF">
        <w:rPr>
          <w:rFonts w:ascii="Calibri" w:hAnsi="Calibri" w:cs="Calibri"/>
          <w:lang w:val="en-GB"/>
        </w:rPr>
        <w:t>These objectives should be accomplished through application of nature protection principles and nature protection instruments, prescribed by this Act and sub-laws.</w:t>
      </w:r>
    </w:p>
    <w:p w14:paraId="3B4CE047"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Nature protection and conservation principles are following: everyone must behave in such a way as to contribute to the conservation of biodiversity, landscape diversity and geodiversity and to the conservation role of nature; non-renewable natural assets should be used rationally and renewable natural assets sustainably; in the use of natural resources and spatial planning it is obligatory to apply the principles of sustainable use; nature protection is the obligation of every natural and legal person, and in that manner they are obliged to cooperate in order to avoid and prevent dangerous actions and damage, remove and repair the consequences of damage and restore natural conditions that existed before the damage; precautions, when there is a threat of serious or irreparable damage to nature; the public has the right to free access to information on the state of nature.</w:t>
      </w:r>
    </w:p>
    <w:p w14:paraId="0F44E9EC"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lang w:val="en-GB"/>
        </w:rPr>
        <w:t xml:space="preserve">Different instruments and procedures are defined by this Act </w:t>
      </w:r>
      <w:proofErr w:type="gramStart"/>
      <w:r w:rsidRPr="00895CAF">
        <w:rPr>
          <w:rFonts w:ascii="Calibri" w:hAnsi="Calibri" w:cs="Calibri"/>
          <w:lang w:val="en-GB"/>
        </w:rPr>
        <w:t>like:</w:t>
      </w:r>
      <w:proofErr w:type="gramEnd"/>
      <w:r w:rsidRPr="00895CAF">
        <w:rPr>
          <w:rFonts w:ascii="Calibri" w:hAnsi="Calibri" w:cs="Calibri"/>
          <w:lang w:val="en-GB"/>
        </w:rPr>
        <w:t xml:space="preserve"> competences in administrative and professional preforming of nature protection activities; ecological network acceptability assessment; environmental assessment of strategies, plans and programmes; obtaining certificates and permits for interventions in protected areas etc.</w:t>
      </w:r>
    </w:p>
    <w:p w14:paraId="61CECC50" w14:textId="07F2EA7D"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Act on Sustainable Waste Management</w:t>
      </w:r>
      <w:r w:rsidRPr="00895CAF">
        <w:rPr>
          <w:rFonts w:ascii="Calibri" w:hAnsi="Calibri" w:cs="Calibri"/>
          <w:lang w:val="en-GB"/>
        </w:rPr>
        <w:t xml:space="preserve"> lays down measures for the prevention or reduction of adverse impacts of waste on human health and the environment by reducing amounts of waste generated and/or produced, and regulates the management of waste which includes no operations posing a risk to human health and the environment and involves the use of valuable properties of waste. The provisions of this Act </w:t>
      </w:r>
      <w:r w:rsidR="00D33C57">
        <w:rPr>
          <w:rFonts w:ascii="Calibri" w:hAnsi="Calibri" w:cs="Calibri"/>
          <w:lang w:val="en-GB"/>
        </w:rPr>
        <w:t>define</w:t>
      </w:r>
      <w:r w:rsidRPr="00895CAF">
        <w:rPr>
          <w:rFonts w:ascii="Calibri" w:hAnsi="Calibri" w:cs="Calibri"/>
          <w:lang w:val="en-GB"/>
        </w:rPr>
        <w:t xml:space="preserve"> the system of waste management, including the waste management priority order, waste management principles, targets and methods, strategic and programming waste management documents, waste management responsibilities and obligations, </w:t>
      </w:r>
      <w:r w:rsidR="00D33C57">
        <w:rPr>
          <w:rFonts w:ascii="Calibri" w:hAnsi="Calibri" w:cs="Calibri"/>
          <w:lang w:val="en-GB"/>
        </w:rPr>
        <w:t xml:space="preserve">types of </w:t>
      </w:r>
      <w:r w:rsidRPr="00895CAF">
        <w:rPr>
          <w:rFonts w:ascii="Calibri" w:hAnsi="Calibri" w:cs="Calibri"/>
          <w:lang w:val="en-GB"/>
        </w:rPr>
        <w:t xml:space="preserve">waste management sites and facilities, waste management operations, transboundary movement of waste, the waste management information system, and administrative supervision and inspections of waste management. </w:t>
      </w:r>
    </w:p>
    <w:p w14:paraId="55810123"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 xml:space="preserve">Air Protection Act </w:t>
      </w:r>
      <w:r w:rsidRPr="00895CAF">
        <w:rPr>
          <w:rFonts w:ascii="Calibri" w:hAnsi="Calibri" w:cs="Calibri"/>
          <w:lang w:val="en-GB"/>
        </w:rPr>
        <w:t>determines the competence and responsibility for air protection, planning documents, monitoring and assessment of air quality, measures for prevention and reduction of air pollution, reporting on air quality and data exchange, air quality monitoring and air emissions, air protection information system, air protection financing, administrative and inspection supervision.</w:t>
      </w:r>
    </w:p>
    <w:p w14:paraId="51158104"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Water Act</w:t>
      </w:r>
      <w:r w:rsidRPr="00895CAF">
        <w:rPr>
          <w:rFonts w:ascii="Calibri" w:hAnsi="Calibri" w:cs="Calibri"/>
          <w:lang w:val="en-GB"/>
        </w:rPr>
        <w:t xml:space="preserve"> regulates the legal status of water, water resources and water structures, water quality and quantity management, protection against harmful effects of water, detailed reclamation drainage and irrigation, special activities for water management, institutional structure for conducting these activities and other issues related to waters and water well. </w:t>
      </w:r>
    </w:p>
    <w:p w14:paraId="41036679" w14:textId="77777777" w:rsidR="00895CAF" w:rsidRPr="00895CAF" w:rsidRDefault="00895CAF" w:rsidP="00895CAF">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t>Energy Efficiency Act</w:t>
      </w:r>
      <w:r w:rsidRPr="00895CAF">
        <w:rPr>
          <w:rFonts w:ascii="Calibri" w:hAnsi="Calibri" w:cs="Calibri"/>
          <w:lang w:val="en-GB"/>
        </w:rPr>
        <w:t xml:space="preserve"> regulates the area of energy efficient use , adoption of plans at the local, regional and national level for improving energy efficiency and their implementation, energy efficiency measures, energy efficiency obligations, obligations of the energy regulator, transmission system operator, distribution system operator and energy market operators in connection with the transmission, </w:t>
      </w:r>
      <w:proofErr w:type="spellStart"/>
      <w:r w:rsidRPr="00895CAF">
        <w:rPr>
          <w:rFonts w:ascii="Calibri" w:hAnsi="Calibri" w:cs="Calibri"/>
          <w:lang w:val="en-GB"/>
        </w:rPr>
        <w:t>ie</w:t>
      </w:r>
      <w:proofErr w:type="spellEnd"/>
      <w:r w:rsidRPr="00895CAF">
        <w:rPr>
          <w:rFonts w:ascii="Calibri" w:hAnsi="Calibri" w:cs="Calibri"/>
          <w:lang w:val="en-GB"/>
        </w:rPr>
        <w:t xml:space="preserve"> transport and distribution of energy, obligations of energy distributors, energy and / or water suppliers, and in particular energy service activities, determination of energy savings and consumer rights in the application of energy efficiency measures. </w:t>
      </w:r>
    </w:p>
    <w:p w14:paraId="5B60C1ED" w14:textId="0D1A69C5" w:rsidR="00895CAF" w:rsidRPr="00D33C57" w:rsidRDefault="00895CAF" w:rsidP="00D33C57">
      <w:pPr>
        <w:suppressAutoHyphens w:val="0"/>
        <w:autoSpaceDN/>
        <w:spacing w:before="0" w:after="160" w:line="259" w:lineRule="auto"/>
        <w:textAlignment w:val="auto"/>
        <w:rPr>
          <w:rFonts w:ascii="Calibri" w:hAnsi="Calibri" w:cs="Calibri"/>
          <w:lang w:val="en-GB"/>
        </w:rPr>
      </w:pPr>
      <w:r w:rsidRPr="00895CAF">
        <w:rPr>
          <w:rFonts w:ascii="Calibri" w:hAnsi="Calibri" w:cs="Calibri"/>
          <w:b/>
          <w:bCs/>
          <w:lang w:val="en-GB"/>
        </w:rPr>
        <w:lastRenderedPageBreak/>
        <w:t>Noise Protection Act</w:t>
      </w:r>
      <w:r w:rsidRPr="00895CAF">
        <w:rPr>
          <w:rFonts w:ascii="Calibri" w:hAnsi="Calibri" w:cs="Calibri"/>
          <w:lang w:val="en-GB"/>
        </w:rPr>
        <w:t xml:space="preserve"> establishes measures to avoid, prevent or reduce harmful effects on human health that cause environmental noise, including noise, in particular in relation to: determining noise exposure by making noise maps based on the method for assessing environmental noise, ensuring the availability of environmental data to the public, development and adoption of action plans based on data used in the development of noise maps. The provisions of this Act shall apply to the assessment and management of noise from the environment to which people are exposed, especially in built-up areas, public parks or other such areas in populated areas, in those areas in nature, in addition to schools, hospitals and other buildings.</w:t>
      </w:r>
    </w:p>
    <w:p w14:paraId="3A195D8D" w14:textId="673445A5" w:rsidR="00DB4244" w:rsidRPr="00AB7D1E" w:rsidRDefault="00DB4244" w:rsidP="00DB4244">
      <w:pPr>
        <w:rPr>
          <w:lang w:val="en-US"/>
        </w:rPr>
      </w:pPr>
      <w:r w:rsidRPr="00AB7D1E">
        <w:rPr>
          <w:lang w:val="en-US"/>
        </w:rPr>
        <w:t>Also</w:t>
      </w:r>
      <w:r w:rsidR="00F21D36" w:rsidRPr="00AB7D1E">
        <w:rPr>
          <w:lang w:val="en-US"/>
        </w:rPr>
        <w:t>,</w:t>
      </w:r>
      <w:r w:rsidRPr="00AB7D1E">
        <w:rPr>
          <w:lang w:val="en-US"/>
        </w:rPr>
        <w:t xml:space="preserve"> Croatia ratified Basel Convention </w:t>
      </w:r>
      <w:r w:rsidR="00BF50B0" w:rsidRPr="00AB7D1E">
        <w:rPr>
          <w:lang w:val="en-US"/>
        </w:rPr>
        <w:t xml:space="preserve">on the Control of Transboundary Movements of Hazardous Wastes and their Disposal. </w:t>
      </w:r>
      <w:r w:rsidRPr="00AB7D1E">
        <w:rPr>
          <w:lang w:val="en-US"/>
        </w:rPr>
        <w:t>Basel Convention on the Control of Transboundary Movements of Hazardous Wastes and Their Disposal (Basel 1989), Published in OG–IT No. 3/94, came into force with respect to the Republic of Croatia on 7 August 1994.</w:t>
      </w:r>
      <w:r w:rsidR="00BF50B0" w:rsidRPr="00AB7D1E">
        <w:rPr>
          <w:lang w:val="en-US"/>
        </w:rPr>
        <w:t xml:space="preserve"> In 2019 Croatia ratified amendment to Basel Convention - </w:t>
      </w:r>
      <w:r w:rsidRPr="00AB7D1E">
        <w:rPr>
          <w:lang w:val="en-US"/>
        </w:rPr>
        <w:t>Act on Ratification of Amendments to the Basel Convention on the Control of Transboundary Movements of Hazardous Wastes and Their Disposal OG-IT No. 7/19</w:t>
      </w:r>
      <w:r w:rsidR="00BF50B0" w:rsidRPr="00AB7D1E">
        <w:rPr>
          <w:lang w:val="en-US"/>
        </w:rPr>
        <w:t>.</w:t>
      </w:r>
    </w:p>
    <w:p w14:paraId="30783B5D" w14:textId="606C61C7" w:rsidR="00AB7422" w:rsidRPr="00AB7422" w:rsidRDefault="00AB7422" w:rsidP="00AB7422">
      <w:pPr>
        <w:rPr>
          <w:rFonts w:ascii="Calibri" w:hAnsi="Calibri"/>
          <w:lang w:val="en-US"/>
        </w:rPr>
      </w:pPr>
      <w:r>
        <w:rPr>
          <w:rFonts w:ascii="Calibri" w:hAnsi="Calibri"/>
          <w:lang w:val="en-US"/>
        </w:rPr>
        <w:t>Other t</w:t>
      </w:r>
      <w:r w:rsidRPr="00AB7422">
        <w:rPr>
          <w:rFonts w:ascii="Calibri" w:hAnsi="Calibri"/>
          <w:lang w:val="en-US"/>
        </w:rPr>
        <w:t>he most important sub-legislation from the perspective of project activities, which arise from the primary environmental laws are as follows:</w:t>
      </w:r>
    </w:p>
    <w:p w14:paraId="0F8A3E3F"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Regulation on information and participation of the public and interested public in environmental issues (OG 64/08);</w:t>
      </w:r>
    </w:p>
    <w:p w14:paraId="4582BA19"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the environmental pollution register (OG 87/15);</w:t>
      </w:r>
    </w:p>
    <w:p w14:paraId="432A284C"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Regulation on the ecological network and the competencies of public institutions for the management of ecological network areas (OG 80/19);</w:t>
      </w:r>
    </w:p>
    <w:p w14:paraId="4358D5EF"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 xml:space="preserve">Ordinance on waste catalogue (OG 90/15); </w:t>
      </w:r>
    </w:p>
    <w:p w14:paraId="421401FF"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waste management (OG 81/20);</w:t>
      </w:r>
    </w:p>
    <w:p w14:paraId="149D7B1E" w14:textId="77777777" w:rsidR="00AB7422" w:rsidRPr="00AB7422" w:rsidRDefault="00C40C75" w:rsidP="00BE60A0">
      <w:pPr>
        <w:numPr>
          <w:ilvl w:val="0"/>
          <w:numId w:val="29"/>
        </w:numPr>
        <w:rPr>
          <w:rFonts w:ascii="Calibri" w:hAnsi="Calibri"/>
          <w:lang w:val="en-US"/>
        </w:rPr>
      </w:pPr>
      <w:hyperlink r:id="rId38" w:history="1">
        <w:proofErr w:type="spellStart"/>
        <w:r w:rsidR="00AB7422" w:rsidRPr="00AB7422">
          <w:rPr>
            <w:rFonts w:ascii="Calibri" w:hAnsi="Calibri"/>
          </w:rPr>
          <w:t>Ordinance</w:t>
        </w:r>
        <w:proofErr w:type="spellEnd"/>
        <w:r w:rsidR="00AB7422" w:rsidRPr="00AB7422">
          <w:rPr>
            <w:rFonts w:ascii="Calibri" w:hAnsi="Calibri"/>
          </w:rPr>
          <w:t xml:space="preserve"> on </w:t>
        </w:r>
        <w:proofErr w:type="spellStart"/>
        <w:r w:rsidR="00AB7422" w:rsidRPr="00AB7422">
          <w:rPr>
            <w:rFonts w:ascii="Calibri" w:hAnsi="Calibri"/>
          </w:rPr>
          <w:t>medical</w:t>
        </w:r>
        <w:proofErr w:type="spellEnd"/>
        <w:r w:rsidR="00AB7422" w:rsidRPr="00AB7422">
          <w:rPr>
            <w:rFonts w:ascii="Calibri" w:hAnsi="Calibri"/>
          </w:rPr>
          <w:t xml:space="preserve"> </w:t>
        </w:r>
        <w:proofErr w:type="spellStart"/>
        <w:r w:rsidR="00AB7422" w:rsidRPr="00AB7422">
          <w:rPr>
            <w:rFonts w:ascii="Calibri" w:hAnsi="Calibri"/>
          </w:rPr>
          <w:t>waste</w:t>
        </w:r>
        <w:proofErr w:type="spellEnd"/>
        <w:r w:rsidR="00AB7422" w:rsidRPr="00AB7422">
          <w:rPr>
            <w:rFonts w:ascii="Calibri" w:hAnsi="Calibri"/>
          </w:rPr>
          <w:t xml:space="preserve"> management (OG 50/15</w:t>
        </w:r>
      </w:hyperlink>
      <w:r w:rsidR="00AB7422" w:rsidRPr="00AB7422">
        <w:rPr>
          <w:rFonts w:ascii="Calibri" w:hAnsi="Calibri"/>
          <w:lang w:val="en-US"/>
        </w:rPr>
        <w:t>);</w:t>
      </w:r>
    </w:p>
    <w:p w14:paraId="7888DB74"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Regulation on municipal waste management (OG 50/17, 84/19);</w:t>
      </w:r>
    </w:p>
    <w:p w14:paraId="3557DBC4"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the monitoring of emissions of pollutants into the air from stationary sources (OG 129/12, 97/13);</w:t>
      </w:r>
    </w:p>
    <w:p w14:paraId="0696B3F7" w14:textId="77777777" w:rsidR="00AB7422" w:rsidRPr="00AB7422" w:rsidRDefault="00C40C75" w:rsidP="00BE60A0">
      <w:pPr>
        <w:numPr>
          <w:ilvl w:val="0"/>
          <w:numId w:val="29"/>
        </w:numPr>
        <w:rPr>
          <w:rFonts w:ascii="Calibri" w:hAnsi="Calibri"/>
          <w:lang w:val="en-US"/>
        </w:rPr>
      </w:pPr>
      <w:hyperlink r:id="rId39" w:history="1">
        <w:proofErr w:type="spellStart"/>
        <w:r w:rsidR="00AB7422" w:rsidRPr="00AB7422">
          <w:rPr>
            <w:rFonts w:ascii="Calibri" w:hAnsi="Calibri"/>
          </w:rPr>
          <w:t>Regulation</w:t>
        </w:r>
        <w:proofErr w:type="spellEnd"/>
        <w:r w:rsidR="00AB7422" w:rsidRPr="00AB7422">
          <w:rPr>
            <w:rFonts w:ascii="Calibri" w:hAnsi="Calibri"/>
          </w:rPr>
          <w:t xml:space="preserve"> on limit </w:t>
        </w:r>
        <w:proofErr w:type="spellStart"/>
        <w:r w:rsidR="00AB7422" w:rsidRPr="00AB7422">
          <w:rPr>
            <w:rFonts w:ascii="Calibri" w:hAnsi="Calibri"/>
          </w:rPr>
          <w:t>values</w:t>
        </w:r>
        <w:proofErr w:type="spellEnd"/>
        <w:r w:rsidR="00AB7422" w:rsidRPr="00AB7422">
          <w:rPr>
            <w:rFonts w:ascii="Calibri" w:hAnsi="Calibri"/>
          </w:rPr>
          <w:t xml:space="preserve"> </w:t>
        </w:r>
        <w:proofErr w:type="spellStart"/>
        <w:r w:rsidR="00AB7422" w:rsidRPr="00AB7422">
          <w:rPr>
            <w:rFonts w:ascii="Calibri" w:hAnsi="Calibri"/>
          </w:rPr>
          <w:t>of</w:t>
        </w:r>
        <w:proofErr w:type="spellEnd"/>
        <w:r w:rsidR="00AB7422" w:rsidRPr="00AB7422">
          <w:rPr>
            <w:rFonts w:ascii="Calibri" w:hAnsi="Calibri"/>
          </w:rPr>
          <w:t xml:space="preserve"> </w:t>
        </w:r>
        <w:proofErr w:type="spellStart"/>
        <w:r w:rsidR="00AB7422" w:rsidRPr="00AB7422">
          <w:rPr>
            <w:rFonts w:ascii="Calibri" w:hAnsi="Calibri"/>
          </w:rPr>
          <w:t>emissions</w:t>
        </w:r>
        <w:proofErr w:type="spellEnd"/>
        <w:r w:rsidR="00AB7422" w:rsidRPr="00AB7422">
          <w:rPr>
            <w:rFonts w:ascii="Calibri" w:hAnsi="Calibri"/>
          </w:rPr>
          <w:t xml:space="preserve"> </w:t>
        </w:r>
        <w:proofErr w:type="spellStart"/>
        <w:r w:rsidR="00AB7422" w:rsidRPr="00AB7422">
          <w:rPr>
            <w:rFonts w:ascii="Calibri" w:hAnsi="Calibri"/>
          </w:rPr>
          <w:t>of</w:t>
        </w:r>
        <w:proofErr w:type="spellEnd"/>
        <w:r w:rsidR="00AB7422" w:rsidRPr="00AB7422">
          <w:rPr>
            <w:rFonts w:ascii="Calibri" w:hAnsi="Calibri"/>
          </w:rPr>
          <w:t xml:space="preserve"> </w:t>
        </w:r>
        <w:proofErr w:type="spellStart"/>
        <w:r w:rsidR="00AB7422" w:rsidRPr="00AB7422">
          <w:rPr>
            <w:rFonts w:ascii="Calibri" w:hAnsi="Calibri"/>
          </w:rPr>
          <w:t>pollutants</w:t>
        </w:r>
        <w:proofErr w:type="spellEnd"/>
        <w:r w:rsidR="00AB7422" w:rsidRPr="00AB7422">
          <w:rPr>
            <w:rFonts w:ascii="Calibri" w:hAnsi="Calibri"/>
          </w:rPr>
          <w:t xml:space="preserve"> </w:t>
        </w:r>
        <w:proofErr w:type="spellStart"/>
        <w:r w:rsidR="00AB7422" w:rsidRPr="00AB7422">
          <w:rPr>
            <w:rFonts w:ascii="Calibri" w:hAnsi="Calibri"/>
          </w:rPr>
          <w:t>into</w:t>
        </w:r>
        <w:proofErr w:type="spellEnd"/>
        <w:r w:rsidR="00AB7422" w:rsidRPr="00AB7422">
          <w:rPr>
            <w:rFonts w:ascii="Calibri" w:hAnsi="Calibri"/>
          </w:rPr>
          <w:t xml:space="preserve"> </w:t>
        </w:r>
        <w:proofErr w:type="spellStart"/>
        <w:r w:rsidR="00AB7422" w:rsidRPr="00AB7422">
          <w:rPr>
            <w:rFonts w:ascii="Calibri" w:hAnsi="Calibri"/>
          </w:rPr>
          <w:t>the</w:t>
        </w:r>
        <w:proofErr w:type="spellEnd"/>
        <w:r w:rsidR="00AB7422" w:rsidRPr="00AB7422">
          <w:rPr>
            <w:rFonts w:ascii="Calibri" w:hAnsi="Calibri"/>
          </w:rPr>
          <w:t xml:space="preserve"> </w:t>
        </w:r>
        <w:proofErr w:type="spellStart"/>
        <w:r w:rsidR="00AB7422" w:rsidRPr="00AB7422">
          <w:rPr>
            <w:rFonts w:ascii="Calibri" w:hAnsi="Calibri"/>
          </w:rPr>
          <w:t>air</w:t>
        </w:r>
        <w:proofErr w:type="spellEnd"/>
        <w:r w:rsidR="00AB7422" w:rsidRPr="00AB7422">
          <w:rPr>
            <w:rFonts w:ascii="Calibri" w:hAnsi="Calibri"/>
          </w:rPr>
          <w:t xml:space="preserve"> </w:t>
        </w:r>
        <w:proofErr w:type="spellStart"/>
        <w:r w:rsidR="00AB7422" w:rsidRPr="00AB7422">
          <w:rPr>
            <w:rFonts w:ascii="Calibri" w:hAnsi="Calibri"/>
          </w:rPr>
          <w:t>from</w:t>
        </w:r>
        <w:proofErr w:type="spellEnd"/>
        <w:r w:rsidR="00AB7422" w:rsidRPr="00AB7422">
          <w:rPr>
            <w:rFonts w:ascii="Calibri" w:hAnsi="Calibri"/>
          </w:rPr>
          <w:t xml:space="preserve"> </w:t>
        </w:r>
        <w:proofErr w:type="spellStart"/>
        <w:r w:rsidR="00AB7422" w:rsidRPr="00AB7422">
          <w:rPr>
            <w:rFonts w:ascii="Calibri" w:hAnsi="Calibri"/>
          </w:rPr>
          <w:t>immovable</w:t>
        </w:r>
        <w:proofErr w:type="spellEnd"/>
        <w:r w:rsidR="00AB7422" w:rsidRPr="00AB7422">
          <w:rPr>
            <w:rFonts w:ascii="Calibri" w:hAnsi="Calibri"/>
          </w:rPr>
          <w:t xml:space="preserve"> </w:t>
        </w:r>
        <w:proofErr w:type="spellStart"/>
        <w:r w:rsidR="00AB7422" w:rsidRPr="00AB7422">
          <w:rPr>
            <w:rFonts w:ascii="Calibri" w:hAnsi="Calibri"/>
          </w:rPr>
          <w:t>sources</w:t>
        </w:r>
        <w:proofErr w:type="spellEnd"/>
        <w:r w:rsidR="00AB7422" w:rsidRPr="00AB7422">
          <w:rPr>
            <w:rFonts w:ascii="Calibri" w:hAnsi="Calibri"/>
          </w:rPr>
          <w:t xml:space="preserve"> (OG 87/17)</w:t>
        </w:r>
      </w:hyperlink>
      <w:r w:rsidR="00AB7422" w:rsidRPr="00AB7422">
        <w:rPr>
          <w:rFonts w:ascii="Calibri" w:hAnsi="Calibri"/>
          <w:lang w:val="en-US"/>
        </w:rPr>
        <w:t>;</w:t>
      </w:r>
    </w:p>
    <w:p w14:paraId="5E82C253"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air quality monitoring (OG 72/20);</w:t>
      </w:r>
    </w:p>
    <w:p w14:paraId="5965E1D0"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issuance of water law acts (OG 9/20);</w:t>
      </w:r>
    </w:p>
    <w:p w14:paraId="3494C579"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limit values of wastewater emissions (OG 26/20);</w:t>
      </w:r>
    </w:p>
    <w:p w14:paraId="4A6895CA" w14:textId="77777777" w:rsidR="00AB7422" w:rsidRPr="00AB7422" w:rsidRDefault="00AB7422" w:rsidP="00BE60A0">
      <w:pPr>
        <w:numPr>
          <w:ilvl w:val="0"/>
          <w:numId w:val="29"/>
        </w:numPr>
        <w:rPr>
          <w:rFonts w:ascii="Calibri" w:hAnsi="Calibri"/>
          <w:lang w:val="en-US"/>
        </w:rPr>
      </w:pPr>
      <w:r w:rsidRPr="00AB7422">
        <w:rPr>
          <w:rFonts w:ascii="Calibri" w:hAnsi="Calibri"/>
          <w:lang w:val="en-US"/>
        </w:rPr>
        <w:t>Ordinance on energy audit of buildings and energy certification (OG 88/17, 90/20);</w:t>
      </w:r>
    </w:p>
    <w:p w14:paraId="5B57BC9F" w14:textId="65D67739" w:rsidR="00AB7422" w:rsidRPr="00AB7422" w:rsidRDefault="00AB7422" w:rsidP="00BE60A0">
      <w:pPr>
        <w:numPr>
          <w:ilvl w:val="0"/>
          <w:numId w:val="29"/>
        </w:numPr>
        <w:rPr>
          <w:rFonts w:ascii="Calibri" w:hAnsi="Calibri"/>
          <w:i/>
          <w:iCs/>
          <w:lang w:val="en-US"/>
        </w:rPr>
      </w:pPr>
      <w:r w:rsidRPr="00AB7422">
        <w:rPr>
          <w:rFonts w:ascii="Calibri" w:hAnsi="Calibri"/>
          <w:lang w:val="en-US"/>
        </w:rPr>
        <w:t>Ordinance on the method of preparation and content of noise maps and action plans and on the method of calculation of permitted noise indicators (OG 75/09, 60/16, 117/18)</w:t>
      </w:r>
      <w:r w:rsidRPr="00AB7422">
        <w:rPr>
          <w:rFonts w:ascii="Calibri" w:hAnsi="Calibri"/>
          <w:i/>
          <w:iCs/>
          <w:lang w:val="en-US"/>
        </w:rPr>
        <w:t>.</w:t>
      </w:r>
    </w:p>
    <w:p w14:paraId="01FE4EC3" w14:textId="7B6135BE" w:rsidR="00986410" w:rsidRPr="00AB7D1E" w:rsidRDefault="00986410" w:rsidP="00986410">
      <w:pPr>
        <w:rPr>
          <w:lang w:val="en-US"/>
        </w:rPr>
      </w:pPr>
      <w:r w:rsidRPr="00AB7D1E">
        <w:rPr>
          <w:lang w:val="en-US"/>
        </w:rPr>
        <w:t xml:space="preserve">Detailed information on primary laws and sub-legislation is available at web site of </w:t>
      </w:r>
      <w:proofErr w:type="spellStart"/>
      <w:r w:rsidRPr="00AB7D1E">
        <w:rPr>
          <w:lang w:val="en-US"/>
        </w:rPr>
        <w:t>Mo</w:t>
      </w:r>
      <w:r w:rsidR="00236BCE" w:rsidRPr="00AB7D1E">
        <w:rPr>
          <w:lang w:val="en-US"/>
        </w:rPr>
        <w:t>ESD</w:t>
      </w:r>
      <w:proofErr w:type="spellEnd"/>
      <w:r w:rsidRPr="00AB7D1E">
        <w:rPr>
          <w:lang w:val="en-US"/>
        </w:rPr>
        <w:t xml:space="preserve">: </w:t>
      </w:r>
      <w:hyperlink r:id="rId40" w:history="1">
        <w:r w:rsidRPr="00AB7D1E">
          <w:rPr>
            <w:rStyle w:val="Hyperlink"/>
            <w:lang w:val="en-US"/>
          </w:rPr>
          <w:t>https://mzoe.gov.hr/o-ministarstvu-1065/djelokrug-4925/4925</w:t>
        </w:r>
      </w:hyperlink>
    </w:p>
    <w:p w14:paraId="636FADEF" w14:textId="768826E2" w:rsidR="00DA18D0" w:rsidRPr="00AB7D1E" w:rsidRDefault="00DA18D0" w:rsidP="00DA18D0">
      <w:pPr>
        <w:rPr>
          <w:lang w:val="en-US"/>
        </w:rPr>
      </w:pPr>
      <w:r w:rsidRPr="00AB7D1E">
        <w:rPr>
          <w:lang w:val="en-US"/>
        </w:rPr>
        <w:t>The environmental legal, regulatory and policy framework in the Republic of Croatia is ensured through the following main instruments:</w:t>
      </w:r>
    </w:p>
    <w:p w14:paraId="4E709C2A" w14:textId="5C0F9933" w:rsidR="00DA18D0" w:rsidRPr="00AB7D1E" w:rsidRDefault="00DA18D0" w:rsidP="00BE60A0">
      <w:pPr>
        <w:pStyle w:val="ListParagraph"/>
        <w:numPr>
          <w:ilvl w:val="0"/>
          <w:numId w:val="29"/>
        </w:numPr>
        <w:rPr>
          <w:lang w:val="en-US"/>
        </w:rPr>
      </w:pPr>
      <w:r w:rsidRPr="00AB7D1E">
        <w:rPr>
          <w:lang w:val="en-US"/>
        </w:rPr>
        <w:t xml:space="preserve">Environment Impact Assessment </w:t>
      </w:r>
    </w:p>
    <w:p w14:paraId="71BC07C0" w14:textId="77777777" w:rsidR="00986410" w:rsidRPr="00AB7D1E" w:rsidRDefault="00986410" w:rsidP="00BE60A0">
      <w:pPr>
        <w:pStyle w:val="ListParagraph"/>
        <w:numPr>
          <w:ilvl w:val="0"/>
          <w:numId w:val="29"/>
        </w:numPr>
        <w:rPr>
          <w:lang w:val="en-US"/>
        </w:rPr>
      </w:pPr>
      <w:r w:rsidRPr="00AB7D1E">
        <w:rPr>
          <w:lang w:val="en-US"/>
        </w:rPr>
        <w:lastRenderedPageBreak/>
        <w:t>Location and Building permitting process</w:t>
      </w:r>
    </w:p>
    <w:p w14:paraId="5123D824" w14:textId="55823D2C" w:rsidR="00DA18D0" w:rsidRPr="00AB7D1E" w:rsidRDefault="00DA18D0" w:rsidP="00BE60A0">
      <w:pPr>
        <w:pStyle w:val="ListParagraph"/>
        <w:numPr>
          <w:ilvl w:val="0"/>
          <w:numId w:val="29"/>
        </w:numPr>
        <w:rPr>
          <w:lang w:val="en-US"/>
        </w:rPr>
      </w:pPr>
      <w:r w:rsidRPr="00AB7D1E">
        <w:rPr>
          <w:lang w:val="en-US"/>
        </w:rPr>
        <w:t xml:space="preserve">Physical Planning </w:t>
      </w:r>
    </w:p>
    <w:p w14:paraId="115F6E07" w14:textId="77777777" w:rsidR="00986410" w:rsidRPr="00AB7D1E" w:rsidRDefault="00986410" w:rsidP="00986410">
      <w:pPr>
        <w:rPr>
          <w:rFonts w:ascii="Calibri" w:hAnsi="Calibri"/>
          <w:lang w:val="en-US"/>
        </w:rPr>
      </w:pPr>
      <w:r w:rsidRPr="00AB7D1E">
        <w:rPr>
          <w:rFonts w:ascii="Calibri" w:hAnsi="Calibri"/>
          <w:lang w:val="en-US"/>
        </w:rPr>
        <w:t>The regulations in the field of spatial planning determine the possibility of construction on certain land, the basic conditions for construction. This legislation defines criteria based on which a location permit is issued.</w:t>
      </w:r>
    </w:p>
    <w:p w14:paraId="150CBD84" w14:textId="77777777" w:rsidR="00986410" w:rsidRPr="00AB7D1E" w:rsidRDefault="00986410" w:rsidP="00986410">
      <w:pPr>
        <w:rPr>
          <w:rFonts w:ascii="Calibri" w:hAnsi="Calibri"/>
          <w:lang w:val="en-US"/>
        </w:rPr>
      </w:pPr>
      <w:r w:rsidRPr="00AB7D1E">
        <w:rPr>
          <w:rFonts w:ascii="Calibri" w:hAnsi="Calibri"/>
          <w:lang w:val="en-US"/>
        </w:rPr>
        <w:t xml:space="preserve">Physical planning is defined by Physical Planning Act (OG 153/13, 65/17, 114/18, 39/19, 98/19) and other regulation (main requirements for physical planning, strategic and planning documents, procedures for their adoption and implementation, procedure for issuing location permit etc.). </w:t>
      </w:r>
    </w:p>
    <w:p w14:paraId="24CF228F" w14:textId="4A4524C7" w:rsidR="00986410" w:rsidRPr="00AB7D1E" w:rsidRDefault="00986410" w:rsidP="00986410">
      <w:pPr>
        <w:rPr>
          <w:rFonts w:ascii="Calibri" w:hAnsi="Calibri"/>
          <w:lang w:val="en-US"/>
        </w:rPr>
      </w:pPr>
      <w:r w:rsidRPr="00AB7D1E">
        <w:rPr>
          <w:rFonts w:ascii="Calibri" w:hAnsi="Calibri"/>
          <w:lang w:val="en-US"/>
        </w:rPr>
        <w:t>The implementation of every project, thus including also projects of infrastructure development, reconstruction etc.</w:t>
      </w:r>
      <w:r w:rsidR="00302FE0" w:rsidRPr="00AB7D1E">
        <w:rPr>
          <w:rFonts w:ascii="Calibri" w:hAnsi="Calibri"/>
          <w:lang w:val="en-US"/>
        </w:rPr>
        <w:t>,</w:t>
      </w:r>
      <w:r w:rsidRPr="00AB7D1E">
        <w:rPr>
          <w:rFonts w:ascii="Calibri" w:hAnsi="Calibri"/>
          <w:lang w:val="en-US"/>
        </w:rPr>
        <w:t xml:space="preserve"> have to be carried out on “land” on which the construction of a certain structure is allowed, meaning the land has to be so-called building land on which, in line with effective physical planning documents or physical plans, the respective location permit can be obtained in conformity with the provisions of the Physical Planning Act. This is additional safeguard mechanism closely related to the environment.</w:t>
      </w:r>
    </w:p>
    <w:p w14:paraId="396D84DE" w14:textId="77777777" w:rsidR="00986410" w:rsidRPr="00AB7D1E" w:rsidRDefault="00986410" w:rsidP="00986410">
      <w:pPr>
        <w:rPr>
          <w:rFonts w:ascii="Calibri" w:hAnsi="Calibri"/>
          <w:lang w:val="en-US"/>
        </w:rPr>
      </w:pPr>
      <w:r w:rsidRPr="00AB7D1E">
        <w:rPr>
          <w:rFonts w:ascii="Calibri" w:hAnsi="Calibri"/>
          <w:lang w:val="en-US"/>
        </w:rPr>
        <w:t>The location of the planned activities/projects must be marked in physical plans, before the construction starts. State/county/local Physical Plans already give certain measures and limitations regarding the improvement and protection of nature and the environment, cultural heritage and other protected values.</w:t>
      </w:r>
    </w:p>
    <w:p w14:paraId="398F05FA" w14:textId="176B3FD0" w:rsidR="00986410" w:rsidRPr="00AB7D1E" w:rsidRDefault="00986410" w:rsidP="00986410">
      <w:pPr>
        <w:rPr>
          <w:rFonts w:ascii="Calibri" w:hAnsi="Calibri"/>
          <w:b/>
          <w:bCs/>
          <w:lang w:val="en-US"/>
        </w:rPr>
      </w:pPr>
      <w:r w:rsidRPr="00AB7D1E">
        <w:rPr>
          <w:rFonts w:ascii="Calibri" w:hAnsi="Calibri"/>
          <w:b/>
          <w:bCs/>
          <w:lang w:val="en-US"/>
        </w:rPr>
        <w:t xml:space="preserve">All buildings </w:t>
      </w:r>
      <w:r w:rsidR="00656081" w:rsidRPr="00AB7D1E">
        <w:rPr>
          <w:rFonts w:ascii="Calibri" w:hAnsi="Calibri"/>
          <w:b/>
          <w:bCs/>
          <w:lang w:val="en-US"/>
        </w:rPr>
        <w:t xml:space="preserve">(public health laboratories) </w:t>
      </w:r>
      <w:r w:rsidRPr="00AB7D1E">
        <w:rPr>
          <w:rFonts w:ascii="Calibri" w:hAnsi="Calibri"/>
          <w:b/>
          <w:bCs/>
          <w:lang w:val="en-US"/>
        </w:rPr>
        <w:t xml:space="preserve">subject of this project will be </w:t>
      </w:r>
      <w:r w:rsidR="00A24A9F" w:rsidRPr="00AB7D1E">
        <w:rPr>
          <w:rFonts w:ascii="Calibri" w:hAnsi="Calibri"/>
          <w:b/>
          <w:bCs/>
          <w:lang w:val="en-US"/>
        </w:rPr>
        <w:t>repaired/</w:t>
      </w:r>
      <w:r w:rsidR="00656081" w:rsidRPr="00AB7D1E">
        <w:rPr>
          <w:rFonts w:ascii="Calibri" w:hAnsi="Calibri"/>
          <w:b/>
          <w:bCs/>
          <w:lang w:val="en-US"/>
        </w:rPr>
        <w:t>rehabilitated</w:t>
      </w:r>
      <w:r w:rsidR="00A24A9F" w:rsidRPr="00AB7D1E">
        <w:rPr>
          <w:rFonts w:ascii="Calibri" w:hAnsi="Calibri"/>
          <w:b/>
          <w:bCs/>
          <w:lang w:val="en-US"/>
        </w:rPr>
        <w:t xml:space="preserve"> </w:t>
      </w:r>
      <w:r w:rsidRPr="00AB7D1E">
        <w:rPr>
          <w:rFonts w:ascii="Calibri" w:hAnsi="Calibri"/>
          <w:b/>
          <w:bCs/>
          <w:lang w:val="en-US"/>
        </w:rPr>
        <w:t>in situ within the bounds of existing building footprints and thus physical planning environmental mechanism is not considered as relevant for this project.</w:t>
      </w:r>
    </w:p>
    <w:p w14:paraId="00719489" w14:textId="3B54A177" w:rsidR="00986410" w:rsidRPr="00AB7D1E" w:rsidRDefault="00986410" w:rsidP="00986410">
      <w:pPr>
        <w:rPr>
          <w:lang w:val="en-US"/>
        </w:rPr>
      </w:pPr>
      <w:r w:rsidRPr="00AB7D1E">
        <w:rPr>
          <w:lang w:val="en-US"/>
        </w:rPr>
        <w:t xml:space="preserve">In </w:t>
      </w:r>
      <w:r w:rsidR="004F583A" w:rsidRPr="00AB7D1E">
        <w:rPr>
          <w:lang w:val="en-US"/>
        </w:rPr>
        <w:t>C</w:t>
      </w:r>
      <w:r w:rsidRPr="00AB7D1E">
        <w:rPr>
          <w:lang w:val="en-US"/>
        </w:rPr>
        <w:t xml:space="preserve">hapter </w:t>
      </w:r>
      <w:r w:rsidR="004F583A" w:rsidRPr="00AB7D1E">
        <w:rPr>
          <w:lang w:val="en-US"/>
        </w:rPr>
        <w:fldChar w:fldCharType="begin"/>
      </w:r>
      <w:r w:rsidR="004F583A" w:rsidRPr="00AB7D1E">
        <w:rPr>
          <w:lang w:val="en-US"/>
        </w:rPr>
        <w:instrText xml:space="preserve"> REF _Ref48062126 \r \h  \* MERGEFORMAT </w:instrText>
      </w:r>
      <w:r w:rsidR="004F583A" w:rsidRPr="00AB7D1E">
        <w:rPr>
          <w:lang w:val="en-US"/>
        </w:rPr>
      </w:r>
      <w:r w:rsidR="004F583A" w:rsidRPr="00AB7D1E">
        <w:rPr>
          <w:lang w:val="en-US"/>
        </w:rPr>
        <w:fldChar w:fldCharType="separate"/>
      </w:r>
      <w:r w:rsidR="007D1E1B">
        <w:rPr>
          <w:lang w:val="en-US"/>
        </w:rPr>
        <w:t>4.1.4</w:t>
      </w:r>
      <w:r w:rsidR="004F583A" w:rsidRPr="00AB7D1E">
        <w:rPr>
          <w:lang w:val="en-US"/>
        </w:rPr>
        <w:fldChar w:fldCharType="end"/>
      </w:r>
      <w:r w:rsidR="004F583A" w:rsidRPr="00AB7D1E">
        <w:rPr>
          <w:lang w:val="en-US"/>
        </w:rPr>
        <w:t xml:space="preserve"> and Chapter </w:t>
      </w:r>
      <w:r w:rsidR="004F583A" w:rsidRPr="00AB7D1E">
        <w:rPr>
          <w:lang w:val="en-US"/>
        </w:rPr>
        <w:fldChar w:fldCharType="begin"/>
      </w:r>
      <w:r w:rsidR="004F583A" w:rsidRPr="00AB7D1E">
        <w:rPr>
          <w:lang w:val="en-US"/>
        </w:rPr>
        <w:instrText xml:space="preserve"> REF _Ref48062133 \r \h  \* MERGEFORMAT </w:instrText>
      </w:r>
      <w:r w:rsidR="004F583A" w:rsidRPr="00AB7D1E">
        <w:rPr>
          <w:lang w:val="en-US"/>
        </w:rPr>
      </w:r>
      <w:r w:rsidR="004F583A" w:rsidRPr="00AB7D1E">
        <w:rPr>
          <w:lang w:val="en-US"/>
        </w:rPr>
        <w:fldChar w:fldCharType="separate"/>
      </w:r>
      <w:r w:rsidR="007D1E1B">
        <w:rPr>
          <w:lang w:val="en-US"/>
        </w:rPr>
        <w:t>4.1.5</w:t>
      </w:r>
      <w:r w:rsidR="004F583A" w:rsidRPr="00AB7D1E">
        <w:rPr>
          <w:lang w:val="en-US"/>
        </w:rPr>
        <w:fldChar w:fldCharType="end"/>
      </w:r>
      <w:r w:rsidRPr="00AB7D1E">
        <w:rPr>
          <w:lang w:val="en-US"/>
        </w:rPr>
        <w:t xml:space="preserve"> application of environment impact assessment and location and building permitting process are given in more details.</w:t>
      </w:r>
    </w:p>
    <w:p w14:paraId="647F768C" w14:textId="3AD4D30C" w:rsidR="00986410" w:rsidRPr="00AB7D1E" w:rsidRDefault="00986410" w:rsidP="0040564F">
      <w:pPr>
        <w:pStyle w:val="Heading3"/>
        <w:rPr>
          <w:lang w:val="en-US"/>
        </w:rPr>
      </w:pPr>
      <w:bookmarkStart w:id="99" w:name="_Toc56954054"/>
      <w:r w:rsidRPr="00AB7D1E">
        <w:rPr>
          <w:lang w:val="en-US"/>
        </w:rPr>
        <w:t>National social legislation</w:t>
      </w:r>
      <w:bookmarkEnd w:id="99"/>
    </w:p>
    <w:p w14:paraId="53F75718" w14:textId="57727254" w:rsidR="00EA3CCC" w:rsidRPr="00AB7D1E" w:rsidRDefault="00EA3CCC" w:rsidP="00EA3CCC">
      <w:pPr>
        <w:rPr>
          <w:rFonts w:ascii="Calibri" w:hAnsi="Calibri"/>
          <w:lang w:val="en-US"/>
        </w:rPr>
      </w:pPr>
      <w:bookmarkStart w:id="100" w:name="_Hlk47908398"/>
      <w:r w:rsidRPr="00AB7D1E">
        <w:rPr>
          <w:rFonts w:ascii="Calibri" w:hAnsi="Calibri"/>
          <w:lang w:val="en-US"/>
        </w:rPr>
        <w:t>The right to equality and non-discrimination is a fundamental human right protected by the Constitution of the Republic of Croatia and other legal acts such as the Constitutional Act on National Minorities Rights (OG 155/02, 47/10, 80/10, 93/11, 93/11), the Labor Act (OG 93/14, 127/17, 98/19), the Gender Equality Act (OG 82/08, 69/17) and the Anti-discrimination act (OG 85/08, 112/12).</w:t>
      </w:r>
    </w:p>
    <w:p w14:paraId="52D51CEB" w14:textId="77777777" w:rsidR="00EA3CCC" w:rsidRPr="00AB7D1E" w:rsidRDefault="00EA3CCC" w:rsidP="00EA3CCC">
      <w:pPr>
        <w:rPr>
          <w:lang w:val="en-US"/>
        </w:rPr>
      </w:pPr>
      <w:r w:rsidRPr="00AB7D1E">
        <w:rPr>
          <w:lang w:val="en-US"/>
        </w:rPr>
        <w:t>Fundamental obligations and rights arising from employment relationships and principles of prevention and occupational safety rules are stipulated by the Labor Act (OG 93/14, 127/17, 98/19) and Occupational Safety and Health Act (OG 71/14, 118/14, 94/18, 96 / 18).</w:t>
      </w:r>
    </w:p>
    <w:bookmarkEnd w:id="100"/>
    <w:p w14:paraId="54C33E1C" w14:textId="5D79238D" w:rsidR="00EA3CCC" w:rsidRPr="00AB7D1E" w:rsidRDefault="00EA3CCC" w:rsidP="00EA3CCC">
      <w:pPr>
        <w:rPr>
          <w:lang w:val="en-US"/>
        </w:rPr>
      </w:pPr>
      <w:r w:rsidRPr="00AB7D1E">
        <w:rPr>
          <w:lang w:val="en-US"/>
        </w:rPr>
        <w:t>Labor Act manages relationship between parties involved in the process of employment. It protects and applies to any physical person that has concluded an employment contract with an employer.</w:t>
      </w:r>
    </w:p>
    <w:p w14:paraId="715C0E14" w14:textId="5F775DB6" w:rsidR="000C57DF" w:rsidRPr="00AB7D1E" w:rsidRDefault="000C57DF" w:rsidP="000C57DF">
      <w:pPr>
        <w:suppressAutoHyphens w:val="0"/>
        <w:autoSpaceDN/>
        <w:spacing w:before="0" w:after="160" w:line="259" w:lineRule="auto"/>
        <w:textAlignment w:val="auto"/>
        <w:rPr>
          <w:rFonts w:ascii="Calibri" w:hAnsi="Calibri" w:cs="Calibri"/>
          <w:lang w:val="en-US"/>
        </w:rPr>
      </w:pPr>
      <w:r w:rsidRPr="00AB7D1E">
        <w:rPr>
          <w:rFonts w:ascii="Calibri" w:hAnsi="Calibri" w:cs="Calibri"/>
          <w:lang w:val="en-US"/>
        </w:rPr>
        <w:t>Fundamental obligations and rights arising from employment relationships are stipulated by the Article 7 of the Labor Act. This Article defines that the employer shall be obliged to ensure work for an employed worker and pay remuneration for the work performed, and the worker shall be obliged to complete the work following the instructions provided by the employer in line with the nature and type of work. Furthermore, according to paragraph 2, the employer shall be entitled to determine the place and the manner of performing the work and shall respect the workers’ rights and dignity. Paragraph 3 outlines that the employer shall be obliged to ensure safe working conditions with no detrimental effects on the health of the worker, following a special law and other regulations.</w:t>
      </w:r>
    </w:p>
    <w:p w14:paraId="613290BC" w14:textId="4BFA55C8" w:rsidR="00EA3CCC" w:rsidRPr="00AB7D1E" w:rsidRDefault="00EA3CCC" w:rsidP="00EA3CCC">
      <w:pPr>
        <w:rPr>
          <w:rFonts w:ascii="Calibri" w:hAnsi="Calibri"/>
          <w:lang w:val="en-US"/>
        </w:rPr>
      </w:pPr>
      <w:r w:rsidRPr="00AB7D1E">
        <w:rPr>
          <w:rFonts w:ascii="Calibri" w:hAnsi="Calibri"/>
          <w:lang w:val="en-US"/>
        </w:rPr>
        <w:lastRenderedPageBreak/>
        <w:t xml:space="preserve">The national policy, principles of prevention and occupational safety rules, obligations of the employer, rights and obligations of workers, including supervision and </w:t>
      </w:r>
      <w:proofErr w:type="spellStart"/>
      <w:r w:rsidR="005B1808" w:rsidRPr="00AB7D1E">
        <w:rPr>
          <w:rFonts w:ascii="Calibri" w:hAnsi="Calibri"/>
          <w:lang w:val="en-US"/>
        </w:rPr>
        <w:t>misdemeanour</w:t>
      </w:r>
      <w:proofErr w:type="spellEnd"/>
      <w:r w:rsidRPr="00AB7D1E">
        <w:rPr>
          <w:rFonts w:ascii="Calibri" w:hAnsi="Calibri"/>
          <w:lang w:val="en-US"/>
        </w:rPr>
        <w:t xml:space="preserve"> liability in the Republic of Croatia, are regulated by the Occupational Safety and Health Act.</w:t>
      </w:r>
    </w:p>
    <w:p w14:paraId="320D7C3D" w14:textId="77777777" w:rsidR="00DA64BF" w:rsidRPr="00AB7D1E" w:rsidRDefault="00DA64BF" w:rsidP="00DA64BF">
      <w:pPr>
        <w:suppressAutoHyphens w:val="0"/>
        <w:autoSpaceDN/>
        <w:spacing w:before="0" w:after="160" w:line="259" w:lineRule="auto"/>
        <w:textAlignment w:val="auto"/>
        <w:rPr>
          <w:rFonts w:ascii="Calibri" w:hAnsi="Calibri"/>
          <w:lang w:val="en-US"/>
        </w:rPr>
      </w:pPr>
      <w:r w:rsidRPr="00AB7D1E">
        <w:rPr>
          <w:rFonts w:ascii="Calibri" w:hAnsi="Calibri"/>
          <w:lang w:val="en-US"/>
        </w:rPr>
        <w:t xml:space="preserve">The Act defines measures to protect workers from psychosocial risks (stress) and psychophysiological effort at work, with the aim of prevention and education of all stakeholders. The Act sets out the general principles of risk prevention at work and protection of health, rules to eliminate risk factors, procedures of training of workers and procedures of information and consultation of employees and their representative with employers and their authorized persons. The intention is to raise awareness and encourage preventive action not only by employers but also by employees. </w:t>
      </w:r>
    </w:p>
    <w:p w14:paraId="4A640581" w14:textId="77777777"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 xml:space="preserve">The employer is obliged to implement occupational health and safety measures based on the general principles of prevention. These </w:t>
      </w:r>
      <w:proofErr w:type="gramStart"/>
      <w:r w:rsidRPr="00AB7D1E">
        <w:rPr>
          <w:rFonts w:ascii="Calibri" w:hAnsi="Calibri"/>
          <w:lang w:val="en-US"/>
        </w:rPr>
        <w:t>include:</w:t>
      </w:r>
      <w:proofErr w:type="gramEnd"/>
      <w:r w:rsidRPr="00AB7D1E">
        <w:rPr>
          <w:rFonts w:ascii="Calibri" w:hAnsi="Calibri"/>
          <w:lang w:val="en-US"/>
        </w:rPr>
        <w:t xml:space="preserve"> risk avoidance, risk assessment, prevention of risks at their source, adjustment of work to the employees in relation to the design of the workplace, the choice of work equipment and the mode of operation and work processes to relieve monotonous work. Employers must consider issues such as adaptation to technical progress, replacing hazardous substances or processes with the non-hazardous or less hazardous. They are also required to develop a consistent comprehensive prevention policy by connecting technology, organization of work, working conditions, human relationships and the influence of work environment. They must give preference to collective protective measures over individual ones, appropriately train and inform employees, and make all protective equipment available free of charge.</w:t>
      </w:r>
    </w:p>
    <w:p w14:paraId="3741956F" w14:textId="77777777"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The Ordinance on the Occupational Health and Safety on Temporary Construction sites (OG 48/18) defines measures and activities for the protection of workers on temporary construction sites</w:t>
      </w:r>
      <w:r w:rsidRPr="00AB7D1E">
        <w:rPr>
          <w:rFonts w:ascii="Calibri" w:hAnsi="Calibri"/>
          <w:vertAlign w:val="superscript"/>
          <w:lang w:val="en-US"/>
        </w:rPr>
        <w:footnoteReference w:id="85"/>
      </w:r>
      <w:r w:rsidRPr="00AB7D1E">
        <w:rPr>
          <w:rFonts w:ascii="Calibri" w:hAnsi="Calibri"/>
          <w:lang w:val="en-US"/>
        </w:rPr>
        <w:t>. For example, requirements for evacuation roads and emergency exits, fire detection, sanitary equipment and first aid, etc. are defined by this Ordinance.</w:t>
      </w:r>
    </w:p>
    <w:p w14:paraId="6A0EA182" w14:textId="77777777"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 xml:space="preserve">The occupational safety rules apply to all project phases from design to implementation. The investor is the first of the stakeholders of the occupational safety and health system when it comes to the design, construction and use of constructions. Because of that he is obliged to apply general principles of prevention and occupational safety rules at all stages of project design and preparation. Accordingly, during the design preparation, study on safety at work should be prepared. This study should elaborate the manner of applying the occupational safety rules when using buildings intended for work. When preparing the main project and during the construction works responsible person for occupational health and safety </w:t>
      </w:r>
      <w:proofErr w:type="gramStart"/>
      <w:r w:rsidRPr="00AB7D1E">
        <w:rPr>
          <w:rFonts w:ascii="Calibri" w:hAnsi="Calibri"/>
          <w:lang w:val="en-US"/>
        </w:rPr>
        <w:t>has to</w:t>
      </w:r>
      <w:proofErr w:type="gramEnd"/>
      <w:r w:rsidRPr="00AB7D1E">
        <w:rPr>
          <w:rFonts w:ascii="Calibri" w:hAnsi="Calibri"/>
          <w:lang w:val="en-US"/>
        </w:rPr>
        <w:t xml:space="preserve"> be appointed (by investor, building owner, concessionaire ...).</w:t>
      </w:r>
    </w:p>
    <w:p w14:paraId="4E56DE6E" w14:textId="77777777"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Pursuant to Article 74, paragraph 3 of the Occupational Safety and Health Act, the contractor of works on a temporary construction site is obliged to submit a site registration to body competent for labor inspection (State Inspectorate), at the latest one day prior to the commencement of the works (for especially dangerous works defined in Annex II of the Ordinance and if the duration of works is longer than 10 days). The content of site registration is defined in Annex III of the Ordinance. Copy of the site's registration must be available at the construction site in a visible place. Registration of the construction site, where the works will be carried out by two or more contractors, is the obligation of the investor, concession holder or other person for which the construction works are performed.</w:t>
      </w:r>
    </w:p>
    <w:p w14:paraId="759FF282" w14:textId="4F4EB40F"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 xml:space="preserve">The contractor who performs the construction works is obliged to arrange the site and to ensure that the works are carried out in accordance with the occupational health and safety regulations. It is </w:t>
      </w:r>
      <w:r w:rsidRPr="00AB7D1E">
        <w:rPr>
          <w:rFonts w:ascii="Calibri" w:hAnsi="Calibri"/>
          <w:lang w:val="en-US"/>
        </w:rPr>
        <w:lastRenderedPageBreak/>
        <w:t>therefore necessary to prepare Construction Work Plan. The content of Plan is defined in Annex IV of the Ordinance. The Construction Work Plan must be available at the construction site, and its preparation is obligation of the investor, concessionaire or other person for whom the construction works are performed.</w:t>
      </w:r>
    </w:p>
    <w:p w14:paraId="29EECB63" w14:textId="66C8D5CB" w:rsidR="00DA64BF" w:rsidRPr="00AB7D1E" w:rsidRDefault="00DA64BF" w:rsidP="00DA64BF">
      <w:pPr>
        <w:suppressAutoHyphens w:val="0"/>
        <w:autoSpaceDN/>
        <w:spacing w:before="0" w:after="160" w:line="259" w:lineRule="auto"/>
        <w:textAlignment w:val="auto"/>
        <w:rPr>
          <w:rFonts w:ascii="Calibri" w:hAnsi="Calibri" w:cs="Calibri"/>
          <w:lang w:val="en-US"/>
        </w:rPr>
      </w:pPr>
      <w:r w:rsidRPr="00AB7D1E">
        <w:rPr>
          <w:rFonts w:ascii="Calibri" w:hAnsi="Calibri"/>
          <w:lang w:val="en-US"/>
        </w:rPr>
        <w:t xml:space="preserve">If only one contractor performs construction works, then he is not obligated to prepare Construction Work Plan, and only </w:t>
      </w:r>
      <w:proofErr w:type="gramStart"/>
      <w:r w:rsidRPr="00AB7D1E">
        <w:rPr>
          <w:rFonts w:ascii="Calibri" w:hAnsi="Calibri"/>
          <w:lang w:val="en-US"/>
        </w:rPr>
        <w:t>has to</w:t>
      </w:r>
      <w:proofErr w:type="gramEnd"/>
      <w:r w:rsidRPr="00AB7D1E">
        <w:rPr>
          <w:rFonts w:ascii="Calibri" w:hAnsi="Calibri"/>
          <w:lang w:val="en-US"/>
        </w:rPr>
        <w:t xml:space="preserve"> send notification to the State Inspectorate.</w:t>
      </w:r>
    </w:p>
    <w:p w14:paraId="6BE770F5" w14:textId="77777777" w:rsidR="00EA3CCC" w:rsidRPr="00AB7D1E" w:rsidRDefault="00EA3CCC" w:rsidP="00EA3CCC">
      <w:pPr>
        <w:rPr>
          <w:b/>
          <w:bCs/>
          <w:i/>
          <w:iCs/>
          <w:lang w:val="en-US"/>
        </w:rPr>
      </w:pPr>
      <w:r w:rsidRPr="00AB7D1E">
        <w:rPr>
          <w:b/>
          <w:bCs/>
          <w:i/>
          <w:iCs/>
          <w:lang w:val="en-US"/>
        </w:rPr>
        <w:t>Other relevant laws and by-laws are:</w:t>
      </w:r>
    </w:p>
    <w:p w14:paraId="28E56017" w14:textId="1087D6C2" w:rsidR="00EA3CCC" w:rsidRPr="00AB7D1E" w:rsidRDefault="00EA3CCC" w:rsidP="00196BF6">
      <w:pPr>
        <w:spacing w:before="0"/>
        <w:rPr>
          <w:lang w:val="en-US"/>
        </w:rPr>
      </w:pPr>
      <w:r w:rsidRPr="00AB7D1E">
        <w:rPr>
          <w:lang w:val="en-US"/>
        </w:rPr>
        <w:t>Pension Insurance Act (OG 157/13, 151/14, 33/15, 93/15, 120/16, 18/18, 62/18, 115/18, 102/19)</w:t>
      </w:r>
      <w:r w:rsidR="009B63A0" w:rsidRPr="00AB7D1E">
        <w:rPr>
          <w:lang w:val="en-US"/>
        </w:rPr>
        <w:t>;</w:t>
      </w:r>
    </w:p>
    <w:p w14:paraId="02A41A37" w14:textId="1ADC3255" w:rsidR="00EA3CCC" w:rsidRPr="00AB7D1E" w:rsidRDefault="00EA3CCC" w:rsidP="00196BF6">
      <w:pPr>
        <w:spacing w:before="0"/>
        <w:rPr>
          <w:lang w:val="en-US"/>
        </w:rPr>
      </w:pPr>
      <w:r w:rsidRPr="00AB7D1E">
        <w:rPr>
          <w:lang w:val="en-US"/>
        </w:rPr>
        <w:t>Act on the List of Occupational Diseases (NN 162/98, 107/07)</w:t>
      </w:r>
      <w:r w:rsidR="009B63A0" w:rsidRPr="00AB7D1E">
        <w:rPr>
          <w:lang w:val="en-US"/>
        </w:rPr>
        <w:t>;</w:t>
      </w:r>
    </w:p>
    <w:p w14:paraId="6C8E6ADF" w14:textId="30D95A51" w:rsidR="00EA3CCC" w:rsidRPr="00AB7D1E" w:rsidRDefault="00EA3CCC" w:rsidP="00196BF6">
      <w:pPr>
        <w:spacing w:before="0"/>
        <w:rPr>
          <w:lang w:val="en-US"/>
        </w:rPr>
      </w:pPr>
      <w:r w:rsidRPr="00AB7D1E">
        <w:rPr>
          <w:lang w:val="en-US"/>
        </w:rPr>
        <w:t>Ordinance on the use of personal protective equipment (OG 18/17)</w:t>
      </w:r>
      <w:r w:rsidR="009B63A0" w:rsidRPr="00AB7D1E">
        <w:rPr>
          <w:lang w:val="en-US"/>
        </w:rPr>
        <w:t>;</w:t>
      </w:r>
    </w:p>
    <w:p w14:paraId="2EA6E460" w14:textId="1EF56AD8" w:rsidR="00EA3CCC" w:rsidRPr="00AB7D1E" w:rsidRDefault="00EA3CCC" w:rsidP="00196BF6">
      <w:pPr>
        <w:spacing w:before="0"/>
        <w:rPr>
          <w:lang w:val="en-US"/>
        </w:rPr>
      </w:pPr>
      <w:r w:rsidRPr="00AB7D1E">
        <w:rPr>
          <w:lang w:val="en-US"/>
        </w:rPr>
        <w:t>Ordinance on the protection of workers from the risk of exposure to hazardous chemicals at work, limit values of exposure and biological limit values (OG 91/2018)</w:t>
      </w:r>
      <w:r w:rsidR="009B63A0" w:rsidRPr="00AB7D1E">
        <w:rPr>
          <w:lang w:val="en-US"/>
        </w:rPr>
        <w:t>;</w:t>
      </w:r>
    </w:p>
    <w:p w14:paraId="53940EEA" w14:textId="4810B36A" w:rsidR="00EA3CCC" w:rsidRPr="00AB7D1E" w:rsidRDefault="00EA3CCC" w:rsidP="00196BF6">
      <w:pPr>
        <w:spacing w:before="0"/>
        <w:rPr>
          <w:lang w:val="en-US"/>
        </w:rPr>
      </w:pPr>
      <w:r w:rsidRPr="00AB7D1E">
        <w:rPr>
          <w:lang w:val="en-US"/>
        </w:rPr>
        <w:t>Ordinance on testing the working environment (OG 16/16)</w:t>
      </w:r>
      <w:r w:rsidR="009B63A0" w:rsidRPr="00AB7D1E">
        <w:rPr>
          <w:lang w:val="en-US"/>
        </w:rPr>
        <w:t>;</w:t>
      </w:r>
    </w:p>
    <w:p w14:paraId="720D1141" w14:textId="43BFC645" w:rsidR="00EA3CCC" w:rsidRPr="00AB7D1E" w:rsidRDefault="00EA3CCC" w:rsidP="00196BF6">
      <w:pPr>
        <w:spacing w:before="0"/>
        <w:rPr>
          <w:lang w:val="en-US"/>
        </w:rPr>
      </w:pPr>
      <w:r w:rsidRPr="00AB7D1E">
        <w:rPr>
          <w:lang w:val="en-US"/>
        </w:rPr>
        <w:t>Ordinance on inspection and testing of work equipment (OG 16/16)</w:t>
      </w:r>
      <w:r w:rsidR="009B63A0" w:rsidRPr="00AB7D1E">
        <w:rPr>
          <w:lang w:val="en-US"/>
        </w:rPr>
        <w:t>;</w:t>
      </w:r>
    </w:p>
    <w:p w14:paraId="7A5BDA2E" w14:textId="2F2619F6" w:rsidR="00EA3CCC" w:rsidRPr="00AB7D1E" w:rsidRDefault="00EA3CCC" w:rsidP="00196BF6">
      <w:pPr>
        <w:spacing w:before="0"/>
        <w:rPr>
          <w:lang w:val="en-US"/>
        </w:rPr>
      </w:pPr>
      <w:r w:rsidRPr="00AB7D1E">
        <w:rPr>
          <w:lang w:val="en-US"/>
        </w:rPr>
        <w:t>Ordinance on jobs where a minor may not be employed (OG 89/15, 109/19)</w:t>
      </w:r>
      <w:r w:rsidR="009B63A0" w:rsidRPr="00AB7D1E">
        <w:rPr>
          <w:lang w:val="en-US"/>
        </w:rPr>
        <w:t>;</w:t>
      </w:r>
    </w:p>
    <w:p w14:paraId="30CE0262" w14:textId="63BEC47D" w:rsidR="00EA3CCC" w:rsidRPr="00AB7D1E" w:rsidRDefault="00EA3CCC" w:rsidP="00196BF6">
      <w:pPr>
        <w:spacing w:before="0"/>
        <w:rPr>
          <w:lang w:val="en-US"/>
        </w:rPr>
      </w:pPr>
      <w:r w:rsidRPr="00AB7D1E">
        <w:rPr>
          <w:lang w:val="en-US"/>
        </w:rPr>
        <w:t>Ordinance on safety signs (OG 91/15, 102/15, 61/16)</w:t>
      </w:r>
      <w:r w:rsidR="009B63A0" w:rsidRPr="00AB7D1E">
        <w:rPr>
          <w:lang w:val="en-US"/>
        </w:rPr>
        <w:t>;</w:t>
      </w:r>
    </w:p>
    <w:p w14:paraId="6A3E4430" w14:textId="2884CC40" w:rsidR="00EA3CCC" w:rsidRPr="00AB7D1E" w:rsidRDefault="00EA3CCC" w:rsidP="00196BF6">
      <w:pPr>
        <w:spacing w:before="0"/>
        <w:rPr>
          <w:lang w:val="en-US"/>
        </w:rPr>
      </w:pPr>
      <w:r w:rsidRPr="00AB7D1E">
        <w:rPr>
          <w:lang w:val="en-US"/>
        </w:rPr>
        <w:t>Ordinance on safety at work for workplaces (OG 29/13)</w:t>
      </w:r>
      <w:r w:rsidR="009B63A0" w:rsidRPr="00AB7D1E">
        <w:rPr>
          <w:lang w:val="en-US"/>
        </w:rPr>
        <w:t>;</w:t>
      </w:r>
    </w:p>
    <w:p w14:paraId="71CAD66D" w14:textId="099C68C1" w:rsidR="00EA3CCC" w:rsidRPr="00AB7D1E" w:rsidRDefault="00EA3CCC" w:rsidP="00196BF6">
      <w:pPr>
        <w:spacing w:before="0"/>
        <w:rPr>
          <w:lang w:val="en-US"/>
        </w:rPr>
      </w:pPr>
      <w:r w:rsidRPr="00AB7D1E">
        <w:rPr>
          <w:lang w:val="en-US"/>
        </w:rPr>
        <w:t>Ordinance on the protection of workers from the risk of exposure to vibration at work (OG 155/08)</w:t>
      </w:r>
      <w:r w:rsidR="009B63A0" w:rsidRPr="00AB7D1E">
        <w:rPr>
          <w:lang w:val="en-US"/>
        </w:rPr>
        <w:t>;</w:t>
      </w:r>
    </w:p>
    <w:p w14:paraId="0D911082" w14:textId="506B5BC0" w:rsidR="00EA3CCC" w:rsidRPr="00AB7D1E" w:rsidRDefault="00EA3CCC" w:rsidP="00196BF6">
      <w:pPr>
        <w:spacing w:before="0"/>
        <w:rPr>
          <w:lang w:val="en-US"/>
        </w:rPr>
      </w:pPr>
      <w:r w:rsidRPr="00AB7D1E">
        <w:rPr>
          <w:lang w:val="en-US"/>
        </w:rPr>
        <w:t>Ordinance on safety at work on temporary construction sites (OG 48/18)</w:t>
      </w:r>
      <w:r w:rsidR="009B63A0" w:rsidRPr="00AB7D1E">
        <w:rPr>
          <w:lang w:val="en-US"/>
        </w:rPr>
        <w:t>;</w:t>
      </w:r>
    </w:p>
    <w:p w14:paraId="1132F6EA" w14:textId="72D702B4" w:rsidR="00EA3CCC" w:rsidRPr="00AB7D1E" w:rsidRDefault="00EA3CCC" w:rsidP="00196BF6">
      <w:pPr>
        <w:spacing w:before="0"/>
        <w:rPr>
          <w:lang w:val="en-US"/>
        </w:rPr>
      </w:pPr>
      <w:r w:rsidRPr="00AB7D1E">
        <w:rPr>
          <w:lang w:val="en-US"/>
        </w:rPr>
        <w:t>Ordinance on the protection of workers from exposure to noise at work (OG 46/08)</w:t>
      </w:r>
      <w:r w:rsidR="009B63A0" w:rsidRPr="00AB7D1E">
        <w:rPr>
          <w:lang w:val="en-US"/>
        </w:rPr>
        <w:t>;</w:t>
      </w:r>
    </w:p>
    <w:p w14:paraId="1DF3AD07" w14:textId="55AC115E" w:rsidR="00FF1491" w:rsidRPr="00AB7D1E" w:rsidRDefault="00FF1491" w:rsidP="00196BF6">
      <w:pPr>
        <w:suppressAutoHyphens w:val="0"/>
        <w:autoSpaceDN/>
        <w:spacing w:before="0" w:line="249" w:lineRule="auto"/>
        <w:textAlignment w:val="auto"/>
        <w:rPr>
          <w:rFonts w:ascii="Calibri" w:hAnsi="Calibri"/>
          <w:shd w:val="clear" w:color="auto" w:fill="FFFFFF"/>
          <w:lang w:val="en-US"/>
        </w:rPr>
      </w:pPr>
      <w:r w:rsidRPr="00AB7D1E">
        <w:rPr>
          <w:rFonts w:ascii="Calibri" w:hAnsi="Calibri"/>
          <w:shd w:val="clear" w:color="auto" w:fill="FFFFFF"/>
          <w:lang w:val="en-US"/>
        </w:rPr>
        <w:t>Ordinance on the use of personal protective equipment (OG 39/06)</w:t>
      </w:r>
      <w:r w:rsidR="009B63A0" w:rsidRPr="00AB7D1E">
        <w:rPr>
          <w:rFonts w:ascii="Calibri" w:hAnsi="Calibri"/>
          <w:shd w:val="clear" w:color="auto" w:fill="FFFFFF"/>
          <w:lang w:val="en-US"/>
        </w:rPr>
        <w:t>;</w:t>
      </w:r>
      <w:r w:rsidRPr="00AB7D1E">
        <w:rPr>
          <w:rFonts w:ascii="Calibri" w:hAnsi="Calibri"/>
          <w:shd w:val="clear" w:color="auto" w:fill="FFFFFF"/>
          <w:lang w:val="en-US"/>
        </w:rPr>
        <w:t xml:space="preserve"> </w:t>
      </w:r>
    </w:p>
    <w:p w14:paraId="284195E0" w14:textId="45232C59" w:rsidR="00FF1491" w:rsidRPr="00AB7D1E" w:rsidRDefault="00FF1491" w:rsidP="00196BF6">
      <w:pPr>
        <w:suppressAutoHyphens w:val="0"/>
        <w:autoSpaceDN/>
        <w:spacing w:before="0" w:line="249" w:lineRule="auto"/>
        <w:textAlignment w:val="auto"/>
        <w:rPr>
          <w:rFonts w:ascii="Calibri" w:hAnsi="Calibri"/>
          <w:shd w:val="clear" w:color="auto" w:fill="FFFFFF"/>
          <w:lang w:val="en-US"/>
        </w:rPr>
      </w:pPr>
      <w:r w:rsidRPr="00AB7D1E">
        <w:rPr>
          <w:rFonts w:ascii="Calibri" w:hAnsi="Calibri"/>
          <w:shd w:val="clear" w:color="auto" w:fill="FFFFFF"/>
          <w:lang w:val="en-US"/>
        </w:rPr>
        <w:t>Ordinance on placing personal protective equipment on the market (OG 89/10)</w:t>
      </w:r>
      <w:r w:rsidR="009B63A0" w:rsidRPr="00AB7D1E">
        <w:rPr>
          <w:rFonts w:ascii="Calibri" w:hAnsi="Calibri"/>
          <w:shd w:val="clear" w:color="auto" w:fill="FFFFFF"/>
          <w:lang w:val="en-US"/>
        </w:rPr>
        <w:t>;</w:t>
      </w:r>
    </w:p>
    <w:p w14:paraId="0B7C0365" w14:textId="579AFAB5" w:rsidR="00FF1491" w:rsidRPr="00AB7D1E" w:rsidRDefault="00FF1491" w:rsidP="00196BF6">
      <w:pPr>
        <w:suppressAutoHyphens w:val="0"/>
        <w:autoSpaceDN/>
        <w:spacing w:before="0" w:line="249" w:lineRule="auto"/>
        <w:textAlignment w:val="auto"/>
        <w:rPr>
          <w:rFonts w:ascii="Calibri" w:hAnsi="Calibri"/>
          <w:shd w:val="clear" w:color="auto" w:fill="FFFFFF"/>
          <w:lang w:val="en-US"/>
        </w:rPr>
      </w:pPr>
      <w:r w:rsidRPr="00AB7D1E">
        <w:rPr>
          <w:rFonts w:ascii="Calibri" w:hAnsi="Calibri"/>
          <w:shd w:val="clear" w:color="auto" w:fill="FFFFFF"/>
          <w:lang w:val="en-US"/>
        </w:rPr>
        <w:t>Ordinance on jobs in special work conditions (OG 5/84)</w:t>
      </w:r>
      <w:r w:rsidR="009B63A0" w:rsidRPr="00AB7D1E">
        <w:rPr>
          <w:rFonts w:ascii="Calibri" w:hAnsi="Calibri"/>
          <w:shd w:val="clear" w:color="auto" w:fill="FFFFFF"/>
          <w:lang w:val="en-US"/>
        </w:rPr>
        <w:t>;</w:t>
      </w:r>
    </w:p>
    <w:p w14:paraId="2F9AF842" w14:textId="23BC6DEB" w:rsidR="00FF1491" w:rsidRPr="00AB7D1E" w:rsidRDefault="00FF1491" w:rsidP="00196BF6">
      <w:pPr>
        <w:suppressAutoHyphens w:val="0"/>
        <w:autoSpaceDN/>
        <w:spacing w:before="0" w:line="249" w:lineRule="auto"/>
        <w:textAlignment w:val="auto"/>
        <w:rPr>
          <w:rFonts w:ascii="Calibri" w:hAnsi="Calibri"/>
          <w:shd w:val="clear" w:color="auto" w:fill="FFFFFF"/>
          <w:lang w:val="en-US"/>
        </w:rPr>
      </w:pPr>
      <w:r w:rsidRPr="00AB7D1E">
        <w:rPr>
          <w:rFonts w:ascii="Calibri" w:hAnsi="Calibri"/>
          <w:shd w:val="clear" w:color="auto" w:fill="FFFFFF"/>
          <w:lang w:val="en-US"/>
        </w:rPr>
        <w:t>Ordinance on risk assessment (OG 112/2014)</w:t>
      </w:r>
      <w:r w:rsidR="009B63A0" w:rsidRPr="00AB7D1E">
        <w:rPr>
          <w:rFonts w:ascii="Calibri" w:hAnsi="Calibri"/>
          <w:shd w:val="clear" w:color="auto" w:fill="FFFFFF"/>
          <w:lang w:val="en-US"/>
        </w:rPr>
        <w:t>;</w:t>
      </w:r>
    </w:p>
    <w:p w14:paraId="1729A8E4" w14:textId="2A1E325B" w:rsidR="00986410" w:rsidRPr="00AB7D1E" w:rsidRDefault="0040564F" w:rsidP="00302FE0">
      <w:pPr>
        <w:pStyle w:val="Heading3"/>
        <w:jc w:val="left"/>
        <w:rPr>
          <w:lang w:val="en-US"/>
        </w:rPr>
      </w:pPr>
      <w:bookmarkStart w:id="101" w:name="_Toc56954055"/>
      <w:r w:rsidRPr="00AB7D1E">
        <w:rPr>
          <w:lang w:val="en-US"/>
        </w:rPr>
        <w:t>Overview of the institutional framework</w:t>
      </w:r>
      <w:bookmarkEnd w:id="101"/>
    </w:p>
    <w:p w14:paraId="72B5C667" w14:textId="7C093B61" w:rsidR="0040564F" w:rsidRPr="00AB7D1E" w:rsidRDefault="0040564F" w:rsidP="0040564F">
      <w:pPr>
        <w:rPr>
          <w:b/>
          <w:bCs/>
          <w:lang w:val="en-US"/>
        </w:rPr>
      </w:pPr>
      <w:r w:rsidRPr="00AB7D1E">
        <w:rPr>
          <w:b/>
          <w:bCs/>
          <w:lang w:val="en-US"/>
        </w:rPr>
        <w:t>The main central government stakeholders regarding environment</w:t>
      </w:r>
      <w:r w:rsidR="00302FE0" w:rsidRPr="00AB7D1E">
        <w:rPr>
          <w:b/>
          <w:bCs/>
          <w:lang w:val="en-US"/>
        </w:rPr>
        <w:t>al issues</w:t>
      </w:r>
      <w:r w:rsidRPr="00AB7D1E">
        <w:rPr>
          <w:b/>
          <w:bCs/>
          <w:lang w:val="en-US"/>
        </w:rPr>
        <w:t xml:space="preserve"> </w:t>
      </w:r>
      <w:r w:rsidR="00B6639B" w:rsidRPr="00AB7D1E">
        <w:rPr>
          <w:b/>
          <w:bCs/>
          <w:lang w:val="en-US"/>
        </w:rPr>
        <w:t xml:space="preserve">in the Republic of Croatia </w:t>
      </w:r>
      <w:r w:rsidRPr="00AB7D1E">
        <w:rPr>
          <w:b/>
          <w:bCs/>
          <w:lang w:val="en-US"/>
        </w:rPr>
        <w:t xml:space="preserve">are </w:t>
      </w:r>
      <w:bookmarkStart w:id="102" w:name="_Hlk47908560"/>
      <w:r w:rsidR="00302FE0" w:rsidRPr="00AB7D1E">
        <w:rPr>
          <w:b/>
          <w:bCs/>
          <w:lang w:val="en-US"/>
        </w:rPr>
        <w:t>Ministry of Economy and Sustainable Development</w:t>
      </w:r>
      <w:r w:rsidRPr="00AB7D1E">
        <w:rPr>
          <w:b/>
          <w:bCs/>
          <w:lang w:val="en-US"/>
        </w:rPr>
        <w:t xml:space="preserve"> </w:t>
      </w:r>
      <w:bookmarkEnd w:id="102"/>
      <w:r w:rsidRPr="00AB7D1E">
        <w:rPr>
          <w:b/>
          <w:bCs/>
          <w:lang w:val="en-US"/>
        </w:rPr>
        <w:t xml:space="preserve">and </w:t>
      </w:r>
      <w:r w:rsidR="00302FE0" w:rsidRPr="00AB7D1E">
        <w:rPr>
          <w:b/>
          <w:bCs/>
          <w:lang w:val="en-US"/>
        </w:rPr>
        <w:t xml:space="preserve">Environmental Protection and Energy Efficiency Fund </w:t>
      </w:r>
      <w:r w:rsidRPr="00AB7D1E">
        <w:rPr>
          <w:b/>
          <w:bCs/>
          <w:lang w:val="en-US"/>
        </w:rPr>
        <w:t>(EPEEF).</w:t>
      </w:r>
    </w:p>
    <w:p w14:paraId="42895D2C" w14:textId="7C0AC7F2" w:rsidR="0040564F" w:rsidRPr="00AB7D1E" w:rsidRDefault="00302FE0" w:rsidP="0040564F">
      <w:pPr>
        <w:rPr>
          <w:lang w:val="en-US"/>
        </w:rPr>
      </w:pPr>
      <w:r w:rsidRPr="00AB7D1E">
        <w:rPr>
          <w:b/>
          <w:bCs/>
          <w:lang w:val="en-US"/>
        </w:rPr>
        <w:t xml:space="preserve">Ministry of Economy and Sustainable Development </w:t>
      </w:r>
      <w:r w:rsidR="0040564F" w:rsidRPr="00AB7D1E">
        <w:rPr>
          <w:lang w:val="en-US"/>
        </w:rPr>
        <w:t xml:space="preserve">is the competent state body </w:t>
      </w:r>
      <w:r w:rsidR="0060715C">
        <w:rPr>
          <w:lang w:val="en-US"/>
        </w:rPr>
        <w:t>for</w:t>
      </w:r>
      <w:r w:rsidR="0060715C" w:rsidRPr="00AB7D1E">
        <w:rPr>
          <w:lang w:val="en-US"/>
        </w:rPr>
        <w:t xml:space="preserve"> </w:t>
      </w:r>
      <w:r w:rsidR="0040564F" w:rsidRPr="00AB7D1E">
        <w:rPr>
          <w:lang w:val="en-US"/>
        </w:rPr>
        <w:t xml:space="preserve">the development and implementation of policies in the area of environmental protection: air, water, soil, solid waste, biological diversity and other natural resources, and ozone layer protection, climate change. </w:t>
      </w:r>
      <w:r w:rsidR="00337F1F">
        <w:rPr>
          <w:lang w:val="en-US"/>
        </w:rPr>
        <w:t xml:space="preserve">The </w:t>
      </w:r>
      <w:r w:rsidR="0040564F" w:rsidRPr="00AB7D1E">
        <w:rPr>
          <w:lang w:val="en-US"/>
        </w:rPr>
        <w:t xml:space="preserve">Ministry is also competent body for preparation of strategic and planning documents, implementation of environmental impact assessment procedure (EIA procedure) and collecting and </w:t>
      </w:r>
      <w:proofErr w:type="spellStart"/>
      <w:r w:rsidR="0040564F" w:rsidRPr="00AB7D1E">
        <w:rPr>
          <w:lang w:val="en-US"/>
        </w:rPr>
        <w:t>analysing</w:t>
      </w:r>
      <w:proofErr w:type="spellEnd"/>
      <w:r w:rsidR="0040564F" w:rsidRPr="00AB7D1E">
        <w:rPr>
          <w:lang w:val="en-US"/>
        </w:rPr>
        <w:t xml:space="preserve"> data on environment and reporting on the state on environment.</w:t>
      </w:r>
      <w:r w:rsidR="0060715C">
        <w:rPr>
          <w:lang w:val="en-US"/>
        </w:rPr>
        <w:t xml:space="preserve"> </w:t>
      </w:r>
    </w:p>
    <w:p w14:paraId="6C89D061" w14:textId="04206862" w:rsidR="0040564F" w:rsidRPr="00AB7D1E" w:rsidRDefault="00302FE0" w:rsidP="0040564F">
      <w:pPr>
        <w:rPr>
          <w:lang w:val="en-US"/>
        </w:rPr>
      </w:pPr>
      <w:r w:rsidRPr="00AB7D1E">
        <w:rPr>
          <w:b/>
          <w:bCs/>
          <w:lang w:val="en-US"/>
        </w:rPr>
        <w:t xml:space="preserve">Ministry of Culture and Media </w:t>
      </w:r>
      <w:r w:rsidR="0040564F" w:rsidRPr="00AB7D1E">
        <w:rPr>
          <w:lang w:val="en-US"/>
        </w:rPr>
        <w:t xml:space="preserve">is the competent state body </w:t>
      </w:r>
      <w:proofErr w:type="gramStart"/>
      <w:r w:rsidR="0040564F" w:rsidRPr="00AB7D1E">
        <w:rPr>
          <w:lang w:val="en-US"/>
        </w:rPr>
        <w:t>with regard to</w:t>
      </w:r>
      <w:proofErr w:type="gramEnd"/>
      <w:r w:rsidR="0040564F" w:rsidRPr="00AB7D1E">
        <w:rPr>
          <w:lang w:val="en-US"/>
        </w:rPr>
        <w:t xml:space="preserve"> preparation and adoption of legislation in the field of cultural heritage protection, keeping the Cultural Heritage Register, issuing prior approval for works at cultural heritage sites</w:t>
      </w:r>
      <w:r w:rsidR="00C55CE1">
        <w:rPr>
          <w:lang w:val="en-US"/>
        </w:rPr>
        <w:t>, managing chance findings procedures.</w:t>
      </w:r>
    </w:p>
    <w:p w14:paraId="7E0BFA7E" w14:textId="57CBD26D" w:rsidR="0040564F" w:rsidRDefault="00FA1515" w:rsidP="0040564F">
      <w:pPr>
        <w:rPr>
          <w:b/>
          <w:bCs/>
          <w:lang w:val="en-US"/>
        </w:rPr>
      </w:pPr>
      <w:r w:rsidRPr="00AB7D1E">
        <w:rPr>
          <w:b/>
          <w:bCs/>
          <w:lang w:val="en-US"/>
        </w:rPr>
        <w:lastRenderedPageBreak/>
        <w:t xml:space="preserve">Ministry of Physical Planning, Construction and State </w:t>
      </w:r>
      <w:r w:rsidR="00C55CE1">
        <w:rPr>
          <w:b/>
          <w:bCs/>
          <w:lang w:val="en-US"/>
        </w:rPr>
        <w:t>Assets</w:t>
      </w:r>
      <w:r w:rsidR="00C55CE1" w:rsidRPr="00AB7D1E">
        <w:rPr>
          <w:b/>
          <w:bCs/>
          <w:lang w:val="en-US"/>
        </w:rPr>
        <w:t xml:space="preserve"> </w:t>
      </w:r>
      <w:r w:rsidR="0040564F" w:rsidRPr="00AB7D1E">
        <w:rPr>
          <w:lang w:val="en-US"/>
        </w:rPr>
        <w:t>is responsible for preparation and adoption of legislation on physical planning and construction, preparation of spatial strategic and planning documents at the national level, issuance of location, building and use permit (location permits defined by national physical plan and special regulation, for interventions taking place at the area of two or more counties)</w:t>
      </w:r>
      <w:r w:rsidR="0040564F" w:rsidRPr="00AB7D1E">
        <w:rPr>
          <w:b/>
          <w:bCs/>
          <w:lang w:val="en-US"/>
        </w:rPr>
        <w:t>.</w:t>
      </w:r>
    </w:p>
    <w:p w14:paraId="4763C95D" w14:textId="0107E5D4" w:rsidR="00B06815" w:rsidRPr="00B06815" w:rsidRDefault="0018772D" w:rsidP="00B06815">
      <w:pPr>
        <w:suppressAutoHyphens w:val="0"/>
        <w:autoSpaceDN/>
        <w:spacing w:before="0" w:after="160" w:line="259" w:lineRule="auto"/>
        <w:textAlignment w:val="auto"/>
        <w:rPr>
          <w:rFonts w:ascii="Calibri" w:hAnsi="Calibri"/>
          <w:lang w:val="en-GB"/>
        </w:rPr>
      </w:pPr>
      <w:bookmarkStart w:id="103" w:name="_Hlk56878026"/>
      <w:r w:rsidRPr="00B06815">
        <w:rPr>
          <w:rFonts w:ascii="Calibri" w:hAnsi="Calibri"/>
          <w:lang w:val="en-GB"/>
        </w:rPr>
        <w:t xml:space="preserve">According to Act on Reconstruction of Earthquake Damaged Buildings in the City of Zagreb, </w:t>
      </w:r>
      <w:proofErr w:type="spellStart"/>
      <w:r w:rsidRPr="00B06815">
        <w:rPr>
          <w:rFonts w:ascii="Calibri" w:hAnsi="Calibri"/>
          <w:lang w:val="en-GB"/>
        </w:rPr>
        <w:t>Krapina-Zagorje</w:t>
      </w:r>
      <w:proofErr w:type="spellEnd"/>
      <w:r w:rsidRPr="00B06815">
        <w:rPr>
          <w:rFonts w:ascii="Calibri" w:hAnsi="Calibri"/>
          <w:lang w:val="en-GB"/>
        </w:rPr>
        <w:t xml:space="preserve"> County and Zagreb County (OG 102/20) </w:t>
      </w:r>
      <w:r>
        <w:rPr>
          <w:rFonts w:ascii="Calibri" w:hAnsi="Calibri"/>
          <w:lang w:val="en-GB"/>
        </w:rPr>
        <w:t xml:space="preserve">on October 29, 2020 </w:t>
      </w:r>
      <w:r w:rsidRPr="00B06815">
        <w:rPr>
          <w:rFonts w:ascii="Calibri" w:hAnsi="Calibri"/>
          <w:b/>
          <w:bCs/>
          <w:lang w:val="en-GB"/>
        </w:rPr>
        <w:t xml:space="preserve">Fund for Reconstruction of the City of Zagreb, </w:t>
      </w:r>
      <w:proofErr w:type="spellStart"/>
      <w:r w:rsidRPr="00B06815">
        <w:rPr>
          <w:rFonts w:ascii="Calibri" w:hAnsi="Calibri"/>
          <w:b/>
          <w:bCs/>
          <w:lang w:val="en-GB"/>
        </w:rPr>
        <w:t>Krapina-Zagorje</w:t>
      </w:r>
      <w:proofErr w:type="spellEnd"/>
      <w:r w:rsidRPr="00B06815">
        <w:rPr>
          <w:rFonts w:ascii="Calibri" w:hAnsi="Calibri"/>
          <w:b/>
          <w:bCs/>
          <w:lang w:val="en-GB"/>
        </w:rPr>
        <w:t xml:space="preserve"> County and Zagreb County (Reconstruction Fund))</w:t>
      </w:r>
      <w:r w:rsidRPr="00B06815">
        <w:rPr>
          <w:rFonts w:ascii="Calibri" w:hAnsi="Calibri"/>
          <w:lang w:val="en-GB"/>
        </w:rPr>
        <w:t xml:space="preserve"> </w:t>
      </w:r>
      <w:r>
        <w:rPr>
          <w:rFonts w:ascii="Calibri" w:hAnsi="Calibri"/>
          <w:lang w:val="en-GB"/>
        </w:rPr>
        <w:t xml:space="preserve">is </w:t>
      </w:r>
      <w:r w:rsidRPr="00B06815">
        <w:rPr>
          <w:rFonts w:ascii="Calibri" w:hAnsi="Calibri"/>
          <w:lang w:val="en-GB"/>
        </w:rPr>
        <w:t xml:space="preserve">established. The founders of the Reconstruction Fund </w:t>
      </w:r>
      <w:r>
        <w:rPr>
          <w:rFonts w:ascii="Calibri" w:hAnsi="Calibri"/>
          <w:lang w:val="en-GB"/>
        </w:rPr>
        <w:t>are</w:t>
      </w:r>
      <w:r w:rsidRPr="00B06815">
        <w:rPr>
          <w:rFonts w:ascii="Calibri" w:hAnsi="Calibri"/>
          <w:lang w:val="en-GB"/>
        </w:rPr>
        <w:t xml:space="preserve"> Republic of Croatia</w:t>
      </w:r>
      <w:r>
        <w:rPr>
          <w:rFonts w:ascii="Calibri" w:hAnsi="Calibri"/>
          <w:lang w:val="en-GB"/>
        </w:rPr>
        <w:t xml:space="preserve"> with the founding share of 70%</w:t>
      </w:r>
      <w:r w:rsidRPr="00B06815">
        <w:rPr>
          <w:rFonts w:ascii="Calibri" w:hAnsi="Calibri"/>
          <w:lang w:val="en-GB"/>
        </w:rPr>
        <w:t>, the City of Zagreb</w:t>
      </w:r>
      <w:r>
        <w:rPr>
          <w:rFonts w:ascii="Calibri" w:hAnsi="Calibri"/>
          <w:lang w:val="en-GB"/>
        </w:rPr>
        <w:t xml:space="preserve"> with a founding share of 20%</w:t>
      </w:r>
      <w:r w:rsidRPr="00B06815">
        <w:rPr>
          <w:rFonts w:ascii="Calibri" w:hAnsi="Calibri"/>
          <w:lang w:val="en-GB"/>
        </w:rPr>
        <w:t xml:space="preserve">, </w:t>
      </w:r>
      <w:proofErr w:type="spellStart"/>
      <w:r w:rsidRPr="00B06815">
        <w:rPr>
          <w:rFonts w:ascii="Calibri" w:hAnsi="Calibri"/>
          <w:lang w:val="en-GB"/>
        </w:rPr>
        <w:t>Krapina-Zagorje</w:t>
      </w:r>
      <w:proofErr w:type="spellEnd"/>
      <w:r w:rsidRPr="00B06815">
        <w:rPr>
          <w:rFonts w:ascii="Calibri" w:hAnsi="Calibri"/>
          <w:lang w:val="en-GB"/>
        </w:rPr>
        <w:t xml:space="preserve"> County</w:t>
      </w:r>
      <w:r>
        <w:rPr>
          <w:rFonts w:ascii="Calibri" w:hAnsi="Calibri"/>
          <w:lang w:val="en-GB"/>
        </w:rPr>
        <w:t xml:space="preserve"> with the founding share of 5%</w:t>
      </w:r>
      <w:r w:rsidRPr="00B06815">
        <w:rPr>
          <w:rFonts w:ascii="Calibri" w:hAnsi="Calibri"/>
          <w:lang w:val="en-GB"/>
        </w:rPr>
        <w:t xml:space="preserve"> and Zagreb County </w:t>
      </w:r>
      <w:r>
        <w:rPr>
          <w:rFonts w:ascii="Calibri" w:hAnsi="Calibri"/>
          <w:lang w:val="en-GB"/>
        </w:rPr>
        <w:t xml:space="preserve">with the founding share of 5%. Fund </w:t>
      </w:r>
      <w:r w:rsidRPr="00B06815">
        <w:rPr>
          <w:rFonts w:ascii="Calibri" w:hAnsi="Calibri"/>
          <w:lang w:val="en-GB"/>
        </w:rPr>
        <w:t xml:space="preserve">will perform professional and other tasks of preparation, organization and implementation of the reconstruction of buildings damaged by the earthquake and monitoring of the implementation of the all reconstruction measures. The Reconstruction Fund is foreseen as a body for implementing decisions prepared by </w:t>
      </w:r>
      <w:proofErr w:type="spellStart"/>
      <w:r w:rsidRPr="00B06815">
        <w:rPr>
          <w:rFonts w:ascii="Calibri" w:hAnsi="Calibri"/>
          <w:lang w:val="en-GB"/>
        </w:rPr>
        <w:t>MoPPCSA</w:t>
      </w:r>
      <w:proofErr w:type="spellEnd"/>
      <w:r w:rsidRPr="00B06815">
        <w:rPr>
          <w:rFonts w:ascii="Calibri" w:hAnsi="Calibri"/>
          <w:lang w:val="en-GB"/>
        </w:rPr>
        <w:t xml:space="preserve">. </w:t>
      </w:r>
      <w:proofErr w:type="spellStart"/>
      <w:r w:rsidRPr="00B06815">
        <w:rPr>
          <w:rFonts w:ascii="Calibri" w:hAnsi="Calibri"/>
          <w:lang w:val="en-GB"/>
        </w:rPr>
        <w:t>MoPPCSA</w:t>
      </w:r>
      <w:proofErr w:type="spellEnd"/>
      <w:r w:rsidRPr="00B06815">
        <w:rPr>
          <w:rFonts w:ascii="Calibri" w:hAnsi="Calibri"/>
          <w:lang w:val="en-GB"/>
        </w:rPr>
        <w:t xml:space="preserve"> is responsible for preparation and adoption of decisions on reconstruction and financial assistance, initiated at the request of the owner or co-owner of the damaged buildings or construction inspection authority, and Reconstruction Fund is responsible for implementation of these decisions. Fund will: conduct payment of financial assistance, implementation of the reconstruction, removal of buildings and construction of replacement houses, selection of certified civil engineers and architects or companies who prepare technical documentation, selection of contractors and supervising engineers, the auditors and providers of technical and financial control of the project, conclude and monitor the implementation of the works contracts and provide </w:t>
      </w:r>
      <w:proofErr w:type="spellStart"/>
      <w:r w:rsidRPr="00B06815">
        <w:rPr>
          <w:rFonts w:ascii="Calibri" w:hAnsi="Calibri"/>
          <w:lang w:val="en-GB"/>
        </w:rPr>
        <w:t>MoPPCSA</w:t>
      </w:r>
      <w:proofErr w:type="spellEnd"/>
      <w:r w:rsidRPr="00B06815">
        <w:rPr>
          <w:rFonts w:ascii="Calibri" w:hAnsi="Calibri"/>
          <w:lang w:val="en-GB"/>
        </w:rPr>
        <w:t xml:space="preserve"> data on reconstruction, after completion of construction works take over the building from the contractor and handing it over to the owner or co-owners together with the technical documentation, etc.</w:t>
      </w:r>
      <w:r>
        <w:rPr>
          <w:rFonts w:ascii="Calibri" w:hAnsi="Calibri"/>
          <w:lang w:val="en-GB"/>
        </w:rPr>
        <w:t xml:space="preserve"> </w:t>
      </w:r>
      <w:bookmarkEnd w:id="103"/>
    </w:p>
    <w:p w14:paraId="2C95AB49" w14:textId="4BECFB35" w:rsidR="0040564F" w:rsidRPr="00AB7D1E" w:rsidRDefault="0040564F" w:rsidP="0040564F">
      <w:pPr>
        <w:rPr>
          <w:lang w:val="en-US"/>
        </w:rPr>
      </w:pPr>
      <w:r w:rsidRPr="00AB7D1E">
        <w:rPr>
          <w:b/>
          <w:bCs/>
          <w:lang w:val="en-US"/>
        </w:rPr>
        <w:t xml:space="preserve">Ministry of </w:t>
      </w:r>
      <w:proofErr w:type="spellStart"/>
      <w:r w:rsidRPr="00AB7D1E">
        <w:rPr>
          <w:b/>
          <w:bCs/>
          <w:lang w:val="en-US"/>
        </w:rPr>
        <w:t>Labour</w:t>
      </w:r>
      <w:proofErr w:type="spellEnd"/>
      <w:r w:rsidR="00302FE0" w:rsidRPr="00AB7D1E">
        <w:rPr>
          <w:b/>
          <w:bCs/>
          <w:lang w:val="en-US"/>
        </w:rPr>
        <w:t xml:space="preserve">, </w:t>
      </w:r>
      <w:r w:rsidRPr="00AB7D1E">
        <w:rPr>
          <w:b/>
          <w:bCs/>
          <w:lang w:val="en-US"/>
        </w:rPr>
        <w:t>Pension System</w:t>
      </w:r>
      <w:r w:rsidR="00302FE0" w:rsidRPr="00AB7D1E">
        <w:rPr>
          <w:b/>
          <w:bCs/>
          <w:lang w:val="en-US"/>
        </w:rPr>
        <w:t>, Family and Social Policy</w:t>
      </w:r>
      <w:r w:rsidRPr="00AB7D1E">
        <w:rPr>
          <w:lang w:val="en-US"/>
        </w:rPr>
        <w:t xml:space="preserve"> is responsible for employment policy, pension insurance system and social security policy occupational health and safety. The National Council for Occupational Safety, established by the Government of the Republic of Croatia, is in charge for monitoring in the field of occupational health and safety. Since this is a multidisciplinary topic, in addition to this institutions and regulations deriving from the Occupational Safety and Health Act (OG 71/14, 118/14, 94/18, 96/18), other competent authorities, such as the </w:t>
      </w:r>
      <w:r w:rsidRPr="00AB7D1E">
        <w:rPr>
          <w:b/>
          <w:bCs/>
          <w:lang w:val="en-US"/>
        </w:rPr>
        <w:t>Ministry of Health</w:t>
      </w:r>
      <w:r w:rsidRPr="00AB7D1E">
        <w:rPr>
          <w:lang w:val="en-US"/>
        </w:rPr>
        <w:t>, participate in preparation, implementation and supervision of the occupational health and safety policy.</w:t>
      </w:r>
    </w:p>
    <w:p w14:paraId="5D6DF466" w14:textId="337DA4E2" w:rsidR="00CA2E8F" w:rsidRPr="00AB7D1E" w:rsidRDefault="00CA2E8F" w:rsidP="0040564F">
      <w:pPr>
        <w:rPr>
          <w:lang w:val="en-US"/>
        </w:rPr>
      </w:pPr>
      <w:r w:rsidRPr="00AB7D1E">
        <w:rPr>
          <w:b/>
          <w:bCs/>
          <w:lang w:val="en-US"/>
        </w:rPr>
        <w:t>The Ministry of Health</w:t>
      </w:r>
      <w:r w:rsidRPr="00AB7D1E">
        <w:rPr>
          <w:lang w:val="en-US"/>
        </w:rPr>
        <w:t xml:space="preserve"> is the main regulatory body for the health care system. It regulates standards of health services; the training of health care professionals; and capital investments in public health care providers.</w:t>
      </w:r>
    </w:p>
    <w:p w14:paraId="5F01ED4B" w14:textId="03C9846F" w:rsidR="00656081" w:rsidRPr="00AB7D1E" w:rsidRDefault="00656081" w:rsidP="00656081">
      <w:pPr>
        <w:rPr>
          <w:lang w:val="en-US"/>
        </w:rPr>
      </w:pPr>
      <w:r w:rsidRPr="00AB7D1E">
        <w:rPr>
          <w:b/>
          <w:bCs/>
          <w:lang w:val="en-US"/>
        </w:rPr>
        <w:t xml:space="preserve">Croatian Institute of Public Health </w:t>
      </w:r>
      <w:r w:rsidRPr="00AB7D1E">
        <w:rPr>
          <w:lang w:val="en-US"/>
        </w:rPr>
        <w:t>is a central public health institute in the Republic of Croatia. CIPH deals with public health, health promotion and education, disease prevention, microbiology, environmental health, school medicine, mental health care and addiction prevention. CIPH’s main tasks are to plan, promote and implement measures for the enhancement of population health and reduction of health problems. CIPH carries out epidemiological surveillance and proposes, organizes and undertakes preventive and counter-epidemic measures. In addition, CIPH performs duties concerned with the analysis and evaluation of water safety and the impact of environmental factors on human health.</w:t>
      </w:r>
    </w:p>
    <w:p w14:paraId="04D8DE93" w14:textId="56C9DF65" w:rsidR="0040564F" w:rsidRPr="00AB7D1E" w:rsidRDefault="0040564F" w:rsidP="0040564F">
      <w:pPr>
        <w:rPr>
          <w:lang w:val="en-US"/>
        </w:rPr>
      </w:pPr>
      <w:r w:rsidRPr="00AB7D1E">
        <w:rPr>
          <w:b/>
          <w:bCs/>
          <w:lang w:val="en-US"/>
        </w:rPr>
        <w:t>Ministry of the Interior</w:t>
      </w:r>
      <w:r w:rsidRPr="00AB7D1E">
        <w:rPr>
          <w:lang w:val="en-US"/>
        </w:rPr>
        <w:t xml:space="preserve"> along </w:t>
      </w:r>
      <w:r w:rsidR="005436CB" w:rsidRPr="00AB7D1E">
        <w:rPr>
          <w:lang w:val="en-US"/>
        </w:rPr>
        <w:t xml:space="preserve">with </w:t>
      </w:r>
      <w:r w:rsidRPr="00AB7D1E">
        <w:rPr>
          <w:lang w:val="en-US"/>
        </w:rPr>
        <w:t xml:space="preserve">administrative works, also carries out other works related </w:t>
      </w:r>
      <w:proofErr w:type="gramStart"/>
      <w:r w:rsidRPr="00AB7D1E">
        <w:rPr>
          <w:lang w:val="en-US"/>
        </w:rPr>
        <w:t>to:</w:t>
      </w:r>
      <w:proofErr w:type="gramEnd"/>
      <w:r w:rsidRPr="00AB7D1E">
        <w:rPr>
          <w:lang w:val="en-US"/>
        </w:rPr>
        <w:t xml:space="preserve"> road traffic safety, motor vehicle registration; explosives; fire protection</w:t>
      </w:r>
      <w:r w:rsidR="00FB4824" w:rsidRPr="00AB7D1E">
        <w:rPr>
          <w:lang w:val="en-US"/>
        </w:rPr>
        <w:t xml:space="preserve"> and radiological and nuclear safety.</w:t>
      </w:r>
    </w:p>
    <w:p w14:paraId="0EDF52B8" w14:textId="77777777" w:rsidR="0040564F" w:rsidRPr="00AB7D1E" w:rsidRDefault="0040564F" w:rsidP="0040564F">
      <w:pPr>
        <w:rPr>
          <w:lang w:val="en-US"/>
        </w:rPr>
      </w:pPr>
      <w:r w:rsidRPr="00AB7D1E">
        <w:rPr>
          <w:b/>
          <w:bCs/>
          <w:lang w:val="en-US"/>
        </w:rPr>
        <w:lastRenderedPageBreak/>
        <w:t xml:space="preserve">State Inspectorate is responsible </w:t>
      </w:r>
      <w:r w:rsidRPr="00AB7D1E">
        <w:rPr>
          <w:lang w:val="en-US"/>
        </w:rPr>
        <w:t xml:space="preserve">for inspection in the field of environmental protection; air protection, sustainable waste management, protection from </w:t>
      </w:r>
      <w:bookmarkStart w:id="104" w:name="_Hlk46089558"/>
      <w:r w:rsidRPr="00AB7D1E">
        <w:rPr>
          <w:lang w:val="en-US"/>
        </w:rPr>
        <w:t>light pollution</w:t>
      </w:r>
      <w:bookmarkEnd w:id="104"/>
      <w:r w:rsidRPr="00AB7D1E">
        <w:rPr>
          <w:lang w:val="en-US"/>
        </w:rPr>
        <w:t>, water management, nature protection, cross-border traffic and trade with wildlife, energy, occupational safety and health, construction, etc.</w:t>
      </w:r>
    </w:p>
    <w:p w14:paraId="287521DB" w14:textId="0FFC93BD" w:rsidR="0040564F" w:rsidRDefault="0040564F" w:rsidP="0040564F">
      <w:pPr>
        <w:spacing w:line="276" w:lineRule="auto"/>
        <w:rPr>
          <w:rFonts w:ascii="Calibri" w:hAnsi="Calibri" w:cs="Calibri"/>
          <w:lang w:val="en-US"/>
        </w:rPr>
      </w:pPr>
      <w:bookmarkStart w:id="105" w:name="_Hlk46085593"/>
      <w:r w:rsidRPr="00AB7D1E">
        <w:rPr>
          <w:rFonts w:ascii="Calibri" w:hAnsi="Calibri" w:cs="Calibri"/>
          <w:b/>
          <w:bCs/>
          <w:lang w:val="en-US"/>
        </w:rPr>
        <w:t>Local and regional self-government units’</w:t>
      </w:r>
      <w:bookmarkEnd w:id="105"/>
      <w:r w:rsidRPr="00AB7D1E">
        <w:rPr>
          <w:rFonts w:ascii="Calibri" w:hAnsi="Calibri" w:cs="Calibri"/>
          <w:b/>
          <w:bCs/>
          <w:lang w:val="en-US"/>
        </w:rPr>
        <w:t xml:space="preserve"> </w:t>
      </w:r>
      <w:r w:rsidRPr="00AB7D1E">
        <w:rPr>
          <w:rFonts w:ascii="Calibri" w:hAnsi="Calibri" w:cs="Calibri"/>
          <w:lang w:val="en-US"/>
        </w:rPr>
        <w:t>responsibilities (which are not assigned to state bodies by the Constitution or law): social and child protection, education, health care, emergency preparedness. Local and regional self-government units are responsible for activities related to the arrangement of settlements and housing, spatial and urban planning, communal activities, child care, social welfare, primary health care, upbringing and primary education, culture, physical culture and sports, consumer protection, protection and improvement of the natural environment and jobs fire and civil protection.</w:t>
      </w:r>
    </w:p>
    <w:p w14:paraId="3A51ED0C" w14:textId="7C61D1F4" w:rsidR="0018772D" w:rsidRDefault="0018772D" w:rsidP="0018772D">
      <w:pPr>
        <w:suppressAutoHyphens w:val="0"/>
        <w:autoSpaceDN/>
        <w:spacing w:before="0" w:after="160" w:line="259" w:lineRule="auto"/>
        <w:textAlignment w:val="auto"/>
        <w:rPr>
          <w:rFonts w:ascii="Calibri" w:hAnsi="Calibri"/>
          <w:lang w:val="en-GB"/>
        </w:rPr>
      </w:pPr>
      <w:r w:rsidRPr="00504FC4">
        <w:rPr>
          <w:rFonts w:ascii="Calibri" w:hAnsi="Calibri"/>
          <w:b/>
          <w:bCs/>
          <w:lang w:val="en-GB"/>
        </w:rPr>
        <w:t>The Zagreb City Institute for the Conservation of Cultural and Natural Heritage</w:t>
      </w:r>
      <w:r w:rsidRPr="00504FC4">
        <w:rPr>
          <w:rFonts w:ascii="Calibri" w:hAnsi="Calibri"/>
          <w:lang w:val="en-GB"/>
        </w:rPr>
        <w:t>. The main activity of the Croatian Conservation Institute is conservation and restoration of immovable cultural goods (architectural heritage, wall paintings and mosaics, stone sculptures and stucco), movable cultural goods (easel paintings, wooden polychrome sculptures, furniture, art on paper, artworks of leather, items of textile or metal), archaeological heritage, and other objects of cultural, historical or technical significance.</w:t>
      </w:r>
    </w:p>
    <w:p w14:paraId="262FEA30" w14:textId="77777777" w:rsidR="00AB0E23" w:rsidRPr="00AB7D1E" w:rsidRDefault="00AB0E23" w:rsidP="00AB0E23">
      <w:pPr>
        <w:rPr>
          <w:lang w:val="en-US"/>
        </w:rPr>
      </w:pPr>
      <w:r w:rsidRPr="00AB7D1E">
        <w:rPr>
          <w:b/>
          <w:bCs/>
          <w:lang w:val="en-US"/>
        </w:rPr>
        <w:t xml:space="preserve">The </w:t>
      </w:r>
      <w:bookmarkStart w:id="106" w:name="_Hlk47908506"/>
      <w:r w:rsidRPr="00AB7D1E">
        <w:rPr>
          <w:b/>
          <w:bCs/>
          <w:lang w:val="en-US"/>
        </w:rPr>
        <w:t xml:space="preserve">Environmental Protection and Energy Efficiency Fund </w:t>
      </w:r>
      <w:bookmarkEnd w:id="106"/>
      <w:r w:rsidRPr="00AB7D1E">
        <w:rPr>
          <w:lang w:val="en-US"/>
        </w:rPr>
        <w:t xml:space="preserve">is the central body for collecting and investing extra-budgetary resources into programs and projects that protect nature and the environment, energy efficiency and renewable energy sources. In the system of management and control of the utilization of EU structural instruments in Croatia, EPEEF performs the function of Intermediate Body level 2 for the specific objectives in the fields of environmental protection and sustainability of resources, climate change, energy efficiency, and renewable energy sources. </w:t>
      </w:r>
    </w:p>
    <w:p w14:paraId="4FC07AB2" w14:textId="5A65655B" w:rsidR="00AB0E23" w:rsidRPr="00AB0E23" w:rsidRDefault="00AB0E23" w:rsidP="00AB0E23">
      <w:pPr>
        <w:rPr>
          <w:b/>
          <w:bCs/>
          <w:lang w:val="en-US"/>
        </w:rPr>
      </w:pPr>
      <w:r w:rsidRPr="00AB7D1E">
        <w:rPr>
          <w:lang w:val="en-US"/>
        </w:rPr>
        <w:t xml:space="preserve">Environmental monitoring activities are not centralized, as competences are divided, according to the type of monitoring, between different state and public bodies. In general, the </w:t>
      </w:r>
      <w:proofErr w:type="spellStart"/>
      <w:r w:rsidRPr="00AB7D1E">
        <w:rPr>
          <w:lang w:val="en-US"/>
        </w:rPr>
        <w:t>MoESD</w:t>
      </w:r>
      <w:proofErr w:type="spellEnd"/>
      <w:r w:rsidRPr="00AB7D1E">
        <w:rPr>
          <w:lang w:val="en-US"/>
        </w:rPr>
        <w:t xml:space="preserve"> are responsible for monitoring activities of waste management, nature protection and biodiversity, air quality. </w:t>
      </w:r>
      <w:r w:rsidRPr="00AB7D1E">
        <w:rPr>
          <w:b/>
          <w:bCs/>
          <w:lang w:val="en-US"/>
        </w:rPr>
        <w:t>Other monitoring activities are carried by Ministry of Agriculture, Croatian Waters, Croatian Meteorological and Hydrological Service, and other public bodies.</w:t>
      </w:r>
    </w:p>
    <w:p w14:paraId="78D51039" w14:textId="494F52D0" w:rsidR="00DA18D0" w:rsidRPr="00AB7D1E" w:rsidRDefault="00DA18D0" w:rsidP="00D60C6C">
      <w:pPr>
        <w:pStyle w:val="Heading3"/>
        <w:rPr>
          <w:lang w:val="en-US"/>
        </w:rPr>
      </w:pPr>
      <w:bookmarkStart w:id="107" w:name="_Ref48062126"/>
      <w:bookmarkStart w:id="108" w:name="_Toc56954056"/>
      <w:r w:rsidRPr="00AB7D1E">
        <w:rPr>
          <w:lang w:val="en-US"/>
        </w:rPr>
        <w:t>Environment Impact Assessment (EIA)</w:t>
      </w:r>
      <w:bookmarkEnd w:id="107"/>
      <w:r w:rsidR="008F51E2">
        <w:rPr>
          <w:lang w:val="en-US"/>
        </w:rPr>
        <w:t xml:space="preserve"> national regulation</w:t>
      </w:r>
      <w:bookmarkEnd w:id="108"/>
    </w:p>
    <w:p w14:paraId="20DC4C27" w14:textId="77777777" w:rsidR="00DA18D0" w:rsidRPr="00AB7D1E" w:rsidRDefault="00DA18D0" w:rsidP="00DA18D0">
      <w:pPr>
        <w:spacing w:line="249" w:lineRule="auto"/>
        <w:rPr>
          <w:lang w:val="en-US"/>
        </w:rPr>
      </w:pPr>
      <w:r w:rsidRPr="00AB7D1E">
        <w:rPr>
          <w:lang w:val="en-US"/>
        </w:rPr>
        <w:t>The main regulations governing environmental impact assessment procedure and the possible environmental impacts resulting from adoption of different strategic and planning documents are:</w:t>
      </w:r>
    </w:p>
    <w:p w14:paraId="3E6227F2" w14:textId="77777777" w:rsidR="00DA18D0" w:rsidRPr="00AB7D1E" w:rsidRDefault="00DA18D0" w:rsidP="0078374B">
      <w:pPr>
        <w:numPr>
          <w:ilvl w:val="0"/>
          <w:numId w:val="1"/>
        </w:numPr>
        <w:spacing w:after="0" w:line="240" w:lineRule="auto"/>
        <w:ind w:left="714" w:hanging="357"/>
        <w:rPr>
          <w:lang w:val="en-US"/>
        </w:rPr>
      </w:pPr>
      <w:bookmarkStart w:id="109" w:name="_Hlk47965785"/>
      <w:r w:rsidRPr="00AB7D1E">
        <w:rPr>
          <w:lang w:val="en-US"/>
        </w:rPr>
        <w:t>Environmental Protection Act (OG 80/13, 153/13, 78/15, 12/18, 118/18),</w:t>
      </w:r>
    </w:p>
    <w:p w14:paraId="56A33618" w14:textId="6C2BB414" w:rsidR="00DA18D0" w:rsidRPr="00AB7D1E" w:rsidRDefault="00DA18D0" w:rsidP="0078374B">
      <w:pPr>
        <w:numPr>
          <w:ilvl w:val="0"/>
          <w:numId w:val="1"/>
        </w:numPr>
        <w:shd w:val="clear" w:color="auto" w:fill="FFFFFF"/>
        <w:spacing w:after="0" w:line="240" w:lineRule="auto"/>
        <w:ind w:left="714" w:hanging="357"/>
        <w:rPr>
          <w:lang w:val="en-US"/>
        </w:rPr>
      </w:pPr>
      <w:r w:rsidRPr="00AB7D1E">
        <w:rPr>
          <w:rFonts w:eastAsia="Times New Roman"/>
          <w:bCs/>
          <w:lang w:val="en-US" w:eastAsia="hr-HR"/>
        </w:rPr>
        <w:t xml:space="preserve">Nature Protection Act </w:t>
      </w:r>
      <w:r w:rsidRPr="00AB7D1E">
        <w:rPr>
          <w:rFonts w:eastAsia="Times New Roman"/>
          <w:lang w:val="en-US" w:eastAsia="hr-HR"/>
        </w:rPr>
        <w:t>(OG 80/13, 15/18, 14/19</w:t>
      </w:r>
      <w:r w:rsidR="008536FC" w:rsidRPr="00AB7D1E">
        <w:rPr>
          <w:rFonts w:eastAsia="Times New Roman"/>
          <w:lang w:val="en-US" w:eastAsia="hr-HR"/>
        </w:rPr>
        <w:t>, 127/19</w:t>
      </w:r>
      <w:r w:rsidRPr="00AB7D1E">
        <w:rPr>
          <w:rFonts w:eastAsia="Times New Roman"/>
          <w:lang w:val="en-US" w:eastAsia="hr-HR"/>
        </w:rPr>
        <w:t>),</w:t>
      </w:r>
    </w:p>
    <w:p w14:paraId="4E5F25FD" w14:textId="77777777" w:rsidR="00DA18D0" w:rsidRPr="00AB7D1E" w:rsidRDefault="00DA18D0" w:rsidP="0078374B">
      <w:pPr>
        <w:numPr>
          <w:ilvl w:val="0"/>
          <w:numId w:val="1"/>
        </w:numPr>
        <w:shd w:val="clear" w:color="auto" w:fill="FFFFFF"/>
        <w:spacing w:after="0" w:line="240" w:lineRule="auto"/>
        <w:ind w:left="714" w:hanging="357"/>
        <w:rPr>
          <w:rFonts w:eastAsia="Times New Roman"/>
          <w:lang w:val="en-US" w:eastAsia="hr-HR"/>
        </w:rPr>
      </w:pPr>
      <w:bookmarkStart w:id="110" w:name="_Hlk7688386"/>
      <w:r w:rsidRPr="00AB7D1E">
        <w:rPr>
          <w:rFonts w:eastAsia="Times New Roman"/>
          <w:lang w:val="en-US" w:eastAsia="hr-HR"/>
        </w:rPr>
        <w:t xml:space="preserve">Regulation on environmental impact assessment </w:t>
      </w:r>
      <w:bookmarkEnd w:id="110"/>
      <w:r w:rsidRPr="00AB7D1E">
        <w:rPr>
          <w:rFonts w:eastAsia="Times New Roman"/>
          <w:lang w:val="en-US" w:eastAsia="hr-HR"/>
        </w:rPr>
        <w:t>(OG 61/14, 3/17),</w:t>
      </w:r>
    </w:p>
    <w:p w14:paraId="33412AA3" w14:textId="77777777" w:rsidR="00DA18D0" w:rsidRPr="00AB7D1E" w:rsidRDefault="00DA18D0" w:rsidP="0078374B">
      <w:pPr>
        <w:numPr>
          <w:ilvl w:val="0"/>
          <w:numId w:val="1"/>
        </w:numPr>
        <w:shd w:val="clear" w:color="auto" w:fill="FFFFFF"/>
        <w:spacing w:after="0" w:line="240" w:lineRule="auto"/>
        <w:ind w:left="714" w:hanging="357"/>
        <w:rPr>
          <w:rFonts w:eastAsia="Times New Roman"/>
          <w:lang w:val="en-US" w:eastAsia="hr-HR"/>
        </w:rPr>
      </w:pPr>
      <w:r w:rsidRPr="00AB7D1E">
        <w:rPr>
          <w:rFonts w:eastAsia="Times New Roman"/>
          <w:lang w:val="en-US" w:eastAsia="hr-HR"/>
        </w:rPr>
        <w:t xml:space="preserve">Regulation on the strategic environmental assessment of strategy, plan and </w:t>
      </w:r>
      <w:proofErr w:type="spellStart"/>
      <w:r w:rsidRPr="00AB7D1E">
        <w:rPr>
          <w:rFonts w:eastAsia="Times New Roman"/>
          <w:lang w:val="en-US" w:eastAsia="hr-HR"/>
        </w:rPr>
        <w:t>programme</w:t>
      </w:r>
      <w:proofErr w:type="spellEnd"/>
      <w:r w:rsidRPr="00AB7D1E">
        <w:rPr>
          <w:rFonts w:eastAsia="Times New Roman"/>
          <w:lang w:val="en-US" w:eastAsia="hr-HR"/>
        </w:rPr>
        <w:t xml:space="preserve"> (OG 3/17),</w:t>
      </w:r>
    </w:p>
    <w:p w14:paraId="76D47DEE" w14:textId="7F6B9646" w:rsidR="008536FC" w:rsidRPr="00AB7D1E" w:rsidRDefault="00DA18D0" w:rsidP="0078374B">
      <w:pPr>
        <w:numPr>
          <w:ilvl w:val="0"/>
          <w:numId w:val="1"/>
        </w:numPr>
        <w:spacing w:after="0" w:line="240" w:lineRule="auto"/>
        <w:ind w:left="714" w:hanging="357"/>
        <w:rPr>
          <w:lang w:val="en-US"/>
        </w:rPr>
      </w:pPr>
      <w:r w:rsidRPr="00AB7D1E">
        <w:rPr>
          <w:bCs/>
          <w:lang w:val="en-US"/>
        </w:rPr>
        <w:t xml:space="preserve">Regulation on the ecological network </w:t>
      </w:r>
      <w:r w:rsidR="008536FC" w:rsidRPr="00AB7D1E">
        <w:rPr>
          <w:bCs/>
          <w:lang w:val="en-US"/>
        </w:rPr>
        <w:t xml:space="preserve">and the competencies of public institutions for ecological network management </w:t>
      </w:r>
      <w:r w:rsidR="008536FC" w:rsidRPr="00AB7D1E">
        <w:rPr>
          <w:lang w:val="en-US"/>
        </w:rPr>
        <w:t>(OG 80/19),</w:t>
      </w:r>
    </w:p>
    <w:p w14:paraId="660D6CE1" w14:textId="50F003DA" w:rsidR="00DA18D0" w:rsidRPr="00AB7D1E" w:rsidRDefault="008536FC" w:rsidP="0078374B">
      <w:pPr>
        <w:numPr>
          <w:ilvl w:val="0"/>
          <w:numId w:val="1"/>
        </w:numPr>
        <w:spacing w:after="0" w:line="240" w:lineRule="auto"/>
        <w:ind w:left="714" w:hanging="357"/>
        <w:rPr>
          <w:lang w:val="en-US"/>
        </w:rPr>
      </w:pPr>
      <w:r w:rsidRPr="00AB7D1E">
        <w:rPr>
          <w:lang w:val="en-US"/>
        </w:rPr>
        <w:t>Ordinance on conservation objectives and conservation measures for target bird species in ecological network areas (OG 25/20, 38/20).</w:t>
      </w:r>
    </w:p>
    <w:bookmarkEnd w:id="109"/>
    <w:p w14:paraId="04AAF7FB" w14:textId="77777777" w:rsidR="00DA18D0" w:rsidRPr="00AB7D1E" w:rsidRDefault="00DA18D0" w:rsidP="00DA18D0">
      <w:pPr>
        <w:shd w:val="clear" w:color="auto" w:fill="FFFFFF"/>
        <w:spacing w:after="0" w:line="240" w:lineRule="auto"/>
        <w:rPr>
          <w:rFonts w:eastAsia="Times New Roman"/>
          <w:lang w:val="en-US" w:eastAsia="hr-HR"/>
        </w:rPr>
      </w:pPr>
      <w:r w:rsidRPr="00AB7D1E">
        <w:rPr>
          <w:rFonts w:eastAsia="Times New Roman"/>
          <w:lang w:val="en-US" w:eastAsia="hr-HR"/>
        </w:rPr>
        <w:t xml:space="preserve">The Environmental Protection Act defines environmental protection objectives and principles, key stakeholders and their responsibilities and environmental impact assessment procedure (Articles No. 76 to 94). In addition to assessing the environmental impact of a </w:t>
      </w:r>
      <w:proofErr w:type="gramStart"/>
      <w:r w:rsidRPr="00AB7D1E">
        <w:rPr>
          <w:rFonts w:eastAsia="Times New Roman"/>
          <w:lang w:val="en-US" w:eastAsia="hr-HR"/>
        </w:rPr>
        <w:t>particular intervention/project</w:t>
      </w:r>
      <w:proofErr w:type="gramEnd"/>
      <w:r w:rsidRPr="00AB7D1E">
        <w:rPr>
          <w:rFonts w:eastAsia="Times New Roman"/>
          <w:lang w:val="en-US" w:eastAsia="hr-HR"/>
        </w:rPr>
        <w:t xml:space="preserve"> </w:t>
      </w:r>
      <w:r w:rsidRPr="00AB7D1E">
        <w:rPr>
          <w:rFonts w:eastAsia="Times New Roman"/>
          <w:lang w:val="en-US" w:eastAsia="hr-HR"/>
        </w:rPr>
        <w:lastRenderedPageBreak/>
        <w:t xml:space="preserve">according to Act, it is mandatory to implement strategic environmental impact assessment by which environmental impacts that may arise from the implementation of different strategic and planning documents are evaluated (Articles No. 62-75). This is additional safeguard mechanism. For example, national physical plan (with which plans of the counties, cities and municipalities </w:t>
      </w:r>
      <w:proofErr w:type="gramStart"/>
      <w:r w:rsidRPr="00AB7D1E">
        <w:rPr>
          <w:rFonts w:eastAsia="Times New Roman"/>
          <w:lang w:val="en-US" w:eastAsia="hr-HR"/>
        </w:rPr>
        <w:t>have to</w:t>
      </w:r>
      <w:proofErr w:type="gramEnd"/>
      <w:r w:rsidRPr="00AB7D1E">
        <w:rPr>
          <w:rFonts w:eastAsia="Times New Roman"/>
          <w:lang w:val="en-US" w:eastAsia="hr-HR"/>
        </w:rPr>
        <w:t xml:space="preserve"> be aligned) must undergo procedure of environmental impact assessment. </w:t>
      </w:r>
    </w:p>
    <w:p w14:paraId="20098263" w14:textId="6D129E57" w:rsidR="00DA18D0" w:rsidRPr="00AB7D1E" w:rsidRDefault="00DA18D0" w:rsidP="00DA18D0">
      <w:pPr>
        <w:spacing w:after="0" w:line="240" w:lineRule="auto"/>
        <w:rPr>
          <w:lang w:val="en-US"/>
        </w:rPr>
      </w:pPr>
      <w:bookmarkStart w:id="111" w:name="_Hlk50891208"/>
      <w:r w:rsidRPr="00AB7D1E">
        <w:rPr>
          <w:lang w:val="en-US"/>
        </w:rPr>
        <w:t>Detail provisions of environmental impact assessment procedure are defined by Regulation on environmental impact assessment.</w:t>
      </w:r>
      <w:bookmarkEnd w:id="111"/>
      <w:r w:rsidRPr="00AB7D1E">
        <w:rPr>
          <w:lang w:val="en-US"/>
        </w:rPr>
        <w:t xml:space="preserve"> Environmental impact assessment is obligatory for interventions defined in Annex I of the Regulation. In Annex II and Annex III interventions for which screening procedure </w:t>
      </w:r>
      <w:proofErr w:type="gramStart"/>
      <w:r w:rsidRPr="00AB7D1E">
        <w:rPr>
          <w:lang w:val="en-US"/>
        </w:rPr>
        <w:t>has to</w:t>
      </w:r>
      <w:proofErr w:type="gramEnd"/>
      <w:r w:rsidRPr="00AB7D1E">
        <w:rPr>
          <w:lang w:val="en-US"/>
        </w:rPr>
        <w:t xml:space="preserve"> be carried are given. </w:t>
      </w:r>
      <w:r w:rsidR="002F3169" w:rsidRPr="00AB7D1E">
        <w:rPr>
          <w:lang w:val="en-US"/>
        </w:rPr>
        <w:t>Ministry of Economy and Sustainable Development</w:t>
      </w:r>
      <w:r w:rsidRPr="00AB7D1E">
        <w:rPr>
          <w:lang w:val="en-US"/>
        </w:rPr>
        <w:t xml:space="preserve"> is responsible for the procedures defined by Annex I and II, while administrative body in the county or in the City of Zagreb is responsible for the implementation of interventions defined by Annex III. Criteria for defining environmental impact assessment</w:t>
      </w:r>
      <w:r w:rsidR="00552621">
        <w:rPr>
          <w:lang w:val="en-US"/>
        </w:rPr>
        <w:t xml:space="preserve"> </w:t>
      </w:r>
      <w:r w:rsidRPr="00AB7D1E">
        <w:rPr>
          <w:lang w:val="en-US"/>
        </w:rPr>
        <w:t>necessary are defined in Annex V.</w:t>
      </w:r>
    </w:p>
    <w:p w14:paraId="384C908A" w14:textId="2B0AF534" w:rsidR="00DA18D0" w:rsidRPr="00AB7D1E" w:rsidRDefault="00DA18D0" w:rsidP="00DA18D0">
      <w:pPr>
        <w:spacing w:after="0" w:line="240" w:lineRule="auto"/>
        <w:rPr>
          <w:lang w:val="en-US"/>
        </w:rPr>
      </w:pPr>
      <w:r w:rsidRPr="00AB7D1E">
        <w:rPr>
          <w:lang w:val="en-US"/>
        </w:rPr>
        <w:t xml:space="preserve">For interventions which have possible significant negative impact on the </w:t>
      </w:r>
      <w:proofErr w:type="gramStart"/>
      <w:r w:rsidRPr="00AB7D1E">
        <w:rPr>
          <w:lang w:val="en-US"/>
        </w:rPr>
        <w:t>environment</w:t>
      </w:r>
      <w:proofErr w:type="gramEnd"/>
      <w:r w:rsidRPr="00AB7D1E">
        <w:rPr>
          <w:lang w:val="en-US"/>
        </w:rPr>
        <w:t xml:space="preserve"> and which are not listed in Annex I, II and III of the Regulation on environmental impact assessment, </w:t>
      </w:r>
      <w:r w:rsidR="009477B8">
        <w:rPr>
          <w:lang w:val="en-US"/>
        </w:rPr>
        <w:t xml:space="preserve">screening and </w:t>
      </w:r>
      <w:r w:rsidRPr="00AB7D1E">
        <w:rPr>
          <w:lang w:val="en-US"/>
        </w:rPr>
        <w:t xml:space="preserve">opinion, </w:t>
      </w:r>
      <w:r w:rsidR="009477B8">
        <w:rPr>
          <w:lang w:val="en-US"/>
        </w:rPr>
        <w:t xml:space="preserve">of the </w:t>
      </w:r>
      <w:r w:rsidRPr="00AB7D1E">
        <w:rPr>
          <w:lang w:val="en-US"/>
        </w:rPr>
        <w:t>competent authority has to be obtain</w:t>
      </w:r>
      <w:r w:rsidR="00945B6C">
        <w:rPr>
          <w:rStyle w:val="FootnoteReference"/>
          <w:lang w:val="en-US"/>
        </w:rPr>
        <w:footnoteReference w:id="86"/>
      </w:r>
      <w:r w:rsidRPr="00AB7D1E">
        <w:rPr>
          <w:lang w:val="en-US"/>
        </w:rPr>
        <w:t>.</w:t>
      </w:r>
    </w:p>
    <w:p w14:paraId="6C51C277" w14:textId="5CBA4D1E" w:rsidR="00DA18D0" w:rsidRPr="00AB7D1E" w:rsidRDefault="006255B1" w:rsidP="00DA18D0">
      <w:pPr>
        <w:shd w:val="clear" w:color="auto" w:fill="FFFFFF"/>
        <w:spacing w:after="450" w:line="420" w:lineRule="atLeast"/>
        <w:rPr>
          <w:lang w:val="en-US"/>
        </w:rPr>
      </w:pPr>
      <w:r w:rsidRPr="00AB7D1E">
        <w:rPr>
          <w:noProof/>
          <w:lang w:val="en-US" w:eastAsia="hr-HR"/>
        </w:rPr>
        <w:drawing>
          <wp:inline distT="0" distB="0" distL="0" distR="0" wp14:anchorId="722D4CB7" wp14:editId="3B9DAD37">
            <wp:extent cx="5438083" cy="3231761"/>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46777" cy="3236928"/>
                    </a:xfrm>
                    <a:prstGeom prst="rect">
                      <a:avLst/>
                    </a:prstGeom>
                  </pic:spPr>
                </pic:pic>
              </a:graphicData>
            </a:graphic>
          </wp:inline>
        </w:drawing>
      </w:r>
    </w:p>
    <w:p w14:paraId="179E4240" w14:textId="2C4B78FC" w:rsidR="00DA18D0" w:rsidRPr="00AB7D1E" w:rsidRDefault="00DA18D0" w:rsidP="004E4D82">
      <w:pPr>
        <w:pStyle w:val="Style2"/>
        <w:rPr>
          <w:lang w:val="en-US"/>
        </w:rPr>
      </w:pPr>
      <w:bookmarkStart w:id="112" w:name="_Toc56952697"/>
      <w:r w:rsidRPr="00AB7D1E">
        <w:rPr>
          <w:lang w:val="en-US"/>
        </w:rPr>
        <w:t xml:space="preserve">Figure </w:t>
      </w:r>
      <w:r w:rsidR="00DE594D" w:rsidRPr="00AB7D1E">
        <w:rPr>
          <w:lang w:val="en-US"/>
        </w:rPr>
        <w:fldChar w:fldCharType="begin"/>
      </w:r>
      <w:r w:rsidR="00DE594D" w:rsidRPr="00AB7D1E">
        <w:rPr>
          <w:lang w:val="en-US"/>
        </w:rPr>
        <w:instrText xml:space="preserve"> SEQ Figure \* ARABIC </w:instrText>
      </w:r>
      <w:r w:rsidR="00DE594D" w:rsidRPr="00AB7D1E">
        <w:rPr>
          <w:lang w:val="en-US"/>
        </w:rPr>
        <w:fldChar w:fldCharType="separate"/>
      </w:r>
      <w:r w:rsidR="007D1E1B">
        <w:rPr>
          <w:noProof/>
          <w:lang w:val="en-US"/>
        </w:rPr>
        <w:t>17</w:t>
      </w:r>
      <w:r w:rsidR="00DE594D" w:rsidRPr="00AB7D1E">
        <w:rPr>
          <w:lang w:val="en-US"/>
        </w:rPr>
        <w:fldChar w:fldCharType="end"/>
      </w:r>
      <w:r w:rsidRPr="00AB7D1E">
        <w:rPr>
          <w:lang w:val="en-US"/>
        </w:rPr>
        <w:t xml:space="preserve">. </w:t>
      </w:r>
      <w:r w:rsidRPr="00AB7D1E">
        <w:rPr>
          <w:lang w:val="en-US" w:eastAsia="hr-HR"/>
        </w:rPr>
        <w:t>Obligations defined by Regulation on environmental impact assessment (OG 61/14, 3/17)</w:t>
      </w:r>
      <w:bookmarkEnd w:id="112"/>
    </w:p>
    <w:p w14:paraId="49D868A6" w14:textId="77777777" w:rsidR="004E4D82" w:rsidRPr="00AB7D1E" w:rsidRDefault="004E4D82">
      <w:pPr>
        <w:suppressAutoHyphens w:val="0"/>
        <w:spacing w:before="0" w:after="160" w:line="256" w:lineRule="auto"/>
        <w:jc w:val="left"/>
        <w:rPr>
          <w:rFonts w:eastAsia="Times New Roman"/>
          <w:lang w:val="en-US" w:eastAsia="hr-HR"/>
        </w:rPr>
      </w:pPr>
      <w:r w:rsidRPr="00AB7D1E">
        <w:rPr>
          <w:rFonts w:eastAsia="Times New Roman"/>
          <w:lang w:val="en-US" w:eastAsia="hr-HR"/>
        </w:rPr>
        <w:br w:type="page"/>
      </w:r>
    </w:p>
    <w:p w14:paraId="6A05DA99" w14:textId="3D56E693" w:rsidR="00DA18D0" w:rsidRPr="00AB7D1E" w:rsidRDefault="00DA18D0" w:rsidP="00DA18D0">
      <w:pPr>
        <w:shd w:val="clear" w:color="auto" w:fill="FFFFFF"/>
        <w:spacing w:before="100" w:after="450" w:line="420" w:lineRule="atLeast"/>
        <w:rPr>
          <w:rFonts w:eastAsia="Times New Roman"/>
          <w:lang w:val="en-US" w:eastAsia="hr-HR"/>
        </w:rPr>
      </w:pPr>
      <w:r w:rsidRPr="00AB7D1E">
        <w:rPr>
          <w:rFonts w:eastAsia="Times New Roman"/>
          <w:lang w:val="en-US" w:eastAsia="hr-HR"/>
        </w:rPr>
        <w:lastRenderedPageBreak/>
        <w:t xml:space="preserve">The EIA procedure comprises following steps: </w:t>
      </w:r>
    </w:p>
    <w:p w14:paraId="7DA021CE" w14:textId="6AF833AD" w:rsidR="00DA18D0" w:rsidRPr="00AB7D1E" w:rsidRDefault="006255B1" w:rsidP="00DA18D0">
      <w:pPr>
        <w:shd w:val="clear" w:color="auto" w:fill="FFFFFF"/>
        <w:spacing w:before="100" w:after="450" w:line="420" w:lineRule="atLeast"/>
        <w:rPr>
          <w:lang w:val="en-US"/>
        </w:rPr>
      </w:pPr>
      <w:r w:rsidRPr="00AB7D1E">
        <w:rPr>
          <w:noProof/>
          <w:lang w:val="en-US" w:eastAsia="hr-HR"/>
        </w:rPr>
        <w:drawing>
          <wp:inline distT="0" distB="0" distL="0" distR="0" wp14:anchorId="4EE3655D" wp14:editId="61981225">
            <wp:extent cx="5731510" cy="29248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924810"/>
                    </a:xfrm>
                    <a:prstGeom prst="rect">
                      <a:avLst/>
                    </a:prstGeom>
                  </pic:spPr>
                </pic:pic>
              </a:graphicData>
            </a:graphic>
          </wp:inline>
        </w:drawing>
      </w:r>
    </w:p>
    <w:p w14:paraId="033DD034" w14:textId="48B1166C" w:rsidR="00DA18D0" w:rsidRPr="00AB7D1E" w:rsidRDefault="00DA18D0" w:rsidP="007D1E1B">
      <w:pPr>
        <w:pStyle w:val="Style1"/>
      </w:pPr>
      <w:bookmarkStart w:id="113" w:name="_Toc56952698"/>
      <w:r w:rsidRPr="00AB7D1E">
        <w:t xml:space="preserve">Figure </w:t>
      </w:r>
      <w:r w:rsidRPr="00AB7D1E">
        <w:fldChar w:fldCharType="begin"/>
      </w:r>
      <w:r w:rsidRPr="00AB7D1E">
        <w:instrText xml:space="preserve"> SEQ Figure \* ARABIC </w:instrText>
      </w:r>
      <w:r w:rsidRPr="00AB7D1E">
        <w:fldChar w:fldCharType="separate"/>
      </w:r>
      <w:r w:rsidR="007D1E1B">
        <w:rPr>
          <w:noProof/>
        </w:rPr>
        <w:t>18</w:t>
      </w:r>
      <w:r w:rsidRPr="00AB7D1E">
        <w:fldChar w:fldCharType="end"/>
      </w:r>
      <w:r w:rsidRPr="00AB7D1E">
        <w:t xml:space="preserve">. </w:t>
      </w:r>
      <w:r w:rsidRPr="00AB7D1E">
        <w:rPr>
          <w:lang w:eastAsia="hr-HR"/>
        </w:rPr>
        <w:t>Environmental impact assessment procedure</w:t>
      </w:r>
      <w:bookmarkEnd w:id="113"/>
    </w:p>
    <w:p w14:paraId="756911CF" w14:textId="77777777" w:rsidR="00DA18D0" w:rsidRPr="00AB7D1E" w:rsidRDefault="00DA18D0" w:rsidP="00DA18D0">
      <w:pPr>
        <w:shd w:val="clear" w:color="auto" w:fill="FFFFFF"/>
        <w:spacing w:after="0" w:line="240" w:lineRule="auto"/>
        <w:rPr>
          <w:rFonts w:eastAsia="Times New Roman"/>
          <w:b/>
          <w:lang w:val="en-US" w:eastAsia="hr-HR"/>
        </w:rPr>
      </w:pPr>
      <w:r w:rsidRPr="00AB7D1E">
        <w:rPr>
          <w:rFonts w:eastAsia="Times New Roman"/>
          <w:b/>
          <w:lang w:val="en-US" w:eastAsia="hr-HR"/>
        </w:rPr>
        <w:t>Screening</w:t>
      </w:r>
    </w:p>
    <w:p w14:paraId="5ADD37DF" w14:textId="77777777" w:rsidR="00DA18D0" w:rsidRPr="00AB7D1E" w:rsidRDefault="00DA18D0" w:rsidP="00DA18D0">
      <w:pPr>
        <w:shd w:val="clear" w:color="auto" w:fill="FFFFFF"/>
        <w:spacing w:after="0" w:line="240" w:lineRule="auto"/>
        <w:rPr>
          <w:rFonts w:eastAsia="Times New Roman"/>
          <w:lang w:val="en-US" w:eastAsia="hr-HR"/>
        </w:rPr>
      </w:pPr>
      <w:r w:rsidRPr="00AB7D1E">
        <w:rPr>
          <w:rFonts w:eastAsia="Times New Roman"/>
          <w:lang w:val="en-US" w:eastAsia="hr-HR"/>
        </w:rPr>
        <w:t xml:space="preserve">Screening is conducted for the interventions defined by Annex II and Annex III of the Regulation on environmental impact assessment. Case-by-case analysis based on criteria defined in Annex V of the Regulation. As a result of this analysis decision is </w:t>
      </w:r>
      <w:proofErr w:type="gramStart"/>
      <w:r w:rsidRPr="00AB7D1E">
        <w:rPr>
          <w:rFonts w:eastAsia="Times New Roman"/>
          <w:lang w:val="en-US" w:eastAsia="hr-HR"/>
        </w:rPr>
        <w:t>made:</w:t>
      </w:r>
      <w:proofErr w:type="gramEnd"/>
      <w:r w:rsidRPr="00AB7D1E">
        <w:rPr>
          <w:rFonts w:eastAsia="Times New Roman"/>
          <w:lang w:val="en-US" w:eastAsia="hr-HR"/>
        </w:rPr>
        <w:t xml:space="preserve"> EIA needs to be carried out or EIA does not need to be carried out. Request for screening </w:t>
      </w:r>
      <w:proofErr w:type="gramStart"/>
      <w:r w:rsidRPr="00AB7D1E">
        <w:rPr>
          <w:rFonts w:eastAsia="Times New Roman"/>
          <w:lang w:val="en-US" w:eastAsia="hr-HR"/>
        </w:rPr>
        <w:t>includes:</w:t>
      </w:r>
      <w:proofErr w:type="gramEnd"/>
      <w:r w:rsidRPr="00AB7D1E">
        <w:rPr>
          <w:rFonts w:eastAsia="Times New Roman"/>
          <w:lang w:val="en-US" w:eastAsia="hr-HR"/>
        </w:rPr>
        <w:t xml:space="preserve"> information on the project developer (applicant), description of the location, description projects characteristics (considered alternatives), description of the likely significant effects of the project on the environment, proposal of environmental protection measures (if considered). Whether it is it possible to exclude the negative impact of the project on the ecological network is also estimated during the screening process. </w:t>
      </w:r>
    </w:p>
    <w:p w14:paraId="73B558B9" w14:textId="77777777" w:rsidR="00DA18D0" w:rsidRPr="00AB7D1E" w:rsidRDefault="00DA18D0" w:rsidP="00DA18D0">
      <w:pPr>
        <w:shd w:val="clear" w:color="auto" w:fill="FFFFFF"/>
        <w:spacing w:after="0" w:line="240" w:lineRule="auto"/>
        <w:rPr>
          <w:rFonts w:eastAsia="Times New Roman"/>
          <w:b/>
          <w:lang w:val="en-US" w:eastAsia="hr-HR"/>
        </w:rPr>
      </w:pPr>
      <w:r w:rsidRPr="00AB7D1E">
        <w:rPr>
          <w:rFonts w:eastAsia="Times New Roman"/>
          <w:b/>
          <w:lang w:val="en-US" w:eastAsia="hr-HR"/>
        </w:rPr>
        <w:t>Scoping</w:t>
      </w:r>
    </w:p>
    <w:p w14:paraId="0F19B4EF" w14:textId="77777777" w:rsidR="00DA18D0" w:rsidRPr="00AB7D1E" w:rsidRDefault="00DA18D0" w:rsidP="00DA18D0">
      <w:pPr>
        <w:shd w:val="clear" w:color="auto" w:fill="FFFFFF"/>
        <w:spacing w:before="100" w:after="0" w:line="240" w:lineRule="auto"/>
        <w:rPr>
          <w:rFonts w:eastAsia="Times New Roman"/>
          <w:lang w:val="en-US" w:eastAsia="hr-HR"/>
        </w:rPr>
      </w:pPr>
      <w:r w:rsidRPr="00AB7D1E">
        <w:rPr>
          <w:rFonts w:eastAsia="Times New Roman"/>
          <w:lang w:val="en-US" w:eastAsia="hr-HR"/>
        </w:rPr>
        <w:t>Article 86 of the Environmental Protection Act grants the right to the developer of the project to request, from competed authority, the instructions on the content of the EIA study prior to its preparation. Competent authority carries out the consultation procedure with the relevant authorities and the public on the topic of the EIA study content. Following the procedure’s completion, the competent authority is required to issue an instruction (scoping opinion) on the content of the EIA study. This instruction does not prevent the competent authority from asking for additional things to be included in the further stages of the EIA procedure. Scoping is not mandatory process.</w:t>
      </w:r>
    </w:p>
    <w:p w14:paraId="52458DEB" w14:textId="77777777" w:rsidR="00DA18D0" w:rsidRPr="00AB7D1E" w:rsidRDefault="00DA18D0" w:rsidP="00DA18D0">
      <w:pPr>
        <w:shd w:val="clear" w:color="auto" w:fill="FFFFFF"/>
        <w:spacing w:after="0" w:line="240" w:lineRule="auto"/>
        <w:rPr>
          <w:rFonts w:eastAsia="Times New Roman"/>
          <w:b/>
          <w:lang w:val="en-US" w:eastAsia="hr-HR"/>
        </w:rPr>
      </w:pPr>
      <w:r w:rsidRPr="00AB7D1E">
        <w:rPr>
          <w:rFonts w:eastAsia="Times New Roman"/>
          <w:b/>
          <w:lang w:val="en-US" w:eastAsia="hr-HR"/>
        </w:rPr>
        <w:t>Environmental study</w:t>
      </w:r>
    </w:p>
    <w:p w14:paraId="516247F6" w14:textId="213EF470" w:rsidR="00DA18D0" w:rsidRPr="00AB7D1E" w:rsidRDefault="00DA18D0" w:rsidP="00DA18D0">
      <w:pPr>
        <w:shd w:val="clear" w:color="auto" w:fill="FFFFFF"/>
        <w:spacing w:after="0" w:line="240" w:lineRule="auto"/>
        <w:rPr>
          <w:lang w:val="en-US"/>
        </w:rPr>
      </w:pPr>
      <w:r w:rsidRPr="00AB7D1E">
        <w:rPr>
          <w:rFonts w:eastAsia="Times New Roman"/>
          <w:lang w:val="en-US" w:eastAsia="hr-HR"/>
        </w:rPr>
        <w:t xml:space="preserve">In case the EIA procedure is necessary environmental impact study </w:t>
      </w:r>
      <w:r w:rsidR="00D53EBF" w:rsidRPr="00AB7D1E">
        <w:rPr>
          <w:rFonts w:eastAsia="Times New Roman"/>
          <w:lang w:val="en-US" w:eastAsia="hr-HR"/>
        </w:rPr>
        <w:t>must</w:t>
      </w:r>
      <w:r w:rsidRPr="00AB7D1E">
        <w:rPr>
          <w:rFonts w:eastAsia="Times New Roman"/>
          <w:lang w:val="en-US" w:eastAsia="hr-HR"/>
        </w:rPr>
        <w:t xml:space="preserve"> be prepared. For interventions for which EIA is not mandatory but instead screening has to be carried out, more simplified document </w:t>
      </w:r>
      <w:proofErr w:type="gramStart"/>
      <w:r w:rsidRPr="00AB7D1E">
        <w:rPr>
          <w:rFonts w:eastAsia="Times New Roman"/>
          <w:lang w:val="en-US" w:eastAsia="hr-HR"/>
        </w:rPr>
        <w:t>has to</w:t>
      </w:r>
      <w:proofErr w:type="gramEnd"/>
      <w:r w:rsidRPr="00AB7D1E">
        <w:rPr>
          <w:rFonts w:eastAsia="Times New Roman"/>
          <w:lang w:val="en-US" w:eastAsia="hr-HR"/>
        </w:rPr>
        <w:t xml:space="preserve"> be prepared. For both documents mandatory content is defined in Annex IV and VII of the Regulation</w:t>
      </w:r>
      <w:r w:rsidRPr="00AB7D1E">
        <w:rPr>
          <w:rFonts w:eastAsia="Times New Roman"/>
          <w:sz w:val="24"/>
          <w:szCs w:val="24"/>
          <w:lang w:val="en-US" w:eastAsia="hr-HR"/>
        </w:rPr>
        <w:t xml:space="preserve"> </w:t>
      </w:r>
      <w:r w:rsidRPr="00AB7D1E">
        <w:rPr>
          <w:rFonts w:eastAsia="Times New Roman"/>
          <w:lang w:val="en-US" w:eastAsia="hr-HR"/>
        </w:rPr>
        <w:t xml:space="preserve">on environmental impact assessment. Documents </w:t>
      </w:r>
      <w:proofErr w:type="gramStart"/>
      <w:r w:rsidRPr="00AB7D1E">
        <w:rPr>
          <w:rFonts w:eastAsia="Times New Roman"/>
          <w:lang w:val="en-US" w:eastAsia="hr-HR"/>
        </w:rPr>
        <w:t>has to</w:t>
      </w:r>
      <w:proofErr w:type="gramEnd"/>
      <w:r w:rsidRPr="00AB7D1E">
        <w:rPr>
          <w:rFonts w:eastAsia="Times New Roman"/>
          <w:lang w:val="en-US" w:eastAsia="hr-HR"/>
        </w:rPr>
        <w:t xml:space="preserve"> be prepared by companies authorized for professional environmental protection activities.</w:t>
      </w:r>
    </w:p>
    <w:p w14:paraId="67F2442C" w14:textId="77777777" w:rsidR="004E4D82" w:rsidRPr="00AB7D1E" w:rsidRDefault="004E4D82">
      <w:pPr>
        <w:suppressAutoHyphens w:val="0"/>
        <w:spacing w:before="0" w:after="160" w:line="256" w:lineRule="auto"/>
        <w:jc w:val="left"/>
        <w:rPr>
          <w:b/>
          <w:lang w:val="en-US"/>
        </w:rPr>
      </w:pPr>
      <w:bookmarkStart w:id="114" w:name="_Hlk7359549"/>
      <w:r w:rsidRPr="00AB7D1E">
        <w:rPr>
          <w:b/>
          <w:lang w:val="en-US"/>
        </w:rPr>
        <w:br w:type="page"/>
      </w:r>
    </w:p>
    <w:p w14:paraId="4CD4468D" w14:textId="0E337A94" w:rsidR="00DA18D0" w:rsidRPr="00AB7D1E" w:rsidRDefault="00DA18D0" w:rsidP="00DA18D0">
      <w:pPr>
        <w:spacing w:after="0" w:line="240" w:lineRule="auto"/>
        <w:rPr>
          <w:b/>
          <w:lang w:val="en-US"/>
        </w:rPr>
      </w:pPr>
      <w:r w:rsidRPr="00AB7D1E">
        <w:rPr>
          <w:b/>
          <w:lang w:val="en-US"/>
        </w:rPr>
        <w:lastRenderedPageBreak/>
        <w:t>Advisory expert committee/competent authority</w:t>
      </w:r>
    </w:p>
    <w:bookmarkEnd w:id="114"/>
    <w:p w14:paraId="06A37893" w14:textId="77777777" w:rsidR="00DA18D0" w:rsidRPr="00AB7D1E" w:rsidRDefault="00DA18D0" w:rsidP="00DA18D0">
      <w:pPr>
        <w:spacing w:after="0" w:line="240" w:lineRule="auto"/>
        <w:rPr>
          <w:lang w:val="en-US"/>
        </w:rPr>
      </w:pPr>
      <w:r w:rsidRPr="00AB7D1E">
        <w:rPr>
          <w:lang w:val="en-US"/>
        </w:rPr>
        <w:t xml:space="preserve">During the EIA process special advisory expert committee is appointed by competent authority (Ministry/county offices/environmental experts) which gives its opinion on the acceptability of the project, proposes environmental protection measures and environmental monitoring </w:t>
      </w:r>
      <w:proofErr w:type="spellStart"/>
      <w:r w:rsidRPr="00AB7D1E">
        <w:rPr>
          <w:lang w:val="en-US"/>
        </w:rPr>
        <w:t>programme</w:t>
      </w:r>
      <w:proofErr w:type="spellEnd"/>
      <w:r w:rsidRPr="00AB7D1E">
        <w:rPr>
          <w:lang w:val="en-US"/>
        </w:rPr>
        <w:t>. When project is not subject EIA procedure acceptability of the project is assessed by competent authority.</w:t>
      </w:r>
    </w:p>
    <w:p w14:paraId="485561B7" w14:textId="77777777" w:rsidR="00DA18D0" w:rsidRPr="00AB7D1E" w:rsidRDefault="00DA18D0" w:rsidP="00DA18D0">
      <w:pPr>
        <w:spacing w:after="0" w:line="240" w:lineRule="auto"/>
        <w:rPr>
          <w:b/>
          <w:lang w:val="en-US"/>
        </w:rPr>
      </w:pPr>
      <w:r w:rsidRPr="00AB7D1E">
        <w:rPr>
          <w:b/>
          <w:lang w:val="en-US"/>
        </w:rPr>
        <w:t>Informing the public</w:t>
      </w:r>
    </w:p>
    <w:p w14:paraId="0E9279CF" w14:textId="77777777" w:rsidR="00DA18D0" w:rsidRPr="00AB7D1E" w:rsidRDefault="00DA18D0" w:rsidP="00DA18D0">
      <w:pPr>
        <w:spacing w:after="0" w:line="240" w:lineRule="auto"/>
        <w:rPr>
          <w:lang w:val="en-US"/>
        </w:rPr>
      </w:pPr>
      <w:r w:rsidRPr="00AB7D1E">
        <w:rPr>
          <w:lang w:val="en-US"/>
        </w:rPr>
        <w:t xml:space="preserve">Competent authority </w:t>
      </w:r>
      <w:proofErr w:type="gramStart"/>
      <w:r w:rsidRPr="00AB7D1E">
        <w:rPr>
          <w:lang w:val="en-US"/>
        </w:rPr>
        <w:t>has to</w:t>
      </w:r>
      <w:proofErr w:type="gramEnd"/>
      <w:r w:rsidRPr="00AB7D1E">
        <w:rPr>
          <w:lang w:val="en-US"/>
        </w:rPr>
        <w:t xml:space="preserve"> inform the public of:</w:t>
      </w:r>
    </w:p>
    <w:p w14:paraId="2457A2E3" w14:textId="77777777" w:rsidR="00DA18D0" w:rsidRPr="00AB7D1E" w:rsidRDefault="00DA18D0" w:rsidP="0078374B">
      <w:pPr>
        <w:numPr>
          <w:ilvl w:val="0"/>
          <w:numId w:val="1"/>
        </w:numPr>
        <w:spacing w:after="0" w:line="240" w:lineRule="auto"/>
        <w:rPr>
          <w:lang w:val="en-US"/>
        </w:rPr>
      </w:pPr>
      <w:r w:rsidRPr="00AB7D1E">
        <w:rPr>
          <w:lang w:val="en-US"/>
        </w:rPr>
        <w:t>screening: the request, the decision,</w:t>
      </w:r>
    </w:p>
    <w:p w14:paraId="5110AA24" w14:textId="77777777" w:rsidR="00DA18D0" w:rsidRPr="00AB7D1E" w:rsidRDefault="00DA18D0" w:rsidP="0078374B">
      <w:pPr>
        <w:numPr>
          <w:ilvl w:val="0"/>
          <w:numId w:val="1"/>
        </w:numPr>
        <w:spacing w:after="0" w:line="240" w:lineRule="auto"/>
        <w:rPr>
          <w:lang w:val="en-US"/>
        </w:rPr>
      </w:pPr>
      <w:r w:rsidRPr="00AB7D1E">
        <w:rPr>
          <w:lang w:val="en-US"/>
        </w:rPr>
        <w:t>scoping: the request, the instruction on content of environmental study</w:t>
      </w:r>
    </w:p>
    <w:p w14:paraId="075C1274" w14:textId="77777777" w:rsidR="00DA18D0" w:rsidRPr="00AB7D1E" w:rsidRDefault="00DA18D0" w:rsidP="0078374B">
      <w:pPr>
        <w:numPr>
          <w:ilvl w:val="0"/>
          <w:numId w:val="1"/>
        </w:numPr>
        <w:spacing w:after="0" w:line="240" w:lineRule="auto"/>
        <w:rPr>
          <w:lang w:val="en-US"/>
        </w:rPr>
      </w:pPr>
      <w:r w:rsidRPr="00AB7D1E">
        <w:rPr>
          <w:lang w:val="en-US"/>
        </w:rPr>
        <w:t>EIA procedure: the request, the decision on submitting environmental study for public debate, the decision on environmental acceptability of the project</w:t>
      </w:r>
    </w:p>
    <w:p w14:paraId="723CAAC7" w14:textId="1EE5BB2D" w:rsidR="00DA18D0" w:rsidRPr="00AB7D1E" w:rsidRDefault="00DA18D0" w:rsidP="00DA18D0">
      <w:pPr>
        <w:spacing w:after="0" w:line="240" w:lineRule="auto"/>
        <w:rPr>
          <w:lang w:val="en-US"/>
        </w:rPr>
      </w:pPr>
      <w:r w:rsidRPr="00AB7D1E">
        <w:rPr>
          <w:lang w:val="en-US"/>
        </w:rPr>
        <w:t xml:space="preserve">The information is published on web pages of Ministry/county office and other appropriate way (public notices in the press, public notices on relevant notice boards, electronic media, written publications, etc.). For the EIA public participation, including public debate, </w:t>
      </w:r>
      <w:proofErr w:type="gramStart"/>
      <w:r w:rsidRPr="00AB7D1E">
        <w:rPr>
          <w:lang w:val="en-US"/>
        </w:rPr>
        <w:t>has to</w:t>
      </w:r>
      <w:proofErr w:type="gramEnd"/>
      <w:r w:rsidRPr="00AB7D1E">
        <w:rPr>
          <w:lang w:val="en-US"/>
        </w:rPr>
        <w:t xml:space="preserve"> be </w:t>
      </w:r>
      <w:proofErr w:type="spellStart"/>
      <w:r w:rsidRPr="00AB7D1E">
        <w:rPr>
          <w:lang w:val="en-US"/>
        </w:rPr>
        <w:t>organised</w:t>
      </w:r>
      <w:proofErr w:type="spellEnd"/>
      <w:r w:rsidRPr="00AB7D1E">
        <w:rPr>
          <w:lang w:val="en-US"/>
        </w:rPr>
        <w:t xml:space="preserve"> for </w:t>
      </w:r>
      <w:r w:rsidR="00C87DB5">
        <w:rPr>
          <w:lang w:val="en-US"/>
        </w:rPr>
        <w:t>a minimum</w:t>
      </w:r>
      <w:r w:rsidRPr="00AB7D1E">
        <w:rPr>
          <w:lang w:val="en-US"/>
        </w:rPr>
        <w:t xml:space="preserve"> </w:t>
      </w:r>
      <w:r w:rsidR="00C87DB5">
        <w:rPr>
          <w:lang w:val="en-US"/>
        </w:rPr>
        <w:t xml:space="preserve">of </w:t>
      </w:r>
      <w:r w:rsidRPr="00AB7D1E">
        <w:rPr>
          <w:lang w:val="en-US"/>
        </w:rPr>
        <w:t>30 days.</w:t>
      </w:r>
    </w:p>
    <w:p w14:paraId="252327B7" w14:textId="77777777" w:rsidR="00DA18D0" w:rsidRPr="00AB7D1E" w:rsidRDefault="00DA18D0" w:rsidP="00DA18D0">
      <w:pPr>
        <w:spacing w:after="0" w:line="240" w:lineRule="auto"/>
        <w:rPr>
          <w:b/>
          <w:lang w:val="en-US"/>
        </w:rPr>
      </w:pPr>
      <w:r w:rsidRPr="00AB7D1E">
        <w:rPr>
          <w:b/>
          <w:lang w:val="en-US"/>
        </w:rPr>
        <w:t>Decision</w:t>
      </w:r>
    </w:p>
    <w:p w14:paraId="24AEF490" w14:textId="67B99E96" w:rsidR="00DA18D0" w:rsidRPr="00AB7D1E" w:rsidRDefault="00DA18D0" w:rsidP="00DA18D0">
      <w:pPr>
        <w:spacing w:after="0" w:line="240" w:lineRule="auto"/>
        <w:rPr>
          <w:lang w:val="en-US"/>
        </w:rPr>
      </w:pPr>
      <w:r w:rsidRPr="00AB7D1E">
        <w:rPr>
          <w:lang w:val="en-US"/>
        </w:rPr>
        <w:t>As a result of EIA process decision on environmental acceptability is issued.</w:t>
      </w:r>
    </w:p>
    <w:p w14:paraId="53AD1E5C" w14:textId="06144FBD" w:rsidR="004B6F00" w:rsidRPr="00AB7D1E" w:rsidRDefault="004B6F00" w:rsidP="004B6F00">
      <w:pPr>
        <w:spacing w:after="0" w:line="240" w:lineRule="auto"/>
        <w:rPr>
          <w:lang w:val="en-US"/>
        </w:rPr>
      </w:pPr>
      <w:r w:rsidRPr="00AB7D1E">
        <w:rPr>
          <w:lang w:val="en-US"/>
        </w:rPr>
        <w:t>By the Regulation on the ecological network and the competencies of public institutions for ecological network management (OG 80/19) the ecological network of the Republic of Croatia is defined (Natura 2000 network</w:t>
      </w:r>
      <w:r w:rsidRPr="00AB7D1E">
        <w:rPr>
          <w:vertAlign w:val="superscript"/>
          <w:lang w:val="en-US"/>
        </w:rPr>
        <w:footnoteReference w:id="87"/>
      </w:r>
      <w:r w:rsidRPr="00AB7D1E">
        <w:rPr>
          <w:lang w:val="en-US"/>
        </w:rPr>
        <w:t>). According to the Nature Protection Act, public institutions for the management of a national parks or nature parks and public institutions for the management of other protected areas and / or other protected parts of nature are responsible for management of NATURA 2000 areas. From the legal perspective, the Ecological Network Impact Assessment (ENIA) procedure can be carried out in two ways. Either it can be an independent procedure, or it is incorporated into the EIA procedure. For those projects for which EIA is necessary it is carried within the EIA procedure and for the other projects as an independent procedure.</w:t>
      </w:r>
    </w:p>
    <w:p w14:paraId="33728ECF" w14:textId="6DA068B9" w:rsidR="004B6F00" w:rsidRPr="00AB7D1E" w:rsidRDefault="004B6F00" w:rsidP="004B6F00">
      <w:pPr>
        <w:spacing w:after="0" w:line="240" w:lineRule="auto"/>
        <w:rPr>
          <w:lang w:val="en-US"/>
        </w:rPr>
      </w:pPr>
      <w:proofErr w:type="spellStart"/>
      <w:r w:rsidRPr="00AB7D1E">
        <w:rPr>
          <w:lang w:val="en-US"/>
        </w:rPr>
        <w:t>MoE</w:t>
      </w:r>
      <w:r w:rsidR="003C5604" w:rsidRPr="00AB7D1E">
        <w:rPr>
          <w:lang w:val="en-US"/>
        </w:rPr>
        <w:t>SD</w:t>
      </w:r>
      <w:proofErr w:type="spellEnd"/>
      <w:r w:rsidRPr="00AB7D1E">
        <w:rPr>
          <w:lang w:val="en-US"/>
        </w:rPr>
        <w:t xml:space="preserve"> carries out ENIA for projects for which it is also competent authority within the EIA procedure and for project located at the territory of National Parks, Nature Parks or Special Reserves.</w:t>
      </w:r>
    </w:p>
    <w:p w14:paraId="4CDD5771" w14:textId="65606662" w:rsidR="004B6F00" w:rsidRPr="00AB7D1E" w:rsidRDefault="004B6F00" w:rsidP="004B6F00">
      <w:pPr>
        <w:spacing w:after="0" w:line="240" w:lineRule="auto"/>
        <w:rPr>
          <w:lang w:val="en-US"/>
        </w:rPr>
      </w:pPr>
      <w:r w:rsidRPr="00AB7D1E">
        <w:rPr>
          <w:lang w:val="en-US"/>
        </w:rPr>
        <w:t xml:space="preserve">Administrative body in the county or in the City of Zagreb carries out ENIA for projects for which they are competent authorities within the screening procedure and for projects located at the territory of Regional Park, Significant Landscape, Park Forest, Nature Monument and Park Architecture Monument and those carried out in an area that is not at the same time protected area, except for projects for which </w:t>
      </w:r>
      <w:proofErr w:type="spellStart"/>
      <w:r w:rsidRPr="00AB7D1E">
        <w:rPr>
          <w:lang w:val="en-US"/>
        </w:rPr>
        <w:t>MoE</w:t>
      </w:r>
      <w:r w:rsidR="003C5604" w:rsidRPr="00AB7D1E">
        <w:rPr>
          <w:lang w:val="en-US"/>
        </w:rPr>
        <w:t>SD</w:t>
      </w:r>
      <w:proofErr w:type="spellEnd"/>
      <w:r w:rsidRPr="00AB7D1E">
        <w:rPr>
          <w:lang w:val="en-US"/>
        </w:rPr>
        <w:t xml:space="preserve"> is competent authority. Competent authorities deliver their outcomes in a form of binding decision.</w:t>
      </w:r>
    </w:p>
    <w:p w14:paraId="6A9B2E10" w14:textId="533E9F19" w:rsidR="004B6F00" w:rsidRPr="00AB7D1E" w:rsidRDefault="004B6F00" w:rsidP="00DA18D0">
      <w:pPr>
        <w:spacing w:after="0" w:line="240" w:lineRule="auto"/>
        <w:rPr>
          <w:lang w:val="en-US"/>
        </w:rPr>
      </w:pPr>
      <w:r w:rsidRPr="00AB7D1E">
        <w:rPr>
          <w:lang w:val="en-US"/>
        </w:rPr>
        <w:t xml:space="preserve">Detailed overview of national procedure regarding </w:t>
      </w:r>
      <w:r w:rsidR="003C5604" w:rsidRPr="00AB7D1E">
        <w:rPr>
          <w:lang w:val="en-US"/>
        </w:rPr>
        <w:t xml:space="preserve">EIA and </w:t>
      </w:r>
      <w:r w:rsidRPr="00AB7D1E">
        <w:rPr>
          <w:lang w:val="en-US"/>
        </w:rPr>
        <w:t xml:space="preserve">protection of Natura 2000 network and protected parts of nature is given </w:t>
      </w:r>
      <w:r w:rsidR="003C5604" w:rsidRPr="00AB7D1E">
        <w:rPr>
          <w:lang w:val="en-US"/>
        </w:rPr>
        <w:t xml:space="preserve">in </w:t>
      </w:r>
      <w:r w:rsidR="00F63FB8">
        <w:rPr>
          <w:lang w:val="en-US"/>
        </w:rPr>
        <w:fldChar w:fldCharType="begin"/>
      </w:r>
      <w:r w:rsidR="00F63FB8">
        <w:rPr>
          <w:lang w:val="en-US"/>
        </w:rPr>
        <w:instrText xml:space="preserve"> REF _Ref56952332 \h </w:instrText>
      </w:r>
      <w:r w:rsidR="00F63FB8">
        <w:rPr>
          <w:lang w:val="en-US"/>
        </w:rPr>
      </w:r>
      <w:r w:rsidR="00F63FB8">
        <w:rPr>
          <w:lang w:val="en-US"/>
        </w:rPr>
        <w:fldChar w:fldCharType="separate"/>
      </w:r>
      <w:r w:rsidR="00F63FB8">
        <w:t xml:space="preserve">ANNEX </w:t>
      </w:r>
      <w:r w:rsidR="00F63FB8">
        <w:rPr>
          <w:noProof/>
        </w:rPr>
        <w:t>II</w:t>
      </w:r>
      <w:r w:rsidR="00F63FB8">
        <w:rPr>
          <w:lang w:val="en-US"/>
        </w:rPr>
        <w:fldChar w:fldCharType="end"/>
      </w:r>
      <w:r w:rsidR="00F63FB8">
        <w:rPr>
          <w:lang w:val="en-US"/>
        </w:rPr>
        <w:t xml:space="preserve"> </w:t>
      </w:r>
      <w:r w:rsidR="003C5604" w:rsidRPr="00AB7D1E">
        <w:rPr>
          <w:lang w:val="en-US"/>
        </w:rPr>
        <w:t>and</w:t>
      </w:r>
      <w:r w:rsidR="00F63FB8">
        <w:rPr>
          <w:lang w:val="en-US"/>
        </w:rPr>
        <w:t xml:space="preserve"> </w:t>
      </w:r>
      <w:r w:rsidR="00F63FB8">
        <w:rPr>
          <w:lang w:val="en-US"/>
        </w:rPr>
        <w:fldChar w:fldCharType="begin"/>
      </w:r>
      <w:r w:rsidR="00F63FB8">
        <w:rPr>
          <w:lang w:val="en-US"/>
        </w:rPr>
        <w:instrText xml:space="preserve"> REF _Ref56952333 \h </w:instrText>
      </w:r>
      <w:r w:rsidR="00F63FB8">
        <w:rPr>
          <w:lang w:val="en-US"/>
        </w:rPr>
      </w:r>
      <w:r w:rsidR="00F63FB8">
        <w:rPr>
          <w:lang w:val="en-US"/>
        </w:rPr>
        <w:fldChar w:fldCharType="separate"/>
      </w:r>
      <w:r w:rsidR="00F63FB8">
        <w:t xml:space="preserve">ANNEX </w:t>
      </w:r>
      <w:r w:rsidR="00F63FB8">
        <w:rPr>
          <w:noProof/>
        </w:rPr>
        <w:t>III</w:t>
      </w:r>
      <w:r w:rsidR="00F63FB8">
        <w:rPr>
          <w:lang w:val="en-US"/>
        </w:rPr>
        <w:fldChar w:fldCharType="end"/>
      </w:r>
      <w:r w:rsidR="000C556E" w:rsidRPr="00AB7D1E">
        <w:rPr>
          <w:lang w:val="en-US"/>
        </w:rPr>
        <w:t>.</w:t>
      </w:r>
    </w:p>
    <w:p w14:paraId="75074099" w14:textId="55BA36E5" w:rsidR="00DA18D0" w:rsidRPr="00AB7D1E" w:rsidRDefault="00DA18D0" w:rsidP="00DA18D0">
      <w:pPr>
        <w:pStyle w:val="Heading3"/>
        <w:rPr>
          <w:lang w:val="en-US"/>
        </w:rPr>
      </w:pPr>
      <w:bookmarkStart w:id="115" w:name="_Ref48062133"/>
      <w:bookmarkStart w:id="116" w:name="_Toc56954057"/>
      <w:r w:rsidRPr="00AB7D1E">
        <w:rPr>
          <w:lang w:val="en-US"/>
        </w:rPr>
        <w:lastRenderedPageBreak/>
        <w:t>Location and Building permitting process</w:t>
      </w:r>
      <w:bookmarkEnd w:id="115"/>
      <w:r w:rsidR="00113C2C">
        <w:rPr>
          <w:lang w:val="en-US"/>
        </w:rPr>
        <w:t xml:space="preserve"> </w:t>
      </w:r>
      <w:r w:rsidR="00113C2C" w:rsidRPr="00113C2C">
        <w:rPr>
          <w:lang w:val="en-US"/>
        </w:rPr>
        <w:t>and financial arrangements for reconstruction of earthquake damaged buildings</w:t>
      </w:r>
      <w:bookmarkEnd w:id="116"/>
    </w:p>
    <w:p w14:paraId="60F9C377" w14:textId="77777777" w:rsidR="00113C2C" w:rsidRPr="00113C2C" w:rsidRDefault="00113C2C" w:rsidP="00113C2C">
      <w:pPr>
        <w:rPr>
          <w:rFonts w:ascii="Calibri" w:hAnsi="Calibri"/>
          <w:lang w:val="en-GB"/>
        </w:rPr>
      </w:pPr>
      <w:r w:rsidRPr="00113C2C">
        <w:rPr>
          <w:rFonts w:ascii="Calibri" w:hAnsi="Calibri"/>
          <w:lang w:val="en-GB"/>
        </w:rPr>
        <w:t xml:space="preserve">In the Republic of Croatia designing, construction and construction works supervision is regulated by the Construction Act (OG 153/13, 20/17, 39/19, 125/19) and the Physical Planning Act (OG 153/13, 65/17, 114/18, 39/19, 98/19), by-laws based on these acts and technical regulations (detail list of legislation is available at: </w:t>
      </w:r>
      <w:hyperlink r:id="rId43" w:history="1">
        <w:r w:rsidRPr="00113C2C">
          <w:rPr>
            <w:rFonts w:ascii="Calibri" w:hAnsi="Calibri"/>
            <w:color w:val="6B9F25"/>
            <w:u w:val="single"/>
            <w:lang w:val="en-GB"/>
          </w:rPr>
          <w:t>https://mgipu.gov.hr/pristup-informacijama/zakoni-i-ostali-propisi/88</w:t>
        </w:r>
      </w:hyperlink>
      <w:r w:rsidRPr="00113C2C">
        <w:rPr>
          <w:rFonts w:ascii="Calibri" w:hAnsi="Calibri"/>
          <w:lang w:val="en-GB"/>
        </w:rPr>
        <w:t>).</w:t>
      </w:r>
    </w:p>
    <w:p w14:paraId="68CC9F51" w14:textId="77777777" w:rsidR="00113C2C" w:rsidRPr="00113C2C" w:rsidRDefault="00113C2C" w:rsidP="00113C2C">
      <w:pPr>
        <w:rPr>
          <w:rFonts w:ascii="Calibri" w:hAnsi="Calibri"/>
          <w:lang w:val="en-GB"/>
        </w:rPr>
      </w:pPr>
      <w:r w:rsidRPr="00113C2C">
        <w:rPr>
          <w:rFonts w:ascii="Calibri" w:hAnsi="Calibri"/>
          <w:lang w:val="en-GB"/>
        </w:rPr>
        <w:t>According to Physical Planning Act, the implementation document for interventions/projects defined in physical plans is a location permit, while under the Construction Act it is a construction permit. Ministry of Physical Planning, Construction and State Assets is competent authority for issuing: location permit for interventions planned by the national physical plan (except in nature park for which the permit is issued by the competent administrative body in the county), interventions defined by the special Regulation</w:t>
      </w:r>
      <w:r w:rsidRPr="00113C2C">
        <w:rPr>
          <w:rFonts w:ascii="Calibri" w:hAnsi="Calibri"/>
          <w:vertAlign w:val="superscript"/>
          <w:lang w:val="en-GB"/>
        </w:rPr>
        <w:footnoteReference w:id="88"/>
      </w:r>
      <w:r w:rsidRPr="00113C2C">
        <w:rPr>
          <w:rFonts w:ascii="Calibri" w:hAnsi="Calibri"/>
          <w:lang w:val="en-GB"/>
        </w:rPr>
        <w:t xml:space="preserve"> and interventions that take place in the area of two or more counties and the City of Zagreb. For issuing location permits for other interventions, the county administrative body is responsible.</w:t>
      </w:r>
    </w:p>
    <w:p w14:paraId="0D08E6A2" w14:textId="77777777" w:rsidR="00113C2C" w:rsidRPr="00113C2C" w:rsidRDefault="00113C2C" w:rsidP="00113C2C">
      <w:pPr>
        <w:rPr>
          <w:rFonts w:ascii="Calibri" w:hAnsi="Calibri"/>
          <w:lang w:val="en-GB"/>
        </w:rPr>
      </w:pPr>
      <w:r w:rsidRPr="00113C2C">
        <w:rPr>
          <w:rFonts w:ascii="Calibri" w:hAnsi="Calibri"/>
          <w:lang w:val="en-GB"/>
        </w:rPr>
        <w:t>The Construction Act regulates the designing, construction, use and maintenance of construction works and the procedure and conditions for obtaining construction and use permit. By this Act essential requirements for health and occupational safety, environment protection and energy efficiency for construction works are defined. All construction works must be performed in such way to comply with these requirements.</w:t>
      </w:r>
    </w:p>
    <w:p w14:paraId="29848029" w14:textId="77777777" w:rsidR="00113C2C" w:rsidRPr="00113C2C" w:rsidRDefault="00113C2C" w:rsidP="00113C2C">
      <w:pPr>
        <w:rPr>
          <w:rFonts w:ascii="Calibri" w:hAnsi="Calibri"/>
          <w:lang w:val="en-GB"/>
        </w:rPr>
      </w:pPr>
      <w:r w:rsidRPr="00113C2C">
        <w:rPr>
          <w:rFonts w:ascii="Calibri" w:hAnsi="Calibri"/>
          <w:lang w:val="en-GB"/>
        </w:rPr>
        <w:t xml:space="preserve">Construction and use permits are issued by the </w:t>
      </w:r>
      <w:proofErr w:type="spellStart"/>
      <w:r w:rsidRPr="00113C2C">
        <w:rPr>
          <w:rFonts w:ascii="Calibri" w:hAnsi="Calibri"/>
          <w:lang w:val="en-GB"/>
        </w:rPr>
        <w:t>MoPPCSA</w:t>
      </w:r>
      <w:proofErr w:type="spellEnd"/>
      <w:r w:rsidRPr="00113C2C">
        <w:rPr>
          <w:rFonts w:ascii="Calibri" w:hAnsi="Calibri"/>
          <w:lang w:val="en-GB"/>
        </w:rPr>
        <w:t xml:space="preserve">, the administrative bodies of large cities (over 35.000 inhabitants), the City of Zagreb and the county. The </w:t>
      </w:r>
      <w:proofErr w:type="spellStart"/>
      <w:r w:rsidRPr="00113C2C">
        <w:rPr>
          <w:rFonts w:ascii="Calibri" w:hAnsi="Calibri"/>
          <w:lang w:val="en-GB"/>
        </w:rPr>
        <w:t>MoPPCSA</w:t>
      </w:r>
      <w:proofErr w:type="spellEnd"/>
      <w:r w:rsidRPr="00113C2C">
        <w:rPr>
          <w:rFonts w:ascii="Calibri" w:hAnsi="Calibri"/>
          <w:lang w:val="en-GB"/>
        </w:rPr>
        <w:t xml:space="preserve"> may delegate the authority to issue an individual permit to the administrative body of the big city, the City of Zagreb or the county.</w:t>
      </w:r>
    </w:p>
    <w:p w14:paraId="5B357E48" w14:textId="246A6F7B"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 xml:space="preserve">Procedure of issuing location, building and use permit according to Construction Act (OG 153/13, 20/17, 39/19) and the Physical Planning Act (OG 153/13, 65/17, 114/18, 39/19, 98/19) is given in </w:t>
      </w:r>
      <w:r w:rsidR="005D4417">
        <w:rPr>
          <w:rFonts w:ascii="Calibri" w:hAnsi="Calibri" w:cs="Calibri"/>
          <w:shd w:val="clear" w:color="auto" w:fill="FFFFFF"/>
          <w:lang w:val="en-GB"/>
        </w:rPr>
        <w:fldChar w:fldCharType="begin"/>
      </w:r>
      <w:r w:rsidR="005D4417">
        <w:rPr>
          <w:rFonts w:ascii="Calibri" w:hAnsi="Calibri" w:cs="Calibri"/>
          <w:shd w:val="clear" w:color="auto" w:fill="FFFFFF"/>
          <w:lang w:val="en-GB"/>
        </w:rPr>
        <w:instrText xml:space="preserve"> REF _Ref56949555 \h </w:instrText>
      </w:r>
      <w:r w:rsidR="005D4417">
        <w:rPr>
          <w:rFonts w:ascii="Calibri" w:hAnsi="Calibri" w:cs="Calibri"/>
          <w:shd w:val="clear" w:color="auto" w:fill="FFFFFF"/>
          <w:lang w:val="en-GB"/>
        </w:rPr>
      </w:r>
      <w:r w:rsidR="005D4417">
        <w:rPr>
          <w:rFonts w:ascii="Calibri" w:hAnsi="Calibri" w:cs="Calibri"/>
          <w:shd w:val="clear" w:color="auto" w:fill="FFFFFF"/>
          <w:lang w:val="en-GB"/>
        </w:rPr>
        <w:fldChar w:fldCharType="separate"/>
      </w:r>
      <w:r w:rsidR="007D1E1B">
        <w:t xml:space="preserve">ANNEX </w:t>
      </w:r>
      <w:r w:rsidR="007D1E1B">
        <w:rPr>
          <w:noProof/>
        </w:rPr>
        <w:t>IV</w:t>
      </w:r>
      <w:r w:rsidR="005D4417">
        <w:rPr>
          <w:rFonts w:ascii="Calibri" w:hAnsi="Calibri" w:cs="Calibri"/>
          <w:shd w:val="clear" w:color="auto" w:fill="FFFFFF"/>
          <w:lang w:val="en-GB"/>
        </w:rPr>
        <w:fldChar w:fldCharType="end"/>
      </w:r>
      <w:r w:rsidR="005D4417">
        <w:rPr>
          <w:rFonts w:ascii="Calibri" w:hAnsi="Calibri" w:cs="Calibri"/>
          <w:shd w:val="clear" w:color="auto" w:fill="FFFFFF"/>
          <w:lang w:val="en-GB"/>
        </w:rPr>
        <w:t xml:space="preserve"> </w:t>
      </w:r>
      <w:r w:rsidRPr="00113C2C">
        <w:rPr>
          <w:rFonts w:ascii="Calibri" w:hAnsi="Calibri" w:cs="Calibri"/>
          <w:shd w:val="clear" w:color="auto" w:fill="FFFFFF"/>
          <w:lang w:val="en-GB"/>
        </w:rPr>
        <w:t>and</w:t>
      </w:r>
      <w:r w:rsidR="00F63FB8">
        <w:rPr>
          <w:rFonts w:ascii="Calibri" w:hAnsi="Calibri" w:cs="Calibri"/>
          <w:shd w:val="clear" w:color="auto" w:fill="FFFFFF"/>
          <w:lang w:val="en-GB"/>
        </w:rPr>
        <w:t xml:space="preserve"> </w:t>
      </w:r>
      <w:r w:rsidR="005D4417">
        <w:rPr>
          <w:rFonts w:ascii="Calibri" w:hAnsi="Calibri" w:cs="Calibri"/>
          <w:shd w:val="clear" w:color="auto" w:fill="FFFFFF"/>
          <w:lang w:val="en-GB"/>
        </w:rPr>
        <w:fldChar w:fldCharType="begin"/>
      </w:r>
      <w:r w:rsidR="005D4417">
        <w:rPr>
          <w:rFonts w:ascii="Calibri" w:hAnsi="Calibri" w:cs="Calibri"/>
          <w:shd w:val="clear" w:color="auto" w:fill="FFFFFF"/>
          <w:lang w:val="en-GB"/>
        </w:rPr>
        <w:instrText xml:space="preserve"> REF _Ref56949566 \h </w:instrText>
      </w:r>
      <w:r w:rsidR="005D4417">
        <w:rPr>
          <w:rFonts w:ascii="Calibri" w:hAnsi="Calibri" w:cs="Calibri"/>
          <w:shd w:val="clear" w:color="auto" w:fill="FFFFFF"/>
          <w:lang w:val="en-GB"/>
        </w:rPr>
      </w:r>
      <w:r w:rsidR="005D4417">
        <w:rPr>
          <w:rFonts w:ascii="Calibri" w:hAnsi="Calibri" w:cs="Calibri"/>
          <w:shd w:val="clear" w:color="auto" w:fill="FFFFFF"/>
          <w:lang w:val="en-GB"/>
        </w:rPr>
        <w:fldChar w:fldCharType="separate"/>
      </w:r>
      <w:r w:rsidR="007D1E1B">
        <w:t xml:space="preserve">ANNEX </w:t>
      </w:r>
      <w:r w:rsidR="007D1E1B">
        <w:rPr>
          <w:noProof/>
        </w:rPr>
        <w:t>V</w:t>
      </w:r>
      <w:r w:rsidR="005D4417">
        <w:rPr>
          <w:rFonts w:ascii="Calibri" w:hAnsi="Calibri" w:cs="Calibri"/>
          <w:shd w:val="clear" w:color="auto" w:fill="FFFFFF"/>
          <w:lang w:val="en-GB"/>
        </w:rPr>
        <w:fldChar w:fldCharType="end"/>
      </w:r>
      <w:r w:rsidRPr="00113C2C">
        <w:rPr>
          <w:rFonts w:ascii="Calibri" w:hAnsi="Calibri" w:cs="Calibri"/>
          <w:shd w:val="clear" w:color="auto" w:fill="FFFFFF"/>
          <w:lang w:val="en-GB"/>
        </w:rPr>
        <w:t>.</w:t>
      </w:r>
    </w:p>
    <w:p w14:paraId="2E3A84BF"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 xml:space="preserve">Criteria and authority for declaring a natural disaster, assessment of damage, allocation of aid for mitigation and partial elimination of consequences resulting from natural disasters, Register of damages caused by natural disasters and other issues related to mitigation and partial elimination of consequences caused by natural disasters, is regulated by </w:t>
      </w:r>
      <w:bookmarkStart w:id="117" w:name="_Hlk51443608"/>
      <w:r w:rsidRPr="00113C2C">
        <w:rPr>
          <w:rFonts w:ascii="Calibri" w:hAnsi="Calibri" w:cs="Calibri"/>
          <w:shd w:val="clear" w:color="auto" w:fill="FFFFFF"/>
          <w:lang w:val="en-GB"/>
        </w:rPr>
        <w:t xml:space="preserve">Act on Mitigation and Elimination of the Consequences of Natural Disasters </w:t>
      </w:r>
      <w:bookmarkEnd w:id="117"/>
      <w:r w:rsidRPr="00113C2C">
        <w:rPr>
          <w:rFonts w:ascii="Calibri" w:hAnsi="Calibri" w:cs="Calibri"/>
          <w:shd w:val="clear" w:color="auto" w:fill="FFFFFF"/>
          <w:lang w:val="en-GB"/>
        </w:rPr>
        <w:t xml:space="preserve">(OG 16/19). </w:t>
      </w:r>
    </w:p>
    <w:p w14:paraId="16035F24"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Register of damages caused by natural disasters is a digital database of all damages caused by natural disasters in the Croatia. The content, form and submission of data in this Register is defined by the Ordinance on the Register of damages from natural disasters (OG 65/19).</w:t>
      </w:r>
    </w:p>
    <w:p w14:paraId="1A65B40F"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The day after the earthquake, on March 23, 2020. the Mayor of the City of Zagreb adopted a Conclusion on declaring a natural disaster caused by an earthquake in the area of the City of Zagreb</w:t>
      </w:r>
      <w:r w:rsidRPr="00113C2C">
        <w:rPr>
          <w:rFonts w:ascii="Calibri" w:hAnsi="Calibri" w:cs="Calibri"/>
          <w:shd w:val="clear" w:color="auto" w:fill="FFFFFF"/>
          <w:vertAlign w:val="superscript"/>
          <w:lang w:val="en-GB"/>
        </w:rPr>
        <w:footnoteReference w:id="89"/>
      </w:r>
      <w:r w:rsidRPr="00113C2C">
        <w:rPr>
          <w:rFonts w:ascii="Calibri" w:hAnsi="Calibri" w:cs="Calibri"/>
          <w:shd w:val="clear" w:color="auto" w:fill="FFFFFF"/>
          <w:lang w:val="en-GB"/>
        </w:rPr>
        <w:t xml:space="preserve"> On March 24 and 27 Decision on declaring natural disaster caused by earthquake was adopted by </w:t>
      </w:r>
      <w:r w:rsidRPr="00113C2C">
        <w:rPr>
          <w:rFonts w:ascii="Calibri" w:hAnsi="Calibri" w:cs="Calibri"/>
          <w:shd w:val="clear" w:color="auto" w:fill="FFFFFF"/>
          <w:lang w:val="en-GB"/>
        </w:rPr>
        <w:lastRenderedPageBreak/>
        <w:t>Zagreb County (for the whole County)</w:t>
      </w:r>
      <w:r w:rsidRPr="00113C2C">
        <w:rPr>
          <w:rFonts w:ascii="Calibri" w:hAnsi="Calibri" w:cs="Calibri"/>
          <w:shd w:val="clear" w:color="auto" w:fill="FFFFFF"/>
          <w:vertAlign w:val="superscript"/>
          <w:lang w:val="en-GB"/>
        </w:rPr>
        <w:footnoteReference w:id="90"/>
      </w:r>
      <w:r w:rsidRPr="00113C2C">
        <w:rPr>
          <w:rFonts w:ascii="Calibri" w:hAnsi="Calibri" w:cs="Calibri"/>
          <w:shd w:val="clear" w:color="auto" w:fill="FFFFFF"/>
          <w:lang w:val="en-GB"/>
        </w:rPr>
        <w:t xml:space="preserve"> and </w:t>
      </w:r>
      <w:proofErr w:type="spellStart"/>
      <w:r w:rsidRPr="00113C2C">
        <w:rPr>
          <w:rFonts w:ascii="Calibri" w:hAnsi="Calibri" w:cs="Calibri"/>
          <w:shd w:val="clear" w:color="auto" w:fill="FFFFFF"/>
          <w:lang w:val="en-GB"/>
        </w:rPr>
        <w:t>Krapina-Zagorje</w:t>
      </w:r>
      <w:proofErr w:type="spellEnd"/>
      <w:r w:rsidRPr="00113C2C">
        <w:rPr>
          <w:rFonts w:ascii="Calibri" w:hAnsi="Calibri" w:cs="Calibri"/>
          <w:shd w:val="clear" w:color="auto" w:fill="FFFFFF"/>
          <w:lang w:val="en-GB"/>
        </w:rPr>
        <w:t xml:space="preserve"> County (for city </w:t>
      </w:r>
      <w:proofErr w:type="spellStart"/>
      <w:r w:rsidRPr="00113C2C">
        <w:rPr>
          <w:rFonts w:ascii="Calibri" w:hAnsi="Calibri" w:cs="Calibri"/>
          <w:shd w:val="clear" w:color="auto" w:fill="FFFFFF"/>
          <w:lang w:val="en-GB"/>
        </w:rPr>
        <w:t>Donja</w:t>
      </w:r>
      <w:proofErr w:type="spellEnd"/>
      <w:r w:rsidRPr="00113C2C">
        <w:rPr>
          <w:rFonts w:ascii="Calibri" w:hAnsi="Calibri" w:cs="Calibri"/>
          <w:shd w:val="clear" w:color="auto" w:fill="FFFFFF"/>
          <w:lang w:val="en-GB"/>
        </w:rPr>
        <w:t xml:space="preserve"> </w:t>
      </w:r>
      <w:proofErr w:type="spellStart"/>
      <w:r w:rsidRPr="00113C2C">
        <w:rPr>
          <w:rFonts w:ascii="Calibri" w:hAnsi="Calibri" w:cs="Calibri"/>
          <w:shd w:val="clear" w:color="auto" w:fill="FFFFFF"/>
          <w:lang w:val="en-GB"/>
        </w:rPr>
        <w:t>Stubica</w:t>
      </w:r>
      <w:proofErr w:type="spellEnd"/>
      <w:r w:rsidRPr="00113C2C">
        <w:rPr>
          <w:rFonts w:ascii="Calibri" w:hAnsi="Calibri" w:cs="Calibri"/>
          <w:shd w:val="clear" w:color="auto" w:fill="FFFFFF"/>
          <w:lang w:val="en-GB"/>
        </w:rPr>
        <w:t xml:space="preserve"> and municipality </w:t>
      </w:r>
      <w:proofErr w:type="spellStart"/>
      <w:r w:rsidRPr="00113C2C">
        <w:rPr>
          <w:rFonts w:ascii="Calibri" w:hAnsi="Calibri" w:cs="Calibri"/>
          <w:shd w:val="clear" w:color="auto" w:fill="FFFFFF"/>
          <w:lang w:val="en-GB"/>
        </w:rPr>
        <w:t>Gornja</w:t>
      </w:r>
      <w:proofErr w:type="spellEnd"/>
      <w:r w:rsidRPr="00113C2C">
        <w:rPr>
          <w:rFonts w:ascii="Calibri" w:hAnsi="Calibri" w:cs="Calibri"/>
          <w:shd w:val="clear" w:color="auto" w:fill="FFFFFF"/>
          <w:lang w:val="en-GB"/>
        </w:rPr>
        <w:t xml:space="preserve"> </w:t>
      </w:r>
      <w:proofErr w:type="spellStart"/>
      <w:r w:rsidRPr="00113C2C">
        <w:rPr>
          <w:rFonts w:ascii="Calibri" w:hAnsi="Calibri" w:cs="Calibri"/>
          <w:shd w:val="clear" w:color="auto" w:fill="FFFFFF"/>
          <w:lang w:val="en-GB"/>
        </w:rPr>
        <w:t>Stubica</w:t>
      </w:r>
      <w:proofErr w:type="spellEnd"/>
      <w:r w:rsidRPr="00113C2C">
        <w:rPr>
          <w:rFonts w:ascii="Calibri" w:hAnsi="Calibri" w:cs="Calibri"/>
          <w:shd w:val="clear" w:color="auto" w:fill="FFFFFF"/>
          <w:lang w:val="en-GB"/>
        </w:rPr>
        <w:t>)</w:t>
      </w:r>
      <w:r w:rsidRPr="00113C2C">
        <w:rPr>
          <w:rFonts w:ascii="Calibri" w:hAnsi="Calibri" w:cs="Calibri"/>
          <w:shd w:val="clear" w:color="auto" w:fill="FFFFFF"/>
          <w:vertAlign w:val="superscript"/>
          <w:lang w:val="en-GB"/>
        </w:rPr>
        <w:footnoteReference w:id="91"/>
      </w:r>
      <w:r w:rsidRPr="00113C2C">
        <w:rPr>
          <w:rFonts w:ascii="Calibri" w:hAnsi="Calibri" w:cs="Calibri"/>
          <w:shd w:val="clear" w:color="auto" w:fill="FFFFFF"/>
          <w:lang w:val="en-GB"/>
        </w:rPr>
        <w:t xml:space="preserve">. </w:t>
      </w:r>
    </w:p>
    <w:p w14:paraId="4AB95DF8"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 xml:space="preserve">According to official instructions of the </w:t>
      </w:r>
      <w:proofErr w:type="spellStart"/>
      <w:r w:rsidRPr="00113C2C">
        <w:rPr>
          <w:rFonts w:ascii="Calibri" w:hAnsi="Calibri" w:cs="Calibri"/>
          <w:shd w:val="clear" w:color="auto" w:fill="FFFFFF"/>
          <w:lang w:val="en-GB"/>
        </w:rPr>
        <w:t>MoPPCSA</w:t>
      </w:r>
      <w:proofErr w:type="spellEnd"/>
      <w:r w:rsidRPr="00113C2C">
        <w:rPr>
          <w:rFonts w:ascii="Calibri" w:hAnsi="Calibri" w:cs="Calibri"/>
          <w:shd w:val="clear" w:color="auto" w:fill="FFFFFF"/>
          <w:vertAlign w:val="superscript"/>
          <w:lang w:val="en-GB"/>
        </w:rPr>
        <w:footnoteReference w:id="92"/>
      </w:r>
      <w:r w:rsidRPr="00113C2C">
        <w:rPr>
          <w:rFonts w:ascii="Calibri" w:hAnsi="Calibri" w:cs="Calibri"/>
          <w:shd w:val="clear" w:color="auto" w:fill="FFFFFF"/>
          <w:lang w:val="en-GB"/>
        </w:rPr>
        <w:t xml:space="preserve"> from July 3, the construction and other works are:</w:t>
      </w:r>
    </w:p>
    <w:p w14:paraId="4456C79D"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Restoration of damaged buildings (construction of a "replica" of a destroyed and removed building or part of the building),</w:t>
      </w:r>
    </w:p>
    <w:p w14:paraId="5034A7AD"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Maintenance,</w:t>
      </w:r>
    </w:p>
    <w:p w14:paraId="0F11894B"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Removal,</w:t>
      </w:r>
    </w:p>
    <w:p w14:paraId="2ECCB5E0"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 xml:space="preserve">Reconstruction, </w:t>
      </w:r>
    </w:p>
    <w:p w14:paraId="7E6A0B9E" w14:textId="77777777" w:rsidR="00113C2C" w:rsidRPr="00113C2C" w:rsidRDefault="00113C2C" w:rsidP="00BE60A0">
      <w:pPr>
        <w:numPr>
          <w:ilvl w:val="0"/>
          <w:numId w:val="24"/>
        </w:numPr>
        <w:suppressAutoHyphens w:val="0"/>
        <w:autoSpaceDN/>
        <w:spacing w:before="0" w:after="160" w:line="259" w:lineRule="auto"/>
        <w:contextualSpacing/>
        <w:jc w:val="left"/>
        <w:textAlignment w:val="auto"/>
        <w:rPr>
          <w:rFonts w:ascii="Calibri" w:hAnsi="Calibri" w:cs="Calibri"/>
          <w:shd w:val="clear" w:color="auto" w:fill="FFFFFF"/>
          <w:lang w:val="en-GB"/>
        </w:rPr>
      </w:pPr>
      <w:r w:rsidRPr="00113C2C">
        <w:rPr>
          <w:rFonts w:ascii="Calibri" w:hAnsi="Calibri" w:cs="Calibri"/>
          <w:shd w:val="clear" w:color="auto" w:fill="FFFFFF"/>
          <w:lang w:val="en-GB"/>
        </w:rPr>
        <w:t>Construction of a completely new building that differs from the removed one.</w:t>
      </w:r>
    </w:p>
    <w:p w14:paraId="454CA3E9" w14:textId="77777777" w:rsidR="00113C2C" w:rsidRPr="00113C2C" w:rsidRDefault="00113C2C" w:rsidP="00113C2C">
      <w:pPr>
        <w:spacing w:before="0" w:after="0"/>
        <w:rPr>
          <w:rFonts w:ascii="Calibri" w:hAnsi="Calibri" w:cs="Calibri"/>
          <w:shd w:val="clear" w:color="auto" w:fill="FFFFFF"/>
          <w:lang w:val="en-GB"/>
        </w:rPr>
      </w:pPr>
    </w:p>
    <w:p w14:paraId="2838F0B2" w14:textId="07032C6D" w:rsidR="00113C2C" w:rsidRPr="006674D0" w:rsidRDefault="00113C2C" w:rsidP="00113C2C">
      <w:pPr>
        <w:spacing w:before="0" w:after="0"/>
        <w:rPr>
          <w:rFonts w:ascii="Calibri" w:hAnsi="Calibri" w:cs="Calibri"/>
          <w:shd w:val="clear" w:color="auto" w:fill="FFFFFF"/>
          <w:lang w:val="en-GB"/>
        </w:rPr>
      </w:pPr>
      <w:r w:rsidRPr="00113C2C">
        <w:rPr>
          <w:rFonts w:ascii="Calibri" w:hAnsi="Calibri" w:cs="Calibri"/>
          <w:shd w:val="clear" w:color="auto" w:fill="FFFFFF"/>
          <w:lang w:val="en-GB"/>
        </w:rPr>
        <w:t xml:space="preserve">Although, for aforementioned construction works, the Construction Act stipulates the obligation to obtain building permit, Articles 129 and 130 of this Act define an exception according to which in case of damage caused by natural disaster, the building can be returned to its original condition without obtaining a building permit. This </w:t>
      </w:r>
      <w:proofErr w:type="gramStart"/>
      <w:r w:rsidRPr="00113C2C">
        <w:rPr>
          <w:rFonts w:ascii="Calibri" w:hAnsi="Calibri" w:cs="Calibri"/>
          <w:shd w:val="clear" w:color="auto" w:fill="FFFFFF"/>
          <w:lang w:val="en-GB"/>
        </w:rPr>
        <w:t>have to</w:t>
      </w:r>
      <w:proofErr w:type="gramEnd"/>
      <w:r w:rsidRPr="00113C2C">
        <w:rPr>
          <w:rFonts w:ascii="Calibri" w:hAnsi="Calibri" w:cs="Calibri"/>
          <w:shd w:val="clear" w:color="auto" w:fill="FFFFFF"/>
          <w:lang w:val="en-GB"/>
        </w:rPr>
        <w:t xml:space="preserve"> be performed in accordance with the legal act/permit on the basis of which building was constructed, or in accordance with the project existing status (condition) of the building</w:t>
      </w:r>
      <w:r w:rsidRPr="00113C2C">
        <w:rPr>
          <w:rFonts w:ascii="Calibri" w:hAnsi="Calibri" w:cs="Calibri"/>
          <w:shd w:val="clear" w:color="auto" w:fill="FFFFFF"/>
          <w:vertAlign w:val="superscript"/>
          <w:lang w:val="en-GB"/>
        </w:rPr>
        <w:footnoteReference w:id="93"/>
      </w:r>
      <w:r w:rsidRPr="00113C2C">
        <w:rPr>
          <w:rFonts w:ascii="Calibri" w:hAnsi="Calibri" w:cs="Calibri"/>
          <w:shd w:val="clear" w:color="auto" w:fill="FFFFFF"/>
          <w:lang w:val="en-GB"/>
        </w:rPr>
        <w:t xml:space="preserve">. Also, it is necessary to comply with the Technical Regulation for Building Structures (OG 17/17,75/20) – further in document Technical Regulation. In June 2020, this Technical Regulation was amended by a provision which more precisely regulates the reconstruction after an earthquake (Article 24a). Furthermore, new Annex III defines the level of reconstruction of earthquake-damaged buildings in relation to mechanical resistance and stability for the City of Zagreb, </w:t>
      </w:r>
      <w:proofErr w:type="spellStart"/>
      <w:r w:rsidRPr="00113C2C">
        <w:rPr>
          <w:rFonts w:ascii="Calibri" w:hAnsi="Calibri" w:cs="Calibri"/>
          <w:shd w:val="clear" w:color="auto" w:fill="FFFFFF"/>
          <w:lang w:val="en-GB"/>
        </w:rPr>
        <w:t>Krapina-Zagorje</w:t>
      </w:r>
      <w:proofErr w:type="spellEnd"/>
      <w:r w:rsidRPr="00113C2C">
        <w:rPr>
          <w:rFonts w:ascii="Calibri" w:hAnsi="Calibri" w:cs="Calibri"/>
          <w:shd w:val="clear" w:color="auto" w:fill="FFFFFF"/>
          <w:lang w:val="en-GB"/>
        </w:rPr>
        <w:t xml:space="preserve"> and Zagreb counties. </w:t>
      </w:r>
      <w:r w:rsidRPr="006674D0">
        <w:rPr>
          <w:rFonts w:ascii="Calibri" w:hAnsi="Calibri" w:cs="Calibri"/>
          <w:shd w:val="clear" w:color="auto" w:fill="FFFFFF"/>
          <w:lang w:val="en-GB"/>
        </w:rPr>
        <w:t xml:space="preserve">Annex III of Technical Regulation is given in </w:t>
      </w:r>
      <w:r w:rsidR="007D1E1B">
        <w:rPr>
          <w:rFonts w:ascii="Calibri" w:hAnsi="Calibri" w:cs="Calibri"/>
          <w:shd w:val="clear" w:color="auto" w:fill="FFFFFF"/>
          <w:lang w:val="en-GB"/>
        </w:rPr>
        <w:fldChar w:fldCharType="begin"/>
      </w:r>
      <w:r w:rsidR="007D1E1B">
        <w:rPr>
          <w:rFonts w:ascii="Calibri" w:hAnsi="Calibri" w:cs="Calibri"/>
          <w:shd w:val="clear" w:color="auto" w:fill="FFFFFF"/>
          <w:lang w:val="en-GB"/>
        </w:rPr>
        <w:instrText xml:space="preserve"> REF _Ref56950030 \h </w:instrText>
      </w:r>
      <w:r w:rsidR="007D1E1B">
        <w:rPr>
          <w:rFonts w:ascii="Calibri" w:hAnsi="Calibri" w:cs="Calibri"/>
          <w:shd w:val="clear" w:color="auto" w:fill="FFFFFF"/>
          <w:lang w:val="en-GB"/>
        </w:rPr>
      </w:r>
      <w:r w:rsidR="007D1E1B">
        <w:rPr>
          <w:rFonts w:ascii="Calibri" w:hAnsi="Calibri" w:cs="Calibri"/>
          <w:shd w:val="clear" w:color="auto" w:fill="FFFFFF"/>
          <w:lang w:val="en-GB"/>
        </w:rPr>
        <w:fldChar w:fldCharType="separate"/>
      </w:r>
      <w:r w:rsidR="007D1E1B">
        <w:t xml:space="preserve">ANNEX </w:t>
      </w:r>
      <w:r w:rsidR="007D1E1B">
        <w:rPr>
          <w:noProof/>
        </w:rPr>
        <w:t>VI</w:t>
      </w:r>
      <w:r w:rsidR="007D1E1B">
        <w:rPr>
          <w:rFonts w:ascii="Calibri" w:hAnsi="Calibri" w:cs="Calibri"/>
          <w:shd w:val="clear" w:color="auto" w:fill="FFFFFF"/>
          <w:lang w:val="en-GB"/>
        </w:rPr>
        <w:fldChar w:fldCharType="end"/>
      </w:r>
      <w:r w:rsidR="007D1E1B">
        <w:rPr>
          <w:rFonts w:ascii="Calibri" w:hAnsi="Calibri" w:cs="Calibri"/>
          <w:shd w:val="clear" w:color="auto" w:fill="FFFFFF"/>
          <w:lang w:val="en-GB"/>
        </w:rPr>
        <w:t xml:space="preserve"> </w:t>
      </w:r>
      <w:r w:rsidRPr="006674D0">
        <w:rPr>
          <w:rFonts w:ascii="Calibri" w:hAnsi="Calibri" w:cs="Calibri"/>
          <w:shd w:val="clear" w:color="auto" w:fill="FFFFFF"/>
          <w:lang w:val="en-GB"/>
        </w:rPr>
        <w:t>of this ESMF.</w:t>
      </w:r>
    </w:p>
    <w:p w14:paraId="2B76A858"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Without the construction permit, the removal of the building or its part can be carried out (Article 153 of the Construction Act), but it is necessary to have a project for the removal of the building. This applies only to buildings and works for which it is not necessary to obtain a building permit, as defined by the Ordinance on simple and other construction works and works (OG 112/17, 334/18, 36/19, 98/19, 31/20). This Ordinance defines simple and other buildings and works that can be built without a building permit in accordance with the main project and without main project, buildings that can be removed without a removal project. Also, this Ordinance defines the obligation to report the start of construction works and professional supervision of these buildings.</w:t>
      </w:r>
    </w:p>
    <w:p w14:paraId="0224FCFB" w14:textId="77777777" w:rsidR="00113C2C" w:rsidRPr="00113C2C" w:rsidRDefault="00113C2C" w:rsidP="00113C2C">
      <w:pPr>
        <w:rPr>
          <w:rFonts w:ascii="Calibri" w:hAnsi="Calibri" w:cs="Calibri"/>
          <w:shd w:val="clear" w:color="auto" w:fill="FFFFFF"/>
          <w:lang w:val="en-GB"/>
        </w:rPr>
      </w:pPr>
      <w:r w:rsidRPr="00113C2C">
        <w:rPr>
          <w:rFonts w:ascii="Calibri" w:hAnsi="Calibri" w:cs="Calibri"/>
          <w:shd w:val="clear" w:color="auto" w:fill="FFFFFF"/>
          <w:lang w:val="en-GB"/>
        </w:rPr>
        <w:t>The Ordinance on building maintenance (OG 122/14, 98/19) regulates the maintenance of buildings, and in the context of eliminating the consequences of earthquake, it also represents extraordinary maintenance. This includes replacement, supplementation and/or filling of building parts after an extraordinary event, such as an earthquake, after which the building or its part is not usable. In this case the administrative procedure is simpler. Execution of extraordinary maintenance works can be based on project which may not change the technical solution in accordance with which the building was built. This means it is possible to start work without a building permit, and in accordance with the main project.</w:t>
      </w:r>
    </w:p>
    <w:p w14:paraId="6009E7D2" w14:textId="4252B33D" w:rsidR="00113C2C" w:rsidRPr="00113C2C" w:rsidRDefault="00113C2C" w:rsidP="00CD7396">
      <w:pPr>
        <w:pStyle w:val="Heading4"/>
        <w:rPr>
          <w:shd w:val="clear" w:color="auto" w:fill="FFFFFF"/>
          <w:lang w:val="en-GB"/>
        </w:rPr>
      </w:pPr>
      <w:r w:rsidRPr="00113C2C">
        <w:rPr>
          <w:shd w:val="clear" w:color="auto" w:fill="FFFFFF"/>
          <w:lang w:val="en-GB"/>
        </w:rPr>
        <w:lastRenderedPageBreak/>
        <w:t xml:space="preserve">Act on Reconstruction of Earthquake Damaged Buildings in the City of Zagreb, </w:t>
      </w:r>
      <w:proofErr w:type="spellStart"/>
      <w:r w:rsidRPr="00113C2C">
        <w:rPr>
          <w:shd w:val="clear" w:color="auto" w:fill="FFFFFF"/>
          <w:lang w:val="en-GB"/>
        </w:rPr>
        <w:t>Krapina-Zagorje</w:t>
      </w:r>
      <w:proofErr w:type="spellEnd"/>
      <w:r w:rsidRPr="00113C2C">
        <w:rPr>
          <w:shd w:val="clear" w:color="auto" w:fill="FFFFFF"/>
          <w:lang w:val="en-GB"/>
        </w:rPr>
        <w:t xml:space="preserve"> County and Zagreb County</w:t>
      </w:r>
    </w:p>
    <w:p w14:paraId="238E4B47"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On September 11, 2020 Croatian Parliament adopted the </w:t>
      </w:r>
      <w:bookmarkStart w:id="118" w:name="_Hlk51406780"/>
      <w:r w:rsidRPr="00113C2C">
        <w:rPr>
          <w:rFonts w:ascii="Calibri" w:hAnsi="Calibri"/>
          <w:lang w:val="en-GB"/>
        </w:rPr>
        <w:t xml:space="preserve">Act on Reconstruction of Earthquake Damaged Buildings in the City of Zagreb, </w:t>
      </w:r>
      <w:proofErr w:type="spellStart"/>
      <w:r w:rsidRPr="00113C2C">
        <w:rPr>
          <w:rFonts w:ascii="Calibri" w:hAnsi="Calibri"/>
          <w:lang w:val="en-GB"/>
        </w:rPr>
        <w:t>Krapina-Zagorje</w:t>
      </w:r>
      <w:proofErr w:type="spellEnd"/>
      <w:r w:rsidRPr="00113C2C">
        <w:rPr>
          <w:rFonts w:ascii="Calibri" w:hAnsi="Calibri"/>
          <w:lang w:val="en-GB"/>
        </w:rPr>
        <w:t xml:space="preserve"> County and Zagreb County</w:t>
      </w:r>
      <w:bookmarkEnd w:id="118"/>
      <w:r w:rsidRPr="00113C2C">
        <w:rPr>
          <w:rFonts w:ascii="Calibri" w:hAnsi="Calibri"/>
          <w:lang w:val="en-GB"/>
        </w:rPr>
        <w:t>. The Act came into force after publishing in Official Gazette on September 16, 2020.</w:t>
      </w:r>
    </w:p>
    <w:p w14:paraId="24EAB97D"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Act on Reconstruction of Earthquake Damaged Buildings in the City of Zagreb, </w:t>
      </w:r>
      <w:proofErr w:type="spellStart"/>
      <w:r w:rsidRPr="00113C2C">
        <w:rPr>
          <w:rFonts w:ascii="Calibri" w:hAnsi="Calibri"/>
          <w:lang w:val="en-GB"/>
        </w:rPr>
        <w:t>Krapina-Zagorje</w:t>
      </w:r>
      <w:proofErr w:type="spellEnd"/>
      <w:r w:rsidRPr="00113C2C">
        <w:rPr>
          <w:rFonts w:ascii="Calibri" w:hAnsi="Calibri"/>
          <w:lang w:val="en-GB"/>
        </w:rPr>
        <w:t xml:space="preserve"> County and Zagreb County (OG 102/20) (further in document Reconstruction Act) regulates: the procedure of reconstruction or removal of buildings in the area of the City of Zagreb, </w:t>
      </w:r>
      <w:proofErr w:type="spellStart"/>
      <w:r w:rsidRPr="00113C2C">
        <w:rPr>
          <w:rFonts w:ascii="Calibri" w:hAnsi="Calibri"/>
          <w:lang w:val="en-GB"/>
        </w:rPr>
        <w:t>Krapina-Zagorje</w:t>
      </w:r>
      <w:proofErr w:type="spellEnd"/>
      <w:r w:rsidRPr="00113C2C">
        <w:rPr>
          <w:rFonts w:ascii="Calibri" w:hAnsi="Calibri"/>
          <w:lang w:val="en-GB"/>
        </w:rPr>
        <w:t xml:space="preserve"> County and Zagreb County, damaged or destroyed by the earthquake occurred on March 22, 2020, manner of housing persons affected by the earthquake (including construction of replacement private houses), the competent authorities and deadlines for these actions, and all other related issues. </w:t>
      </w:r>
    </w:p>
    <w:p w14:paraId="5BDAA9F4"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Regarding the reconstruction of earthquake damaged buildings, by adoption of Reconstruction Act certain provisions from existing legislation regulating construction works and provisions of Act on Mitigation and Elimination of the Consequences of Natural Disasters (financial assistance) are suspended.</w:t>
      </w:r>
    </w:p>
    <w:p w14:paraId="6EB6E2A9"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Implementation of activities defined by Reconstruction Act will be co-financed by the Republic of Croatia, City of Zagreb, </w:t>
      </w:r>
      <w:proofErr w:type="spellStart"/>
      <w:r w:rsidRPr="00113C2C">
        <w:rPr>
          <w:rFonts w:ascii="Calibri" w:hAnsi="Calibri"/>
          <w:lang w:val="en-GB"/>
        </w:rPr>
        <w:t>Krapina-Zagorje</w:t>
      </w:r>
      <w:proofErr w:type="spellEnd"/>
      <w:r w:rsidRPr="00113C2C">
        <w:rPr>
          <w:rFonts w:ascii="Calibri" w:hAnsi="Calibri"/>
          <w:lang w:val="en-GB"/>
        </w:rPr>
        <w:t xml:space="preserve"> County and Zagreb County.</w:t>
      </w:r>
    </w:p>
    <w:p w14:paraId="7922523F"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For the purpose of reconstruction of earthquake damaged area and assisting the owners or co-owners of damaged and destroyed multi-dwelling buildings, residential and commercial buildings, business buildings and family houses, Reconstruction Act defines:</w:t>
      </w:r>
    </w:p>
    <w:p w14:paraId="34BA279C"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 xml:space="preserve">Reduction and simplification of legally required documentation/procedure and thus time necessary for reconstruction (in comparison to a regular legal procedure), costs reduction by ensuring co-financing of this procedure by the Republic of Croatia, City of Zagreb, </w:t>
      </w:r>
      <w:proofErr w:type="spellStart"/>
      <w:r w:rsidRPr="00113C2C">
        <w:rPr>
          <w:rFonts w:ascii="Calibri" w:hAnsi="Calibri"/>
          <w:lang w:val="en-GB"/>
        </w:rPr>
        <w:t>Krapina-Zagorje</w:t>
      </w:r>
      <w:proofErr w:type="spellEnd"/>
      <w:r w:rsidRPr="00113C2C">
        <w:rPr>
          <w:rFonts w:ascii="Calibri" w:hAnsi="Calibri"/>
          <w:lang w:val="en-GB"/>
        </w:rPr>
        <w:t xml:space="preserve"> and Zagreb county,</w:t>
      </w:r>
    </w:p>
    <w:p w14:paraId="648E54BA"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 xml:space="preserve">Establishment of the </w:t>
      </w:r>
      <w:bookmarkStart w:id="119" w:name="_Hlk51411514"/>
      <w:r w:rsidRPr="00113C2C">
        <w:rPr>
          <w:rFonts w:ascii="Calibri" w:hAnsi="Calibri"/>
          <w:lang w:val="en-GB"/>
        </w:rPr>
        <w:t xml:space="preserve">Fund for Reconstruction of the City of Zagreb, </w:t>
      </w:r>
      <w:proofErr w:type="spellStart"/>
      <w:r w:rsidRPr="00113C2C">
        <w:rPr>
          <w:rFonts w:ascii="Calibri" w:hAnsi="Calibri"/>
          <w:lang w:val="en-GB"/>
        </w:rPr>
        <w:t>Krapina-Zagorje</w:t>
      </w:r>
      <w:proofErr w:type="spellEnd"/>
      <w:r w:rsidRPr="00113C2C">
        <w:rPr>
          <w:rFonts w:ascii="Calibri" w:hAnsi="Calibri"/>
          <w:lang w:val="en-GB"/>
        </w:rPr>
        <w:t xml:space="preserve"> County and Zagreb County (Reconstruction Fund),</w:t>
      </w:r>
    </w:p>
    <w:bookmarkEnd w:id="119"/>
    <w:p w14:paraId="4355413B"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 xml:space="preserve">Organization and implementation of reconstruction of earthquake damaged buildings (including financial support) </w:t>
      </w:r>
      <w:proofErr w:type="gramStart"/>
      <w:r w:rsidRPr="00113C2C">
        <w:rPr>
          <w:rFonts w:ascii="Calibri" w:hAnsi="Calibri"/>
          <w:lang w:val="en-GB"/>
        </w:rPr>
        <w:t>by:</w:t>
      </w:r>
      <w:proofErr w:type="gramEnd"/>
      <w:r w:rsidRPr="00113C2C">
        <w:rPr>
          <w:rFonts w:ascii="Calibri" w:hAnsi="Calibri"/>
          <w:lang w:val="en-GB"/>
        </w:rPr>
        <w:t xml:space="preserve"> complete reconstruction of the building and construction structure, structural reinforcement and repair of construction structure, repair of non-structural elements, or removal of destroyed buildings,</w:t>
      </w:r>
    </w:p>
    <w:p w14:paraId="38B45039"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 xml:space="preserve">Construction of replacement family houses with financial assistance by the Republic of Croatia, City of Zagreb, </w:t>
      </w:r>
      <w:proofErr w:type="spellStart"/>
      <w:r w:rsidRPr="00113C2C">
        <w:rPr>
          <w:rFonts w:ascii="Calibri" w:hAnsi="Calibri"/>
          <w:lang w:val="en-GB"/>
        </w:rPr>
        <w:t>Krapina-Zagorje</w:t>
      </w:r>
      <w:proofErr w:type="spellEnd"/>
      <w:r w:rsidRPr="00113C2C">
        <w:rPr>
          <w:rFonts w:ascii="Calibri" w:hAnsi="Calibri"/>
          <w:lang w:val="en-GB"/>
        </w:rPr>
        <w:t xml:space="preserve"> and Zagreb county,</w:t>
      </w:r>
    </w:p>
    <w:p w14:paraId="787661BC"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Financial assistance for the temporary protection of buildings from the effects of the atmosphere and the removal and adherence of dangerous parts of buildings that could endanger human life or health (repair or replacement of chimneys and gable walls and the repair of stairs and elevators),</w:t>
      </w:r>
    </w:p>
    <w:p w14:paraId="709070FD"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Financial assistance for the works on the reconstruction of damaged buildings for owners and co-owners who renovate buildings by themselves,</w:t>
      </w:r>
    </w:p>
    <w:p w14:paraId="704B9850"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Possibility for owners and co-owners of buildings to perform structural reinforcement above the level of renovation defined by the Technical Regulation for Building Structures (OG 17/17, 75/20), and to carry out a complete renovation of the building, by paying the difference in costs,</w:t>
      </w:r>
    </w:p>
    <w:p w14:paraId="1F1F1F63" w14:textId="77777777" w:rsidR="00113C2C" w:rsidRPr="00113C2C" w:rsidRDefault="00113C2C" w:rsidP="00BE60A0">
      <w:pPr>
        <w:numPr>
          <w:ilvl w:val="0"/>
          <w:numId w:val="68"/>
        </w:numPr>
        <w:suppressAutoHyphens w:val="0"/>
        <w:autoSpaceDN/>
        <w:spacing w:before="0" w:after="160" w:line="259" w:lineRule="auto"/>
        <w:contextualSpacing/>
        <w:textAlignment w:val="auto"/>
        <w:rPr>
          <w:rFonts w:ascii="Calibri" w:hAnsi="Calibri"/>
          <w:lang w:val="en-GB"/>
        </w:rPr>
      </w:pPr>
      <w:r w:rsidRPr="00113C2C">
        <w:rPr>
          <w:rFonts w:ascii="Calibri" w:hAnsi="Calibri"/>
          <w:lang w:val="en-GB"/>
        </w:rPr>
        <w:t>Temporary and permanent housing for persons affected by the earthquake by renting or providing ownership on the real estate.</w:t>
      </w:r>
    </w:p>
    <w:p w14:paraId="7D5155CB" w14:textId="77777777" w:rsidR="00113C2C" w:rsidRDefault="00113C2C" w:rsidP="00113C2C">
      <w:pPr>
        <w:suppressAutoHyphens w:val="0"/>
        <w:autoSpaceDN/>
        <w:spacing w:before="0" w:after="160" w:line="259" w:lineRule="auto"/>
        <w:textAlignment w:val="auto"/>
        <w:rPr>
          <w:rFonts w:ascii="Calibri" w:hAnsi="Calibri"/>
          <w:lang w:val="en-GB"/>
        </w:rPr>
      </w:pPr>
      <w:bookmarkStart w:id="120" w:name="_Hlk51419936"/>
      <w:r w:rsidRPr="00113C2C">
        <w:rPr>
          <w:rFonts w:ascii="Calibri" w:hAnsi="Calibri"/>
          <w:lang w:val="en-GB"/>
        </w:rPr>
        <w:lastRenderedPageBreak/>
        <w:t>In addition to the Reconstruction Fund according to Reconstruction Act establishment of a special advisory body - the Professional Council for the Renewal is planned. Council will perform professional consulting activities related to the implementation of the Reconstruction Act. This Council will consist of representatives of state officials, the City of Zagreb, representatives of professional and educational institutions such as the Faculty of Civil Engineering, the Faculty of Architecture, members of the Croatian Chamber of Civil Engineers, Croatian Chamber of Architects, Institute of Economics, etc.</w:t>
      </w:r>
    </w:p>
    <w:p w14:paraId="1916AB10" w14:textId="34554036" w:rsidR="00113C2C" w:rsidRPr="00113C2C" w:rsidRDefault="00113C2C" w:rsidP="00CD7396">
      <w:pPr>
        <w:pStyle w:val="Heading4"/>
        <w:rPr>
          <w:rFonts w:ascii="Calibri" w:eastAsia="Calibri" w:hAnsi="Calibri"/>
          <w:color w:val="auto"/>
          <w:lang w:val="en-GB"/>
        </w:rPr>
      </w:pPr>
      <w:bookmarkStart w:id="121" w:name="_Ref51773615"/>
      <w:r w:rsidRPr="00113C2C">
        <w:rPr>
          <w:rFonts w:eastAsia="Times New Roman"/>
          <w:lang w:val="en-GB"/>
        </w:rPr>
        <w:t xml:space="preserve">Technical </w:t>
      </w:r>
      <w:proofErr w:type="spellStart"/>
      <w:r w:rsidRPr="00CD7396">
        <w:t>requirements</w:t>
      </w:r>
      <w:proofErr w:type="spellEnd"/>
      <w:r w:rsidRPr="00113C2C">
        <w:rPr>
          <w:rFonts w:eastAsia="Times New Roman"/>
          <w:lang w:val="en-GB"/>
        </w:rPr>
        <w:t xml:space="preserve"> and arrangements defined by the Act on Reconstruction of Earthquake Damaged Buildings in the City of Zagreb, </w:t>
      </w:r>
      <w:proofErr w:type="spellStart"/>
      <w:r w:rsidRPr="00113C2C">
        <w:rPr>
          <w:rFonts w:eastAsia="Times New Roman"/>
          <w:lang w:val="en-GB"/>
        </w:rPr>
        <w:t>Krapina-Zagorje</w:t>
      </w:r>
      <w:proofErr w:type="spellEnd"/>
      <w:r w:rsidRPr="00113C2C">
        <w:rPr>
          <w:rFonts w:eastAsia="Times New Roman"/>
          <w:lang w:val="en-GB"/>
        </w:rPr>
        <w:t xml:space="preserve"> County and Zagreb County related to Component 1 and Component 2 of the project</w:t>
      </w:r>
      <w:bookmarkEnd w:id="121"/>
    </w:p>
    <w:p w14:paraId="3593CFAC"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Reconstruction Act defines that Government of the Croatia will adopt different sub-laws - programs of measures and reconstruction activities, by which activities of renovation or removal of damaged buildings, construction of replacement family houses and housing of people affected by the earthquake will be defined in more details. These programs will define: the location of the area where the earthquake recovery measures will be implemented and if necessary zonation of the earthquake damaged area, analysis of the existing condition and the resulting damage, assessment of possible further harmful consequences, the organizational structure and the competent bodies for the implementation of individual measures, deadlines for implementation, criteria for selection of initial participants in the reconstruction (operational coordinators, designers, auditors and the provider of technical and financial control, contractors and supervising engineer, etc), conservation guidelines for buildings that are not individually protected cultural heritage and those buildings that are not completely renovated, procedure for submitting the request for reconstruction, etc.</w:t>
      </w:r>
    </w:p>
    <w:p w14:paraId="0292BBA6" w14:textId="32F0ABEB" w:rsid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For the area of the historical urban entity of the City of Zagreb, preparation of program for complete restoration of the historical urban entity of the City of Zagreb is foreseen. This program will be prepared by Institute for Physical Planning of the City of Zagreb.</w:t>
      </w:r>
    </w:p>
    <w:p w14:paraId="75570384" w14:textId="77777777" w:rsidR="009A69F1" w:rsidRPr="009B65AB" w:rsidRDefault="009A69F1" w:rsidP="009A69F1">
      <w:pPr>
        <w:suppressAutoHyphens w:val="0"/>
        <w:autoSpaceDN/>
        <w:spacing w:before="0" w:after="160" w:line="259" w:lineRule="auto"/>
        <w:jc w:val="left"/>
        <w:textAlignment w:val="auto"/>
        <w:rPr>
          <w:rFonts w:ascii="Calibri" w:hAnsi="Calibri"/>
          <w:lang w:val="en-GB"/>
        </w:rPr>
      </w:pPr>
      <w:r w:rsidRPr="009B65AB">
        <w:rPr>
          <w:rFonts w:ascii="Calibri" w:hAnsi="Calibri"/>
          <w:lang w:val="en-GB"/>
        </w:rPr>
        <w:t xml:space="preserve">As anticipated, in October 2020, Decision on the Adoption of the First Program of Measures for the Reconstruction of Buildings Damaged by Earthquakes in the Area of the City of Zagreb, </w:t>
      </w:r>
      <w:proofErr w:type="spellStart"/>
      <w:r w:rsidRPr="009B65AB">
        <w:rPr>
          <w:rFonts w:ascii="Calibri" w:hAnsi="Calibri"/>
          <w:lang w:val="en-GB"/>
        </w:rPr>
        <w:t>Krapina-Zagorje</w:t>
      </w:r>
      <w:proofErr w:type="spellEnd"/>
      <w:r w:rsidRPr="009B65AB">
        <w:rPr>
          <w:rFonts w:ascii="Calibri" w:hAnsi="Calibri"/>
          <w:lang w:val="en-GB"/>
        </w:rPr>
        <w:t xml:space="preserve"> County and Zagreb County (OG 119/20) is adopted. </w:t>
      </w:r>
    </w:p>
    <w:p w14:paraId="2AAF9393" w14:textId="7B72D9C0" w:rsidR="009A69F1" w:rsidRPr="00113C2C" w:rsidRDefault="009A69F1" w:rsidP="00113C2C">
      <w:pPr>
        <w:suppressAutoHyphens w:val="0"/>
        <w:autoSpaceDN/>
        <w:spacing w:before="0" w:after="160" w:line="259" w:lineRule="auto"/>
        <w:textAlignment w:val="auto"/>
        <w:rPr>
          <w:rFonts w:ascii="Calibri" w:hAnsi="Calibri"/>
          <w:lang w:val="en-GB"/>
        </w:rPr>
      </w:pPr>
      <w:r w:rsidRPr="009B65AB">
        <w:rPr>
          <w:rFonts w:ascii="Calibri" w:hAnsi="Calibri"/>
          <w:lang w:val="en-GB"/>
        </w:rPr>
        <w:t xml:space="preserve">By this Program measures for renovation of public buildings, apartment buildings, office buildings, residential and commercial buildings and family houses in the City of Zagreb, Zagreb County and </w:t>
      </w:r>
      <w:proofErr w:type="spellStart"/>
      <w:r w:rsidRPr="009B65AB">
        <w:rPr>
          <w:rFonts w:ascii="Calibri" w:hAnsi="Calibri"/>
          <w:lang w:val="en-GB"/>
        </w:rPr>
        <w:t>Krapina-Zagorje</w:t>
      </w:r>
      <w:proofErr w:type="spellEnd"/>
      <w:r w:rsidRPr="009B65AB">
        <w:rPr>
          <w:rFonts w:ascii="Calibri" w:hAnsi="Calibri"/>
          <w:lang w:val="en-GB"/>
        </w:rPr>
        <w:t xml:space="preserve"> County are defined. This includes measures, guidelines and criteria for: public procurement, analysis of the current situation and damages incurred and prediction of possible further harmful consequences with damage assessment, assessments of renovation costs, criteria for conduction renovation of damaged buildings (competent authorities and their responsibilities, responsibilities of contractors (supervision engineers, technical designs, etc.), priorities and deadline for renovation, conservation guidelines for buildings which are not individually protected cultural properties and which are not renewed in full, process for submitting official request for renovation and removal of buildings damaged by earthquake, applying for financial assistance, etc.</w:t>
      </w:r>
    </w:p>
    <w:p w14:paraId="523591B1"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Reconstruction Act regulates renovation of:</w:t>
      </w:r>
    </w:p>
    <w:p w14:paraId="6C230A98"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t>Public buildings,</w:t>
      </w:r>
    </w:p>
    <w:p w14:paraId="175A4B27"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t>Multi-dwelling buildings,</w:t>
      </w:r>
    </w:p>
    <w:p w14:paraId="7E01DA3A"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t>Office buildings,</w:t>
      </w:r>
    </w:p>
    <w:p w14:paraId="281DD2B7"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t>Residential and commercial buildings,</w:t>
      </w:r>
    </w:p>
    <w:p w14:paraId="1B2982D6" w14:textId="77777777" w:rsidR="00113C2C" w:rsidRPr="00113C2C" w:rsidRDefault="00113C2C" w:rsidP="00BE60A0">
      <w:pPr>
        <w:numPr>
          <w:ilvl w:val="0"/>
          <w:numId w:val="69"/>
        </w:numPr>
        <w:suppressAutoHyphens w:val="0"/>
        <w:autoSpaceDN/>
        <w:spacing w:before="0" w:after="160" w:line="259" w:lineRule="auto"/>
        <w:contextualSpacing/>
        <w:jc w:val="left"/>
        <w:textAlignment w:val="auto"/>
        <w:rPr>
          <w:rFonts w:ascii="Calibri" w:hAnsi="Calibri"/>
          <w:lang w:val="en-GB"/>
        </w:rPr>
      </w:pPr>
      <w:r w:rsidRPr="00113C2C">
        <w:rPr>
          <w:rFonts w:ascii="Calibri" w:hAnsi="Calibri"/>
          <w:lang w:val="en-GB"/>
        </w:rPr>
        <w:lastRenderedPageBreak/>
        <w:t>Family houses.</w:t>
      </w:r>
    </w:p>
    <w:p w14:paraId="228D02BE" w14:textId="77777777" w:rsidR="00113C2C" w:rsidRPr="00113C2C" w:rsidRDefault="00113C2C" w:rsidP="00113C2C">
      <w:pPr>
        <w:suppressAutoHyphens w:val="0"/>
        <w:autoSpaceDN/>
        <w:spacing w:before="0" w:after="160" w:line="259" w:lineRule="auto"/>
        <w:ind w:left="360"/>
        <w:textAlignment w:val="auto"/>
        <w:rPr>
          <w:rFonts w:ascii="Calibri" w:hAnsi="Calibri"/>
          <w:lang w:val="en-GB"/>
        </w:rPr>
      </w:pPr>
      <w:r w:rsidRPr="00113C2C">
        <w:rPr>
          <w:rFonts w:ascii="Calibri" w:hAnsi="Calibri"/>
          <w:lang w:val="en-GB"/>
        </w:rPr>
        <w:t>Provisions of Reconstruction Act apply also, after meeting certain legal conditions, on buildings which are in the process of legalization and to illegal build objects.</w:t>
      </w:r>
    </w:p>
    <w:p w14:paraId="16AEF2F1" w14:textId="77777777" w:rsidR="00113C2C" w:rsidRPr="00113C2C" w:rsidRDefault="00113C2C" w:rsidP="00113C2C">
      <w:pPr>
        <w:suppressAutoHyphens w:val="0"/>
        <w:autoSpaceDN/>
        <w:spacing w:before="0" w:after="160" w:line="259" w:lineRule="auto"/>
        <w:ind w:left="360"/>
        <w:textAlignment w:val="auto"/>
        <w:rPr>
          <w:rFonts w:ascii="Calibri" w:hAnsi="Calibri"/>
          <w:lang w:val="en-GB"/>
        </w:rPr>
      </w:pPr>
      <w:r w:rsidRPr="00113C2C">
        <w:rPr>
          <w:rFonts w:ascii="Calibri" w:hAnsi="Calibri"/>
          <w:lang w:val="en-GB"/>
        </w:rPr>
        <w:t xml:space="preserve">According to Article 16 </w:t>
      </w:r>
      <w:proofErr w:type="spellStart"/>
      <w:r w:rsidRPr="00113C2C">
        <w:rPr>
          <w:rFonts w:ascii="Calibri" w:hAnsi="Calibri"/>
          <w:lang w:val="en-GB"/>
        </w:rPr>
        <w:t>earquake</w:t>
      </w:r>
      <w:proofErr w:type="spellEnd"/>
      <w:r w:rsidRPr="00113C2C">
        <w:rPr>
          <w:rFonts w:ascii="Calibri" w:hAnsi="Calibri"/>
          <w:lang w:val="en-GB"/>
        </w:rPr>
        <w:t xml:space="preserve"> damaged buildings, depending on their purpose and degree of damage, shall be renovated by: </w:t>
      </w:r>
    </w:p>
    <w:p w14:paraId="50AAB8B4"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1. Repairing non-structural elements</w:t>
      </w:r>
    </w:p>
    <w:p w14:paraId="407CB139"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2. Repairing the construction</w:t>
      </w:r>
    </w:p>
    <w:p w14:paraId="0AA7BDC3"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3. Reinforcing the construction</w:t>
      </w:r>
    </w:p>
    <w:p w14:paraId="6027A473"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4. Complete reconstruction of the building construction</w:t>
      </w:r>
    </w:p>
    <w:p w14:paraId="6BDCBBF9" w14:textId="77777777" w:rsidR="00113C2C" w:rsidRPr="00113C2C" w:rsidRDefault="00113C2C" w:rsidP="00113C2C">
      <w:pPr>
        <w:suppressAutoHyphens w:val="0"/>
        <w:autoSpaceDN/>
        <w:spacing w:before="0" w:after="0" w:line="259" w:lineRule="auto"/>
        <w:ind w:left="357"/>
        <w:textAlignment w:val="auto"/>
        <w:rPr>
          <w:rFonts w:ascii="Calibri" w:hAnsi="Calibri"/>
          <w:lang w:val="en-GB"/>
        </w:rPr>
      </w:pPr>
      <w:r w:rsidRPr="00113C2C">
        <w:rPr>
          <w:rFonts w:ascii="Calibri" w:hAnsi="Calibri"/>
          <w:lang w:val="en-GB"/>
        </w:rPr>
        <w:t xml:space="preserve">5. </w:t>
      </w:r>
      <w:bookmarkStart w:id="122" w:name="_Hlk51433553"/>
      <w:r w:rsidRPr="00113C2C">
        <w:rPr>
          <w:rFonts w:ascii="Calibri" w:hAnsi="Calibri"/>
          <w:lang w:val="en-GB"/>
        </w:rPr>
        <w:t>Complete reconstruction of the building</w:t>
      </w:r>
      <w:bookmarkEnd w:id="122"/>
      <w:r w:rsidRPr="00113C2C">
        <w:rPr>
          <w:rFonts w:ascii="Calibri" w:hAnsi="Calibri"/>
          <w:lang w:val="en-GB"/>
        </w:rPr>
        <w:t>.</w:t>
      </w:r>
    </w:p>
    <w:p w14:paraId="0E242464" w14:textId="06252122" w:rsidR="00113C2C" w:rsidRPr="001F0CCC" w:rsidRDefault="00CD7396" w:rsidP="00CD7396">
      <w:pPr>
        <w:pStyle w:val="Caption"/>
        <w:rPr>
          <w:rFonts w:cstheme="minorHAnsi"/>
          <w:color w:val="44546A"/>
          <w:lang w:val="en-US"/>
        </w:rPr>
      </w:pPr>
      <w:bookmarkStart w:id="123" w:name="_Toc56952710"/>
      <w:r w:rsidRPr="00CD7396">
        <w:rPr>
          <w:rFonts w:cstheme="minorHAnsi"/>
        </w:rPr>
        <w:t xml:space="preserve">Table </w:t>
      </w:r>
      <w:r w:rsidRPr="00CD7396">
        <w:rPr>
          <w:rFonts w:cstheme="minorHAnsi"/>
        </w:rPr>
        <w:fldChar w:fldCharType="begin"/>
      </w:r>
      <w:r w:rsidRPr="00CD7396">
        <w:rPr>
          <w:rFonts w:cstheme="minorHAnsi"/>
        </w:rPr>
        <w:instrText xml:space="preserve"> SEQ Table \* ARABIC </w:instrText>
      </w:r>
      <w:r w:rsidRPr="00CD7396">
        <w:rPr>
          <w:rFonts w:cstheme="minorHAnsi"/>
        </w:rPr>
        <w:fldChar w:fldCharType="separate"/>
      </w:r>
      <w:r w:rsidR="007D1E1B">
        <w:rPr>
          <w:rFonts w:cstheme="minorHAnsi"/>
          <w:noProof/>
        </w:rPr>
        <w:t>10</w:t>
      </w:r>
      <w:r w:rsidRPr="00CD7396">
        <w:rPr>
          <w:rFonts w:cstheme="minorHAnsi"/>
        </w:rPr>
        <w:fldChar w:fldCharType="end"/>
      </w:r>
      <w:r w:rsidRPr="00CD7396">
        <w:rPr>
          <w:rFonts w:cstheme="minorHAnsi"/>
          <w:i w:val="0"/>
          <w:iCs w:val="0"/>
        </w:rPr>
        <w:t xml:space="preserve">. </w:t>
      </w:r>
      <w:r w:rsidR="00113C2C" w:rsidRPr="001F0CCC">
        <w:rPr>
          <w:rFonts w:cstheme="minorHAnsi"/>
          <w:color w:val="44546A"/>
          <w:lang w:val="en-US"/>
        </w:rPr>
        <w:t>Overview of type of damaged buildings and methods for their recovery according to Reconstruction Act</w:t>
      </w:r>
      <w:bookmarkEnd w:id="123"/>
    </w:p>
    <w:tbl>
      <w:tblPr>
        <w:tblStyle w:val="TableGrid4"/>
        <w:tblW w:w="9209" w:type="dxa"/>
        <w:tblLook w:val="04A0" w:firstRow="1" w:lastRow="0" w:firstColumn="1" w:lastColumn="0" w:noHBand="0" w:noVBand="1"/>
      </w:tblPr>
      <w:tblGrid>
        <w:gridCol w:w="1696"/>
        <w:gridCol w:w="7513"/>
      </w:tblGrid>
      <w:tr w:rsidR="00113C2C" w:rsidRPr="00113C2C" w14:paraId="10ADE1FD" w14:textId="77777777" w:rsidTr="002A4473">
        <w:trPr>
          <w:tblHeader/>
        </w:trPr>
        <w:tc>
          <w:tcPr>
            <w:tcW w:w="1696" w:type="dxa"/>
            <w:vAlign w:val="center"/>
          </w:tcPr>
          <w:p w14:paraId="1B94B738" w14:textId="77777777" w:rsidR="00113C2C" w:rsidRPr="00113C2C" w:rsidRDefault="00113C2C" w:rsidP="00113C2C">
            <w:pPr>
              <w:suppressAutoHyphens w:val="0"/>
              <w:spacing w:before="0" w:after="0" w:line="240" w:lineRule="auto"/>
              <w:jc w:val="center"/>
              <w:rPr>
                <w:rFonts w:ascii="Calibri" w:hAnsi="Calibri"/>
                <w:b/>
                <w:bCs/>
                <w:sz w:val="18"/>
                <w:szCs w:val="18"/>
                <w:lang w:val="en-GB"/>
              </w:rPr>
            </w:pPr>
            <w:r w:rsidRPr="00113C2C">
              <w:rPr>
                <w:rFonts w:ascii="Calibri" w:hAnsi="Calibri"/>
                <w:b/>
                <w:bCs/>
                <w:sz w:val="18"/>
                <w:szCs w:val="18"/>
                <w:lang w:val="en-GB"/>
              </w:rPr>
              <w:t>Type of damaged building (Article 15 of the Reconstruction Act)</w:t>
            </w:r>
          </w:p>
        </w:tc>
        <w:tc>
          <w:tcPr>
            <w:tcW w:w="7513" w:type="dxa"/>
            <w:vAlign w:val="center"/>
          </w:tcPr>
          <w:p w14:paraId="33459D3C" w14:textId="77777777" w:rsidR="00113C2C" w:rsidRPr="00113C2C" w:rsidRDefault="00113C2C" w:rsidP="00113C2C">
            <w:pPr>
              <w:suppressAutoHyphens w:val="0"/>
              <w:spacing w:before="0" w:after="0" w:line="240" w:lineRule="auto"/>
              <w:jc w:val="center"/>
              <w:rPr>
                <w:rFonts w:ascii="Calibri" w:hAnsi="Calibri"/>
                <w:b/>
                <w:bCs/>
                <w:sz w:val="18"/>
                <w:szCs w:val="18"/>
                <w:lang w:val="en-GB"/>
              </w:rPr>
            </w:pPr>
            <w:r w:rsidRPr="00113C2C">
              <w:rPr>
                <w:rFonts w:ascii="Calibri" w:hAnsi="Calibri"/>
                <w:b/>
                <w:bCs/>
                <w:sz w:val="18"/>
                <w:szCs w:val="18"/>
                <w:lang w:val="en-GB"/>
              </w:rPr>
              <w:t>Application of damaged buildings renovation methods depending on type of damaged building (Article 16 of the Reconstruction Act)</w:t>
            </w:r>
          </w:p>
        </w:tc>
      </w:tr>
      <w:tr w:rsidR="00113C2C" w:rsidRPr="00113C2C" w14:paraId="58DC4D49" w14:textId="77777777" w:rsidTr="002A4473">
        <w:tc>
          <w:tcPr>
            <w:tcW w:w="1696" w:type="dxa"/>
            <w:vAlign w:val="center"/>
          </w:tcPr>
          <w:p w14:paraId="79C35C8E"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Public buildings</w:t>
            </w:r>
          </w:p>
        </w:tc>
        <w:tc>
          <w:tcPr>
            <w:tcW w:w="7513" w:type="dxa"/>
            <w:vAlign w:val="center"/>
          </w:tcPr>
          <w:p w14:paraId="56C2B5E3"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Complete reconstruction of the building.</w:t>
            </w:r>
          </w:p>
          <w:p w14:paraId="06C89A83" w14:textId="77777777" w:rsidR="00113C2C" w:rsidRPr="00113C2C" w:rsidRDefault="00113C2C" w:rsidP="00113C2C">
            <w:pPr>
              <w:suppressAutoHyphens w:val="0"/>
              <w:spacing w:before="0" w:after="0" w:line="240" w:lineRule="auto"/>
              <w:jc w:val="left"/>
              <w:rPr>
                <w:rFonts w:ascii="Calibri" w:hAnsi="Calibri"/>
                <w:sz w:val="18"/>
                <w:szCs w:val="18"/>
                <w:lang w:val="en-GB"/>
              </w:rPr>
            </w:pPr>
            <w:r w:rsidRPr="00113C2C">
              <w:rPr>
                <w:rFonts w:ascii="Calibri" w:hAnsi="Calibri"/>
                <w:sz w:val="18"/>
                <w:szCs w:val="18"/>
                <w:lang w:val="en-GB"/>
              </w:rPr>
              <w:t>The same applies to business premises and other special parts of buildings intended for the performance of educational or health activities.</w:t>
            </w:r>
          </w:p>
        </w:tc>
      </w:tr>
      <w:tr w:rsidR="00113C2C" w:rsidRPr="00113C2C" w14:paraId="7D2FECF9" w14:textId="77777777" w:rsidTr="002A4473">
        <w:tc>
          <w:tcPr>
            <w:tcW w:w="1696" w:type="dxa"/>
            <w:vAlign w:val="center"/>
          </w:tcPr>
          <w:p w14:paraId="168DBE1E"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Multi-dwelling buildings</w:t>
            </w:r>
          </w:p>
        </w:tc>
        <w:tc>
          <w:tcPr>
            <w:tcW w:w="7513" w:type="dxa"/>
            <w:vAlign w:val="center"/>
          </w:tcPr>
          <w:p w14:paraId="56C33B25"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b/>
                <w:bCs/>
                <w:sz w:val="18"/>
                <w:szCs w:val="18"/>
                <w:lang w:val="en-GB"/>
              </w:rPr>
              <w:t>Repair of non-structural and structural elements, reinforcing the structure and complete reconstruction of the building</w:t>
            </w:r>
            <w:r w:rsidRPr="00113C2C">
              <w:rPr>
                <w:rFonts w:ascii="Calibri" w:hAnsi="Calibri"/>
                <w:sz w:val="18"/>
                <w:szCs w:val="18"/>
                <w:vertAlign w:val="superscript"/>
                <w:lang w:val="en-GB"/>
              </w:rPr>
              <w:footnoteReference w:id="94"/>
            </w:r>
          </w:p>
          <w:p w14:paraId="1AC0E7C4" w14:textId="77777777" w:rsidR="00113C2C" w:rsidRPr="00113C2C" w:rsidRDefault="00113C2C" w:rsidP="00113C2C">
            <w:pPr>
              <w:suppressAutoHyphens w:val="0"/>
              <w:spacing w:before="0" w:after="0" w:line="240" w:lineRule="auto"/>
              <w:rPr>
                <w:rFonts w:ascii="Calibri" w:hAnsi="Calibri"/>
                <w:sz w:val="18"/>
                <w:szCs w:val="18"/>
                <w:lang w:val="en-GB"/>
              </w:rPr>
            </w:pPr>
          </w:p>
          <w:p w14:paraId="7587FE33"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If building is individually protected cultural heritage then shall be restored by complete reconstruction of the building, except for their special parts (apartments, business premises and other special parts of the building) in which no final construction works are performed</w:t>
            </w:r>
          </w:p>
        </w:tc>
      </w:tr>
      <w:tr w:rsidR="00113C2C" w:rsidRPr="00113C2C" w14:paraId="7F1C96E3" w14:textId="77777777" w:rsidTr="002A4473">
        <w:tc>
          <w:tcPr>
            <w:tcW w:w="1696" w:type="dxa"/>
            <w:vAlign w:val="center"/>
          </w:tcPr>
          <w:p w14:paraId="32A315CD"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Office buildings</w:t>
            </w:r>
          </w:p>
        </w:tc>
        <w:tc>
          <w:tcPr>
            <w:tcW w:w="7513" w:type="dxa"/>
            <w:vAlign w:val="center"/>
          </w:tcPr>
          <w:p w14:paraId="3588315D" w14:textId="77777777" w:rsidR="00113C2C" w:rsidRPr="00113C2C" w:rsidRDefault="00113C2C" w:rsidP="00113C2C">
            <w:pPr>
              <w:suppressAutoHyphens w:val="0"/>
              <w:spacing w:before="0" w:after="0" w:line="240" w:lineRule="auto"/>
              <w:rPr>
                <w:rFonts w:ascii="Calibri" w:hAnsi="Calibri"/>
                <w:b/>
                <w:bCs/>
                <w:sz w:val="18"/>
                <w:szCs w:val="18"/>
                <w:lang w:val="en-GB"/>
              </w:rPr>
            </w:pPr>
            <w:r w:rsidRPr="00113C2C">
              <w:rPr>
                <w:rFonts w:ascii="Calibri" w:hAnsi="Calibri"/>
                <w:b/>
                <w:bCs/>
                <w:sz w:val="18"/>
                <w:szCs w:val="18"/>
                <w:lang w:val="en-GB"/>
              </w:rPr>
              <w:t>Repair of non-structural and structural elements, reinforcing the structure and complete reconstruction of the building.</w:t>
            </w:r>
          </w:p>
          <w:p w14:paraId="44DA9919" w14:textId="77777777" w:rsidR="00113C2C" w:rsidRPr="00113C2C" w:rsidRDefault="00113C2C" w:rsidP="00113C2C">
            <w:pPr>
              <w:suppressAutoHyphens w:val="0"/>
              <w:spacing w:before="0" w:after="0" w:line="240" w:lineRule="auto"/>
              <w:rPr>
                <w:rFonts w:ascii="Calibri" w:hAnsi="Calibri"/>
                <w:sz w:val="18"/>
                <w:szCs w:val="18"/>
                <w:lang w:val="en-GB"/>
              </w:rPr>
            </w:pPr>
          </w:p>
          <w:p w14:paraId="11302588"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If building is individually protected cultural heritage then shall be restored by complete reconstruction of the building, except for their special parts (apartments, business premises and other special parts of the building) in which no final construction works are performed</w:t>
            </w:r>
          </w:p>
        </w:tc>
      </w:tr>
      <w:tr w:rsidR="00113C2C" w:rsidRPr="00113C2C" w14:paraId="14AB8346" w14:textId="77777777" w:rsidTr="002A4473">
        <w:tc>
          <w:tcPr>
            <w:tcW w:w="1696" w:type="dxa"/>
            <w:vAlign w:val="center"/>
          </w:tcPr>
          <w:p w14:paraId="06D5836C"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Residential and commercial buildings</w:t>
            </w:r>
          </w:p>
        </w:tc>
        <w:tc>
          <w:tcPr>
            <w:tcW w:w="7513" w:type="dxa"/>
            <w:vAlign w:val="center"/>
          </w:tcPr>
          <w:p w14:paraId="481F6A93" w14:textId="77777777" w:rsidR="00113C2C" w:rsidRPr="00113C2C" w:rsidRDefault="00113C2C" w:rsidP="00113C2C">
            <w:pPr>
              <w:suppressAutoHyphens w:val="0"/>
              <w:spacing w:before="0" w:after="0" w:line="240" w:lineRule="auto"/>
              <w:rPr>
                <w:rFonts w:ascii="Calibri" w:hAnsi="Calibri"/>
                <w:b/>
                <w:bCs/>
                <w:sz w:val="18"/>
                <w:szCs w:val="18"/>
                <w:lang w:val="en-GB"/>
              </w:rPr>
            </w:pPr>
            <w:r w:rsidRPr="00113C2C">
              <w:rPr>
                <w:rFonts w:ascii="Calibri" w:hAnsi="Calibri"/>
                <w:b/>
                <w:bCs/>
                <w:sz w:val="18"/>
                <w:szCs w:val="18"/>
                <w:lang w:val="en-GB"/>
              </w:rPr>
              <w:t>Repair of non-structural and structural elements, reinforcing the structure and complete reconstruction of the building.</w:t>
            </w:r>
          </w:p>
          <w:p w14:paraId="784866E9" w14:textId="77777777" w:rsidR="00113C2C" w:rsidRPr="00113C2C" w:rsidRDefault="00113C2C" w:rsidP="00113C2C">
            <w:pPr>
              <w:suppressAutoHyphens w:val="0"/>
              <w:spacing w:before="0" w:after="0" w:line="240" w:lineRule="auto"/>
              <w:rPr>
                <w:rFonts w:ascii="Calibri" w:hAnsi="Calibri"/>
                <w:sz w:val="18"/>
                <w:szCs w:val="18"/>
                <w:lang w:val="en-GB"/>
              </w:rPr>
            </w:pPr>
          </w:p>
          <w:p w14:paraId="0CA0ECDD"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If building is individually protected cultural heritage then shall be restored by complete reconstruction of the building, except for their special parts (apartments, business premises and other special parts of the building) in which no final construction works are performed</w:t>
            </w:r>
          </w:p>
        </w:tc>
      </w:tr>
      <w:tr w:rsidR="00113C2C" w:rsidRPr="00113C2C" w14:paraId="41E6CFB5" w14:textId="77777777" w:rsidTr="002A4473">
        <w:tc>
          <w:tcPr>
            <w:tcW w:w="1696" w:type="dxa"/>
            <w:vAlign w:val="center"/>
          </w:tcPr>
          <w:p w14:paraId="12D7D59F"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Family houses</w:t>
            </w:r>
          </w:p>
        </w:tc>
        <w:tc>
          <w:tcPr>
            <w:tcW w:w="7513" w:type="dxa"/>
            <w:vAlign w:val="center"/>
          </w:tcPr>
          <w:p w14:paraId="7D2AE948" w14:textId="77777777" w:rsidR="00113C2C" w:rsidRPr="00113C2C" w:rsidRDefault="00113C2C" w:rsidP="00113C2C">
            <w:pPr>
              <w:suppressAutoHyphens w:val="0"/>
              <w:spacing w:before="0" w:after="0" w:line="240" w:lineRule="auto"/>
              <w:rPr>
                <w:rFonts w:ascii="Calibri" w:hAnsi="Calibri"/>
                <w:b/>
                <w:bCs/>
                <w:sz w:val="18"/>
                <w:szCs w:val="18"/>
                <w:lang w:val="en-GB"/>
              </w:rPr>
            </w:pPr>
            <w:r w:rsidRPr="00113C2C">
              <w:rPr>
                <w:rFonts w:ascii="Calibri" w:hAnsi="Calibri"/>
                <w:b/>
                <w:bCs/>
                <w:sz w:val="18"/>
                <w:szCs w:val="18"/>
                <w:lang w:val="en-GB"/>
              </w:rPr>
              <w:t>Repair of non-structural and structural elements, reinforcing the structure and complete reconstruction of the building.</w:t>
            </w:r>
          </w:p>
          <w:p w14:paraId="72447C05" w14:textId="77777777" w:rsidR="00113C2C" w:rsidRPr="00113C2C" w:rsidRDefault="00113C2C" w:rsidP="00113C2C">
            <w:pPr>
              <w:suppressAutoHyphens w:val="0"/>
              <w:spacing w:before="0" w:after="0" w:line="240" w:lineRule="auto"/>
              <w:rPr>
                <w:rFonts w:ascii="Calibri" w:hAnsi="Calibri"/>
                <w:sz w:val="18"/>
                <w:szCs w:val="18"/>
                <w:lang w:val="en-GB"/>
              </w:rPr>
            </w:pPr>
          </w:p>
          <w:p w14:paraId="4856B83D"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If building is individually protected cultural heritage then shall be restored by complete reconstruction of the building, except for their special parts (apartments, business premises and other special parts of the building) in which no final construction works are performed</w:t>
            </w:r>
          </w:p>
        </w:tc>
      </w:tr>
      <w:tr w:rsidR="00113C2C" w:rsidRPr="00113C2C" w14:paraId="7AF5D40E" w14:textId="77777777" w:rsidTr="00113C2C">
        <w:tc>
          <w:tcPr>
            <w:tcW w:w="9209" w:type="dxa"/>
            <w:gridSpan w:val="2"/>
            <w:shd w:val="clear" w:color="auto" w:fill="E7E6E6"/>
            <w:vAlign w:val="center"/>
          </w:tcPr>
          <w:p w14:paraId="4EBB1A89" w14:textId="77777777" w:rsidR="00113C2C" w:rsidRPr="00113C2C" w:rsidRDefault="00113C2C" w:rsidP="00113C2C">
            <w:pPr>
              <w:suppressAutoHyphens w:val="0"/>
              <w:spacing w:before="0" w:after="0" w:line="240" w:lineRule="auto"/>
              <w:jc w:val="center"/>
              <w:rPr>
                <w:rFonts w:ascii="Calibri" w:hAnsi="Calibri"/>
                <w:sz w:val="18"/>
                <w:szCs w:val="18"/>
                <w:lang w:val="en-GB"/>
              </w:rPr>
            </w:pPr>
            <w:r w:rsidRPr="00113C2C">
              <w:rPr>
                <w:rFonts w:ascii="Calibri" w:hAnsi="Calibri"/>
                <w:b/>
                <w:bCs/>
                <w:sz w:val="18"/>
                <w:szCs w:val="18"/>
                <w:lang w:val="en-GB"/>
              </w:rPr>
              <w:t>Description of damaged buildings renovation methods depending on their purpose and degree of damage (Article 3 and Article 16 of the Reconstruction Act)</w:t>
            </w:r>
          </w:p>
        </w:tc>
      </w:tr>
      <w:tr w:rsidR="00113C2C" w:rsidRPr="00113C2C" w14:paraId="17AA1EDE" w14:textId="77777777" w:rsidTr="00113C2C">
        <w:tc>
          <w:tcPr>
            <w:tcW w:w="1696" w:type="dxa"/>
            <w:shd w:val="clear" w:color="auto" w:fill="E7E6E6"/>
            <w:vAlign w:val="center"/>
          </w:tcPr>
          <w:p w14:paraId="43D51891"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Repair of the non-structural elements</w:t>
            </w:r>
          </w:p>
        </w:tc>
        <w:tc>
          <w:tcPr>
            <w:tcW w:w="7513" w:type="dxa"/>
            <w:shd w:val="clear" w:color="auto" w:fill="E7E6E6"/>
            <w:vAlign w:val="center"/>
          </w:tcPr>
          <w:p w14:paraId="611C59B3"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Repair of non-structural elements is the repair or replacement of non-structural elements of a building (roof, gables, parapets, partition walls, chimneys, elevators, etc.) specified in the Technical Regulation</w:t>
            </w:r>
          </w:p>
        </w:tc>
      </w:tr>
      <w:tr w:rsidR="00113C2C" w:rsidRPr="00113C2C" w14:paraId="0C4BF369" w14:textId="77777777" w:rsidTr="00113C2C">
        <w:tc>
          <w:tcPr>
            <w:tcW w:w="1696" w:type="dxa"/>
            <w:shd w:val="clear" w:color="auto" w:fill="E7E6E6"/>
            <w:vAlign w:val="center"/>
          </w:tcPr>
          <w:p w14:paraId="746EE145"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Repair of the construction</w:t>
            </w:r>
          </w:p>
        </w:tc>
        <w:tc>
          <w:tcPr>
            <w:tcW w:w="7513" w:type="dxa"/>
            <w:shd w:val="clear" w:color="auto" w:fill="E7E6E6"/>
            <w:vAlign w:val="center"/>
          </w:tcPr>
          <w:p w14:paraId="5CC4FDDD"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Construction repair is the performance of repair and reinforcement works of an earthquake-damaged construction structure of a building, by which the mechanical resistance and stability of the building in relation to seismic activity in accordance with the Technical Regulation, is achieved.</w:t>
            </w:r>
          </w:p>
        </w:tc>
      </w:tr>
      <w:tr w:rsidR="00113C2C" w:rsidRPr="00113C2C" w14:paraId="0DA612B4" w14:textId="77777777" w:rsidTr="00113C2C">
        <w:tc>
          <w:tcPr>
            <w:tcW w:w="1696" w:type="dxa"/>
            <w:shd w:val="clear" w:color="auto" w:fill="E7E6E6"/>
            <w:vAlign w:val="center"/>
          </w:tcPr>
          <w:p w14:paraId="58C5BABD"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lastRenderedPageBreak/>
              <w:t>Construction reinforcement</w:t>
            </w:r>
          </w:p>
        </w:tc>
        <w:tc>
          <w:tcPr>
            <w:tcW w:w="7513" w:type="dxa"/>
            <w:shd w:val="clear" w:color="auto" w:fill="E7E6E6"/>
            <w:vAlign w:val="center"/>
          </w:tcPr>
          <w:p w14:paraId="3499DC52"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Construction reinforcement is the performance of reinforcement works of an earthquake-damaged construction structure of a building by which an increase in the mechanical resistance and stability of the building in relation to seismic activity in accordance with the Technical Regulation, is achieved.</w:t>
            </w:r>
          </w:p>
        </w:tc>
      </w:tr>
      <w:tr w:rsidR="00113C2C" w:rsidRPr="00113C2C" w14:paraId="4B8D2A0F" w14:textId="77777777" w:rsidTr="00113C2C">
        <w:tc>
          <w:tcPr>
            <w:tcW w:w="1696" w:type="dxa"/>
            <w:shd w:val="clear" w:color="auto" w:fill="E7E6E6"/>
            <w:vAlign w:val="center"/>
          </w:tcPr>
          <w:p w14:paraId="37283FDC"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Complete reconstruction of the construction</w:t>
            </w:r>
          </w:p>
        </w:tc>
        <w:tc>
          <w:tcPr>
            <w:tcW w:w="7513" w:type="dxa"/>
            <w:shd w:val="clear" w:color="auto" w:fill="E7E6E6"/>
            <w:vAlign w:val="center"/>
          </w:tcPr>
          <w:p w14:paraId="1E26A4CE"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Complete reconstruction of the structure is the performance of works to strengthen the earthquake-damaged construction structure of the building by which the mechanical resistance and stability of the building in relation to seismic activity in accordance with the Technical Regulation is achieved.</w:t>
            </w:r>
          </w:p>
        </w:tc>
      </w:tr>
      <w:tr w:rsidR="00113C2C" w:rsidRPr="00113C2C" w14:paraId="0EB5254E" w14:textId="77777777" w:rsidTr="00113C2C">
        <w:tc>
          <w:tcPr>
            <w:tcW w:w="1696" w:type="dxa"/>
            <w:shd w:val="clear" w:color="auto" w:fill="E7E6E6"/>
            <w:vAlign w:val="center"/>
          </w:tcPr>
          <w:p w14:paraId="01935646" w14:textId="77777777" w:rsidR="00113C2C" w:rsidRPr="00113C2C" w:rsidRDefault="00113C2C" w:rsidP="00113C2C">
            <w:pPr>
              <w:suppressAutoHyphens w:val="0"/>
              <w:spacing w:before="0" w:after="0" w:line="240" w:lineRule="auto"/>
              <w:jc w:val="left"/>
              <w:rPr>
                <w:rFonts w:ascii="Calibri" w:hAnsi="Calibri"/>
                <w:b/>
                <w:bCs/>
                <w:sz w:val="18"/>
                <w:szCs w:val="18"/>
                <w:lang w:val="en-GB"/>
              </w:rPr>
            </w:pPr>
            <w:r w:rsidRPr="00113C2C">
              <w:rPr>
                <w:rFonts w:ascii="Calibri" w:hAnsi="Calibri"/>
                <w:b/>
                <w:bCs/>
                <w:sz w:val="18"/>
                <w:szCs w:val="18"/>
                <w:lang w:val="en-GB"/>
              </w:rPr>
              <w:t>Complete reconstruction of the building</w:t>
            </w:r>
          </w:p>
        </w:tc>
        <w:tc>
          <w:tcPr>
            <w:tcW w:w="7513" w:type="dxa"/>
            <w:shd w:val="clear" w:color="auto" w:fill="E7E6E6"/>
            <w:vAlign w:val="center"/>
          </w:tcPr>
          <w:p w14:paraId="0C616039" w14:textId="77777777" w:rsidR="00113C2C" w:rsidRPr="00113C2C" w:rsidRDefault="00113C2C" w:rsidP="00113C2C">
            <w:pPr>
              <w:suppressAutoHyphens w:val="0"/>
              <w:spacing w:before="0" w:after="0" w:line="240" w:lineRule="auto"/>
              <w:rPr>
                <w:rFonts w:ascii="Calibri" w:hAnsi="Calibri"/>
                <w:sz w:val="18"/>
                <w:szCs w:val="18"/>
                <w:lang w:val="en-GB"/>
              </w:rPr>
            </w:pPr>
            <w:r w:rsidRPr="00113C2C">
              <w:rPr>
                <w:rFonts w:ascii="Calibri" w:hAnsi="Calibri"/>
                <w:sz w:val="18"/>
                <w:szCs w:val="18"/>
                <w:lang w:val="en-GB"/>
              </w:rPr>
              <w:t>Complete reconstruction of the building means complete renovation of the building structure and execution of the necessary preparatory, construction, final and installation works, i.e. works that bring the building into a state of full construction usability to the level required by applicable regulations and related standards, as well as professional rules. In addition to other necessary works, if necessary, complete renovation of the building include the repair of non-structural elements, repair of the structure, reinforcement of the building structure and / or complete renovation of the structure.</w:t>
            </w:r>
          </w:p>
        </w:tc>
      </w:tr>
    </w:tbl>
    <w:p w14:paraId="5664E1F6" w14:textId="77777777" w:rsidR="00113C2C" w:rsidRPr="00113C2C" w:rsidRDefault="00113C2C" w:rsidP="00113C2C">
      <w:pPr>
        <w:suppressAutoHyphens w:val="0"/>
        <w:autoSpaceDN/>
        <w:spacing w:before="0" w:after="160" w:line="259" w:lineRule="auto"/>
        <w:textAlignment w:val="auto"/>
        <w:rPr>
          <w:rFonts w:ascii="Calibri" w:hAnsi="Calibri"/>
          <w:lang w:val="en-GB"/>
        </w:rPr>
      </w:pPr>
    </w:p>
    <w:p w14:paraId="773D7A89"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Renovation of the buildings must be carried out according to the levels of reconstruction as defined by Technical Regulation for Building Structures (OG 17/17,75/20).</w:t>
      </w:r>
    </w:p>
    <w:p w14:paraId="0C92CBF7"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noProof/>
        </w:rPr>
        <w:drawing>
          <wp:inline distT="0" distB="0" distL="0" distR="0" wp14:anchorId="6767F2E3" wp14:editId="19DDCBFA">
            <wp:extent cx="5731510" cy="424053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240530"/>
                    </a:xfrm>
                    <a:prstGeom prst="rect">
                      <a:avLst/>
                    </a:prstGeom>
                  </pic:spPr>
                </pic:pic>
              </a:graphicData>
            </a:graphic>
          </wp:inline>
        </w:drawing>
      </w:r>
    </w:p>
    <w:p w14:paraId="76A76F4F" w14:textId="20E2CD8D" w:rsidR="00113C2C" w:rsidRPr="008B2A84" w:rsidRDefault="00CD7396" w:rsidP="00CD7396">
      <w:pPr>
        <w:pStyle w:val="Caption"/>
        <w:rPr>
          <w:rFonts w:ascii="Calibri" w:hAnsi="Calibri"/>
          <w:iCs w:val="0"/>
          <w:color w:val="373545"/>
          <w:sz w:val="20"/>
          <w:lang w:val="en-US"/>
        </w:rPr>
      </w:pPr>
      <w:bookmarkStart w:id="124" w:name="_Toc56952699"/>
      <w:r>
        <w:t xml:space="preserve">Figure </w:t>
      </w:r>
      <w:fldSimple w:instr=" SEQ Figure \* ARABIC ">
        <w:r w:rsidR="007D1E1B">
          <w:rPr>
            <w:noProof/>
          </w:rPr>
          <w:t>19</w:t>
        </w:r>
      </w:fldSimple>
      <w:r>
        <w:t xml:space="preserve">. </w:t>
      </w:r>
      <w:r w:rsidR="00113C2C" w:rsidRPr="008B2A84">
        <w:rPr>
          <w:rFonts w:ascii="Calibri" w:hAnsi="Calibri"/>
          <w:iCs w:val="0"/>
          <w:color w:val="373545"/>
          <w:sz w:val="20"/>
          <w:lang w:val="en-US"/>
        </w:rPr>
        <w:t>Levels of reconstruction of earthquake damaged building structures in relation to mechanical resistance and stability according to Technical Regulation for Building Structures (OG 17/17, 75/20)</w:t>
      </w:r>
      <w:bookmarkEnd w:id="124"/>
    </w:p>
    <w:p w14:paraId="10662CD4" w14:textId="78DE0840" w:rsidR="00113C2C" w:rsidRPr="00FE0C2A" w:rsidRDefault="00113C2C" w:rsidP="00113C2C">
      <w:pPr>
        <w:spacing w:before="0" w:after="0"/>
        <w:rPr>
          <w:rFonts w:ascii="Calibri" w:hAnsi="Calibri" w:cs="Calibri"/>
          <w:shd w:val="clear" w:color="auto" w:fill="FFFFFF"/>
          <w:lang w:val="en-GB"/>
        </w:rPr>
      </w:pPr>
      <w:r w:rsidRPr="00FE0C2A">
        <w:rPr>
          <w:rFonts w:ascii="Calibri" w:hAnsi="Calibri" w:cs="Calibri"/>
          <w:shd w:val="clear" w:color="auto" w:fill="FFFFFF"/>
          <w:lang w:val="en-GB"/>
        </w:rPr>
        <w:t xml:space="preserve">Annex III of Technical Regulation is given in </w:t>
      </w:r>
      <w:r w:rsidR="005D4417">
        <w:rPr>
          <w:rFonts w:ascii="Calibri" w:hAnsi="Calibri" w:cs="Calibri"/>
          <w:shd w:val="clear" w:color="auto" w:fill="FFFFFF"/>
          <w:lang w:val="en-GB"/>
        </w:rPr>
        <w:fldChar w:fldCharType="begin"/>
      </w:r>
      <w:r w:rsidR="005D4417">
        <w:rPr>
          <w:rFonts w:ascii="Calibri" w:hAnsi="Calibri" w:cs="Calibri"/>
          <w:shd w:val="clear" w:color="auto" w:fill="FFFFFF"/>
          <w:lang w:val="en-GB"/>
        </w:rPr>
        <w:instrText xml:space="preserve"> REF _Ref56949566 \h </w:instrText>
      </w:r>
      <w:r w:rsidR="005D4417">
        <w:rPr>
          <w:rFonts w:ascii="Calibri" w:hAnsi="Calibri" w:cs="Calibri"/>
          <w:shd w:val="clear" w:color="auto" w:fill="FFFFFF"/>
          <w:lang w:val="en-GB"/>
        </w:rPr>
      </w:r>
      <w:r w:rsidR="005D4417">
        <w:rPr>
          <w:rFonts w:ascii="Calibri" w:hAnsi="Calibri" w:cs="Calibri"/>
          <w:shd w:val="clear" w:color="auto" w:fill="FFFFFF"/>
          <w:lang w:val="en-GB"/>
        </w:rPr>
        <w:fldChar w:fldCharType="separate"/>
      </w:r>
      <w:r w:rsidR="007D1E1B">
        <w:t xml:space="preserve">ANNEX </w:t>
      </w:r>
      <w:r w:rsidR="007D1E1B">
        <w:rPr>
          <w:noProof/>
        </w:rPr>
        <w:t>V</w:t>
      </w:r>
      <w:r w:rsidR="005D4417">
        <w:rPr>
          <w:rFonts w:ascii="Calibri" w:hAnsi="Calibri" w:cs="Calibri"/>
          <w:shd w:val="clear" w:color="auto" w:fill="FFFFFF"/>
          <w:lang w:val="en-GB"/>
        </w:rPr>
        <w:fldChar w:fldCharType="end"/>
      </w:r>
      <w:r w:rsidR="005D4417">
        <w:rPr>
          <w:rFonts w:ascii="Calibri" w:hAnsi="Calibri" w:cs="Calibri"/>
          <w:shd w:val="clear" w:color="auto" w:fill="FFFFFF"/>
          <w:lang w:val="en-GB"/>
        </w:rPr>
        <w:t xml:space="preserve"> </w:t>
      </w:r>
      <w:r w:rsidRPr="00FE0C2A">
        <w:rPr>
          <w:rFonts w:ascii="Calibri" w:hAnsi="Calibri" w:cs="Calibri"/>
          <w:shd w:val="clear" w:color="auto" w:fill="FFFFFF"/>
          <w:lang w:val="en-GB"/>
        </w:rPr>
        <w:t>of this ESMF.</w:t>
      </w:r>
    </w:p>
    <w:p w14:paraId="3AD26FB2" w14:textId="77777777" w:rsidR="00113C2C" w:rsidRPr="00113C2C" w:rsidRDefault="00113C2C" w:rsidP="00113C2C">
      <w:pPr>
        <w:spacing w:before="0" w:after="0"/>
        <w:rPr>
          <w:rFonts w:ascii="Calibri" w:hAnsi="Calibri" w:cs="Calibri"/>
          <w:shd w:val="clear" w:color="auto" w:fill="FFFFFF"/>
          <w:lang w:val="en-GB"/>
        </w:rPr>
      </w:pPr>
    </w:p>
    <w:p w14:paraId="3613DFB9"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lastRenderedPageBreak/>
        <w:t>The owner or co-owners of a building may, in the process of making a decision on renovation, request the design and execution of reinforcement of the building construction that is above the level defined by Technical Regulation if they commit to cover the cost difference.</w:t>
      </w:r>
    </w:p>
    <w:p w14:paraId="337A90CD"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Damaged buildings must be renovated based on project of reconstruction of the building structure</w:t>
      </w:r>
      <w:r w:rsidRPr="00113C2C">
        <w:rPr>
          <w:rFonts w:ascii="Calibri" w:hAnsi="Calibri"/>
          <w:vertAlign w:val="superscript"/>
          <w:lang w:val="en-GB"/>
        </w:rPr>
        <w:footnoteReference w:id="95"/>
      </w:r>
      <w:r w:rsidRPr="00113C2C">
        <w:rPr>
          <w:rFonts w:ascii="Calibri" w:hAnsi="Calibri"/>
          <w:lang w:val="en-GB"/>
        </w:rPr>
        <w:t xml:space="preserve"> and project of the complete reconstruction of the building. While preparing these projects the provisions of existing construction regulations governing the issue of meeting the basic requirements for construction in the main project must apply. In the case that building is an individually protected cultural heritage or located in the historic urban entity of the City of Zagreb, projects must be prepared in accordance with special conditions determined by the competent body (in accordance with the regulations governing the protection of cultural heritage).</w:t>
      </w:r>
    </w:p>
    <w:p w14:paraId="0011E517"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renovated building may be used after receiving the final report of the supervising engineer and a written statement of the contractor on the work performed and maintenance conditions. The renovated building for which the final report has been prepared shall be considered, in terms of construction regulations, an existing building for which a valid use permit has been issued.</w:t>
      </w:r>
    </w:p>
    <w:p w14:paraId="498E43F3"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According to Reconstruction Act buildings that have lost their mechanical resistance and / or stability to the extent that they have collapsed or that their renovation is not possible (destroyed buildings), shall be removed. For the removal of a building that is a cultural heritage, or a building located within the historical urban entity of the City of Zagreb, the consent of the competent body for cultural heritage must be obtained. For the removal activities the consent of the owner or all co-owners of the building, </w:t>
      </w:r>
      <w:proofErr w:type="gramStart"/>
      <w:r w:rsidRPr="00113C2C">
        <w:rPr>
          <w:rFonts w:ascii="Calibri" w:hAnsi="Calibri"/>
          <w:lang w:val="en-GB"/>
        </w:rPr>
        <w:t>has to</w:t>
      </w:r>
      <w:proofErr w:type="gramEnd"/>
      <w:r w:rsidRPr="00113C2C">
        <w:rPr>
          <w:rFonts w:ascii="Calibri" w:hAnsi="Calibri"/>
          <w:lang w:val="en-GB"/>
        </w:rPr>
        <w:t xml:space="preserve"> be obtain or it can be performed in accordance with the regulations governing construction inspection. The destroyed buildings must be removed in accordance with the removal project which has to be prepared in accordance to construction regulation. Removal project must have a report on the auditor's control related to meeting the basic requirements of mechanical resistance and stability.</w:t>
      </w:r>
    </w:p>
    <w:p w14:paraId="114CCC4E" w14:textId="758A558A" w:rsidR="00113C2C" w:rsidRPr="00113C2C" w:rsidRDefault="00113C2C" w:rsidP="00113C2C">
      <w:pPr>
        <w:pStyle w:val="Heading4"/>
        <w:rPr>
          <w:rFonts w:eastAsia="Times New Roman"/>
          <w:lang w:val="en-GB"/>
        </w:rPr>
      </w:pPr>
      <w:r w:rsidRPr="00113C2C">
        <w:rPr>
          <w:rFonts w:eastAsia="Times New Roman"/>
          <w:lang w:val="en-GB"/>
        </w:rPr>
        <w:t xml:space="preserve">Financial arrangements defined by the Act on Reconstruction of Earthquake Damaged Buildings in the City of Zagreb, </w:t>
      </w:r>
      <w:proofErr w:type="spellStart"/>
      <w:r w:rsidRPr="00113C2C">
        <w:rPr>
          <w:rFonts w:eastAsia="Times New Roman"/>
          <w:lang w:val="en-GB"/>
        </w:rPr>
        <w:t>Krapina-Zagorje</w:t>
      </w:r>
      <w:proofErr w:type="spellEnd"/>
      <w:r w:rsidRPr="00113C2C">
        <w:rPr>
          <w:rFonts w:eastAsia="Times New Roman"/>
          <w:lang w:val="en-GB"/>
        </w:rPr>
        <w:t xml:space="preserve"> County and Zagreb County</w:t>
      </w:r>
    </w:p>
    <w:bookmarkEnd w:id="120"/>
    <w:p w14:paraId="4A468B33" w14:textId="77777777" w:rsidR="00113C2C" w:rsidRPr="00113C2C" w:rsidRDefault="00113C2C" w:rsidP="00113C2C">
      <w:pPr>
        <w:suppressAutoHyphens w:val="0"/>
        <w:autoSpaceDN/>
        <w:spacing w:before="0" w:after="160" w:line="259" w:lineRule="auto"/>
        <w:jc w:val="left"/>
        <w:textAlignment w:val="auto"/>
        <w:rPr>
          <w:rFonts w:ascii="Calibri" w:hAnsi="Calibri" w:cs="Calibri"/>
          <w:lang w:val="en-US"/>
        </w:rPr>
      </w:pPr>
      <w:r w:rsidRPr="00113C2C">
        <w:rPr>
          <w:rFonts w:ascii="Calibri" w:hAnsi="Calibri" w:cs="Calibri"/>
          <w:lang w:val="en-US"/>
        </w:rPr>
        <w:t>The implementation of Reconstruction Act will be financed by:</w:t>
      </w:r>
    </w:p>
    <w:p w14:paraId="0F570C95" w14:textId="77777777" w:rsidR="00113C2C" w:rsidRPr="00113C2C" w:rsidRDefault="00113C2C" w:rsidP="00BE60A0">
      <w:pPr>
        <w:numPr>
          <w:ilvl w:val="0"/>
          <w:numId w:val="70"/>
        </w:numPr>
        <w:suppressAutoHyphens w:val="0"/>
        <w:autoSpaceDN/>
        <w:spacing w:before="0" w:after="160" w:line="259" w:lineRule="auto"/>
        <w:contextualSpacing/>
        <w:jc w:val="left"/>
        <w:textAlignment w:val="auto"/>
        <w:rPr>
          <w:rFonts w:ascii="Calibri" w:hAnsi="Calibri" w:cs="Calibri"/>
          <w:lang w:val="en-US"/>
        </w:rPr>
      </w:pPr>
      <w:r w:rsidRPr="00113C2C">
        <w:rPr>
          <w:rFonts w:ascii="Calibri" w:hAnsi="Calibri" w:cs="Calibri"/>
          <w:lang w:val="en-US"/>
        </w:rPr>
        <w:t xml:space="preserve">the state budget, </w:t>
      </w:r>
    </w:p>
    <w:p w14:paraId="198A5692" w14:textId="77777777" w:rsidR="00113C2C" w:rsidRPr="00113C2C" w:rsidRDefault="00113C2C" w:rsidP="00BE60A0">
      <w:pPr>
        <w:numPr>
          <w:ilvl w:val="0"/>
          <w:numId w:val="70"/>
        </w:numPr>
        <w:suppressAutoHyphens w:val="0"/>
        <w:autoSpaceDN/>
        <w:spacing w:before="0" w:after="160" w:line="259" w:lineRule="auto"/>
        <w:contextualSpacing/>
        <w:jc w:val="left"/>
        <w:textAlignment w:val="auto"/>
        <w:rPr>
          <w:rFonts w:ascii="Calibri" w:hAnsi="Calibri" w:cs="Calibri"/>
          <w:lang w:val="en-US"/>
        </w:rPr>
      </w:pPr>
      <w:r w:rsidRPr="00113C2C">
        <w:rPr>
          <w:rFonts w:ascii="Calibri" w:hAnsi="Calibri" w:cs="Calibri"/>
          <w:lang w:val="en-US"/>
        </w:rPr>
        <w:t xml:space="preserve">the budgets of the City of Zagreb, </w:t>
      </w:r>
      <w:proofErr w:type="spellStart"/>
      <w:r w:rsidRPr="00113C2C">
        <w:rPr>
          <w:rFonts w:ascii="Calibri" w:hAnsi="Calibri" w:cs="Calibri"/>
          <w:lang w:val="en-US"/>
        </w:rPr>
        <w:t>Krapina-Zagorje</w:t>
      </w:r>
      <w:proofErr w:type="spellEnd"/>
      <w:r w:rsidRPr="00113C2C">
        <w:rPr>
          <w:rFonts w:ascii="Calibri" w:hAnsi="Calibri" w:cs="Calibri"/>
          <w:lang w:val="en-US"/>
        </w:rPr>
        <w:t xml:space="preserve"> County and Zagreb County,</w:t>
      </w:r>
    </w:p>
    <w:p w14:paraId="6B27D97B" w14:textId="77777777" w:rsidR="00113C2C" w:rsidRPr="00113C2C" w:rsidRDefault="00113C2C" w:rsidP="00BE60A0">
      <w:pPr>
        <w:numPr>
          <w:ilvl w:val="0"/>
          <w:numId w:val="70"/>
        </w:numPr>
        <w:suppressAutoHyphens w:val="0"/>
        <w:autoSpaceDN/>
        <w:spacing w:before="0" w:after="160" w:line="259" w:lineRule="auto"/>
        <w:contextualSpacing/>
        <w:jc w:val="left"/>
        <w:textAlignment w:val="auto"/>
        <w:rPr>
          <w:rFonts w:ascii="Calibri" w:hAnsi="Calibri" w:cs="Calibri"/>
          <w:lang w:val="en-US"/>
        </w:rPr>
      </w:pPr>
      <w:r w:rsidRPr="00113C2C">
        <w:rPr>
          <w:rFonts w:ascii="Calibri" w:hAnsi="Calibri" w:cs="Calibri"/>
          <w:lang w:val="en-US"/>
        </w:rPr>
        <w:t xml:space="preserve">the owners or co-owners of real estate </w:t>
      </w:r>
    </w:p>
    <w:p w14:paraId="72CF3798" w14:textId="77777777" w:rsidR="00113C2C" w:rsidRPr="00113C2C" w:rsidRDefault="00113C2C" w:rsidP="00BE60A0">
      <w:pPr>
        <w:numPr>
          <w:ilvl w:val="0"/>
          <w:numId w:val="70"/>
        </w:numPr>
        <w:suppressAutoHyphens w:val="0"/>
        <w:autoSpaceDN/>
        <w:spacing w:before="0" w:after="160" w:line="259" w:lineRule="auto"/>
        <w:contextualSpacing/>
        <w:jc w:val="left"/>
        <w:textAlignment w:val="auto"/>
        <w:rPr>
          <w:rFonts w:ascii="Calibri" w:hAnsi="Calibri" w:cs="Calibri"/>
          <w:lang w:val="en-US"/>
        </w:rPr>
      </w:pPr>
      <w:r w:rsidRPr="00113C2C">
        <w:rPr>
          <w:rFonts w:ascii="Calibri" w:hAnsi="Calibri" w:cs="Calibri"/>
          <w:lang w:val="en-US"/>
        </w:rPr>
        <w:t>funds from other sources obtained in accordance with special regulations and other forms of financing.</w:t>
      </w:r>
    </w:p>
    <w:p w14:paraId="6FF37AFB" w14:textId="77777777" w:rsidR="00113C2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The shares of different sources of funding are variable depending on the purpose or status of use of the real estate (for living (owner lived in the building), buildings in which economic activity is performed etc.).</w:t>
      </w:r>
    </w:p>
    <w:p w14:paraId="6AC1CF8A" w14:textId="77777777" w:rsidR="00113C2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Furthermore, the Reconstruction Act incorporates social criteria, i.e. income and property census. Citizens whose houses and apartments were damaged in the earthquake, and they are at a minimal wage and do not have significant property, the state/local</w:t>
      </w:r>
      <w:r w:rsidRPr="00113C2C">
        <w:rPr>
          <w:rFonts w:ascii="Calibri" w:hAnsi="Calibri" w:cs="Calibri"/>
          <w:sz w:val="24"/>
        </w:rPr>
        <w:t xml:space="preserve"> </w:t>
      </w:r>
      <w:r w:rsidRPr="00113C2C">
        <w:rPr>
          <w:rFonts w:ascii="Calibri" w:hAnsi="Calibri" w:cs="Calibri"/>
          <w:lang w:val="en-US"/>
        </w:rPr>
        <w:t xml:space="preserve">self-government unit /regional </w:t>
      </w:r>
      <w:bookmarkStart w:id="125" w:name="_Hlk51428845"/>
      <w:r w:rsidRPr="00113C2C">
        <w:rPr>
          <w:rFonts w:ascii="Calibri" w:hAnsi="Calibri" w:cs="Calibri"/>
          <w:lang w:val="en-US"/>
        </w:rPr>
        <w:t>self-government units</w:t>
      </w:r>
      <w:bookmarkEnd w:id="125"/>
      <w:r w:rsidRPr="00113C2C">
        <w:rPr>
          <w:rFonts w:ascii="Calibri" w:hAnsi="Calibri" w:cs="Calibri"/>
          <w:lang w:val="en-US"/>
        </w:rPr>
        <w:t xml:space="preserve"> will fully finance the construction renovation of real estate. Construction renovation </w:t>
      </w:r>
      <w:r w:rsidRPr="00113C2C">
        <w:rPr>
          <w:rFonts w:ascii="Calibri" w:hAnsi="Calibri" w:cs="Calibri"/>
          <w:lang w:val="en-US"/>
        </w:rPr>
        <w:lastRenderedPageBreak/>
        <w:t>for the disabled, people who live with disabled persons and social welfare beneficiaries receiving maintenance assistance will also be fully funded.</w:t>
      </w:r>
    </w:p>
    <w:p w14:paraId="2843D1C0" w14:textId="77777777" w:rsidR="00113C2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Also, the Reconstruction Act defines the cases in which a replacement family house is being built where instead of building a replacement family house, the owner can choose to pay financial assistance for eligible costs, which cannot be higher than the estimated construction value of the house to which the owner is entitled.</w:t>
      </w:r>
    </w:p>
    <w:p w14:paraId="4CD28CD0" w14:textId="77777777" w:rsidR="00113C2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Criteria for temporary accommodation are also defined, if during the renovation or construction of a replacement building there are no suitable housing conditions. In these cases, the state / local self-government unit / regional self-government units will give in rent apartments of appropriate size, and if necessary, provide temporary accommodation at their own expense until the apartment is rented out.</w:t>
      </w:r>
    </w:p>
    <w:p w14:paraId="7252CC1A" w14:textId="680C424B" w:rsidR="001F0CCC" w:rsidRPr="00113C2C" w:rsidRDefault="00113C2C" w:rsidP="00113C2C">
      <w:pPr>
        <w:suppressAutoHyphens w:val="0"/>
        <w:autoSpaceDN/>
        <w:spacing w:before="0" w:after="160" w:line="259" w:lineRule="auto"/>
        <w:textAlignment w:val="auto"/>
        <w:rPr>
          <w:rFonts w:ascii="Calibri" w:hAnsi="Calibri" w:cs="Calibri"/>
          <w:lang w:val="en-US"/>
        </w:rPr>
      </w:pPr>
      <w:r w:rsidRPr="00113C2C">
        <w:rPr>
          <w:rFonts w:ascii="Calibri" w:hAnsi="Calibri" w:cs="Calibri"/>
          <w:lang w:val="en-US"/>
        </w:rPr>
        <w:t>Information on the sources and shares of financing as well as exemptions from payment are given in detail in the tables below.</w:t>
      </w:r>
    </w:p>
    <w:p w14:paraId="3B6CA81B" w14:textId="3CDC2E58" w:rsidR="00113C2C" w:rsidRPr="007D1E1B" w:rsidRDefault="0036787E" w:rsidP="0036787E">
      <w:pPr>
        <w:pStyle w:val="Caption"/>
        <w:rPr>
          <w:rFonts w:ascii="Calibri" w:hAnsi="Calibri" w:cs="Calibri"/>
          <w:sz w:val="20"/>
          <w:szCs w:val="20"/>
          <w:lang w:val="en-US"/>
        </w:rPr>
      </w:pPr>
      <w:bookmarkStart w:id="126" w:name="_Toc56952711"/>
      <w:bookmarkStart w:id="127" w:name="_Hlk51445302"/>
      <w:r w:rsidRPr="007D1E1B">
        <w:rPr>
          <w:sz w:val="20"/>
          <w:szCs w:val="20"/>
        </w:rPr>
        <w:t xml:space="preserve">Table </w:t>
      </w:r>
      <w:r w:rsidR="007D4FEA" w:rsidRPr="007D1E1B">
        <w:rPr>
          <w:sz w:val="20"/>
          <w:szCs w:val="20"/>
        </w:rPr>
        <w:fldChar w:fldCharType="begin"/>
      </w:r>
      <w:r w:rsidR="007D4FEA" w:rsidRPr="007D1E1B">
        <w:rPr>
          <w:sz w:val="20"/>
          <w:szCs w:val="20"/>
        </w:rPr>
        <w:instrText xml:space="preserve"> SEQ Table \* ARABIC </w:instrText>
      </w:r>
      <w:r w:rsidR="007D4FEA" w:rsidRPr="007D1E1B">
        <w:rPr>
          <w:sz w:val="20"/>
          <w:szCs w:val="20"/>
        </w:rPr>
        <w:fldChar w:fldCharType="separate"/>
      </w:r>
      <w:r w:rsidR="007D1E1B">
        <w:rPr>
          <w:noProof/>
          <w:sz w:val="20"/>
          <w:szCs w:val="20"/>
        </w:rPr>
        <w:t>11</w:t>
      </w:r>
      <w:r w:rsidR="007D4FEA" w:rsidRPr="007D1E1B">
        <w:rPr>
          <w:noProof/>
          <w:sz w:val="20"/>
          <w:szCs w:val="20"/>
        </w:rPr>
        <w:fldChar w:fldCharType="end"/>
      </w:r>
      <w:r w:rsidRPr="007D1E1B">
        <w:rPr>
          <w:sz w:val="20"/>
          <w:szCs w:val="20"/>
        </w:rPr>
        <w:t xml:space="preserve">. </w:t>
      </w:r>
      <w:r w:rsidR="00113C2C" w:rsidRPr="007D1E1B">
        <w:rPr>
          <w:rFonts w:ascii="Calibri" w:hAnsi="Calibri" w:cs="Calibri"/>
          <w:sz w:val="20"/>
          <w:szCs w:val="20"/>
          <w:lang w:val="en-US"/>
        </w:rPr>
        <w:t>The sources and shares for financing specific reconstruction activities</w:t>
      </w:r>
      <w:bookmarkEnd w:id="126"/>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8"/>
        <w:gridCol w:w="2552"/>
        <w:gridCol w:w="2784"/>
      </w:tblGrid>
      <w:tr w:rsidR="00113C2C" w:rsidRPr="00113C2C" w14:paraId="7C47558F" w14:textId="77777777" w:rsidTr="002A4473">
        <w:trPr>
          <w:tblHeader/>
        </w:trPr>
        <w:tc>
          <w:tcPr>
            <w:tcW w:w="312" w:type="pct"/>
          </w:tcPr>
          <w:bookmarkEnd w:id="127"/>
          <w:p w14:paraId="5279E328" w14:textId="77777777" w:rsidR="00113C2C" w:rsidRPr="00113C2C" w:rsidRDefault="00113C2C" w:rsidP="00113C2C">
            <w:pPr>
              <w:suppressAutoHyphens w:val="0"/>
              <w:spacing w:before="0" w:after="0" w:line="240" w:lineRule="auto"/>
              <w:jc w:val="center"/>
              <w:rPr>
                <w:rFonts w:ascii="Calibri" w:hAnsi="Calibri" w:cs="Calibri"/>
                <w:b/>
                <w:sz w:val="18"/>
                <w:szCs w:val="18"/>
                <w:lang w:val="en-US"/>
              </w:rPr>
            </w:pPr>
            <w:r w:rsidRPr="00113C2C">
              <w:rPr>
                <w:rFonts w:ascii="Calibri" w:hAnsi="Calibri" w:cs="Calibri"/>
                <w:b/>
                <w:sz w:val="18"/>
                <w:szCs w:val="18"/>
                <w:lang w:val="en-US"/>
              </w:rPr>
              <w:t>No.</w:t>
            </w:r>
          </w:p>
        </w:tc>
        <w:tc>
          <w:tcPr>
            <w:tcW w:w="1729" w:type="pct"/>
          </w:tcPr>
          <w:p w14:paraId="290C5D15" w14:textId="77777777" w:rsidR="00113C2C" w:rsidRPr="00113C2C" w:rsidRDefault="00113C2C" w:rsidP="00113C2C">
            <w:pPr>
              <w:suppressAutoHyphens w:val="0"/>
              <w:spacing w:before="0" w:after="0" w:line="240" w:lineRule="auto"/>
              <w:jc w:val="center"/>
              <w:rPr>
                <w:rFonts w:ascii="Calibri" w:hAnsi="Calibri" w:cs="Calibri"/>
                <w:b/>
                <w:sz w:val="18"/>
                <w:szCs w:val="18"/>
                <w:lang w:val="en-US"/>
              </w:rPr>
            </w:pPr>
            <w:r w:rsidRPr="00113C2C">
              <w:rPr>
                <w:rFonts w:ascii="Calibri" w:hAnsi="Calibri" w:cs="Calibri"/>
                <w:b/>
                <w:sz w:val="18"/>
                <w:szCs w:val="18"/>
                <w:lang w:val="en-US"/>
              </w:rPr>
              <w:t>Activity</w:t>
            </w:r>
          </w:p>
        </w:tc>
        <w:tc>
          <w:tcPr>
            <w:tcW w:w="1415" w:type="pct"/>
          </w:tcPr>
          <w:p w14:paraId="5A5BC984" w14:textId="77777777" w:rsidR="00113C2C" w:rsidRPr="00113C2C" w:rsidRDefault="00113C2C" w:rsidP="00113C2C">
            <w:pPr>
              <w:suppressAutoHyphens w:val="0"/>
              <w:spacing w:before="0" w:after="0" w:line="240" w:lineRule="auto"/>
              <w:jc w:val="center"/>
              <w:rPr>
                <w:rFonts w:ascii="Calibri" w:hAnsi="Calibri" w:cs="Calibri"/>
                <w:b/>
                <w:sz w:val="18"/>
                <w:szCs w:val="18"/>
                <w:lang w:val="en-US"/>
              </w:rPr>
            </w:pPr>
            <w:r w:rsidRPr="00113C2C">
              <w:rPr>
                <w:rFonts w:ascii="Calibri" w:hAnsi="Calibri" w:cs="Calibri"/>
                <w:b/>
                <w:sz w:val="18"/>
                <w:szCs w:val="18"/>
                <w:lang w:val="en-US"/>
              </w:rPr>
              <w:t>Source of financing</w:t>
            </w:r>
          </w:p>
        </w:tc>
        <w:tc>
          <w:tcPr>
            <w:tcW w:w="1544" w:type="pct"/>
          </w:tcPr>
          <w:p w14:paraId="0E4EB375" w14:textId="77777777" w:rsidR="00113C2C" w:rsidRPr="00113C2C" w:rsidRDefault="00113C2C" w:rsidP="00113C2C">
            <w:pPr>
              <w:suppressAutoHyphens w:val="0"/>
              <w:spacing w:before="0" w:after="0" w:line="240" w:lineRule="auto"/>
              <w:jc w:val="center"/>
              <w:rPr>
                <w:rFonts w:ascii="Calibri" w:hAnsi="Calibri" w:cs="Calibri"/>
                <w:b/>
                <w:sz w:val="18"/>
                <w:szCs w:val="18"/>
                <w:lang w:val="en-US"/>
              </w:rPr>
            </w:pPr>
            <w:r w:rsidRPr="00113C2C">
              <w:rPr>
                <w:rFonts w:ascii="Calibri" w:hAnsi="Calibri" w:cs="Calibri"/>
                <w:b/>
                <w:sz w:val="18"/>
                <w:szCs w:val="18"/>
                <w:lang w:val="en-US"/>
              </w:rPr>
              <w:t>Share</w:t>
            </w:r>
          </w:p>
        </w:tc>
      </w:tr>
      <w:tr w:rsidR="00113C2C" w:rsidRPr="00113C2C" w14:paraId="2BC8BC95" w14:textId="77777777" w:rsidTr="002A4473">
        <w:trPr>
          <w:trHeight w:val="920"/>
        </w:trPr>
        <w:tc>
          <w:tcPr>
            <w:tcW w:w="312" w:type="pct"/>
            <w:vMerge w:val="restart"/>
          </w:tcPr>
          <w:p w14:paraId="57AA48C8"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val="restart"/>
          </w:tcPr>
          <w:p w14:paraId="3AB707F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bookmarkStart w:id="128" w:name="_Hlk51427235"/>
            <w:r w:rsidRPr="00113C2C">
              <w:rPr>
                <w:rFonts w:ascii="Calibri" w:hAnsi="Calibri" w:cs="Calibri"/>
                <w:sz w:val="18"/>
                <w:szCs w:val="18"/>
                <w:lang w:val="en-US"/>
              </w:rPr>
              <w:t xml:space="preserve">Construction renovation </w:t>
            </w:r>
            <w:bookmarkEnd w:id="128"/>
            <w:r w:rsidRPr="00113C2C">
              <w:rPr>
                <w:rFonts w:ascii="Calibri" w:hAnsi="Calibri" w:cs="Calibri"/>
                <w:sz w:val="18"/>
                <w:szCs w:val="18"/>
                <w:lang w:val="en-US"/>
              </w:rPr>
              <w:t xml:space="preserve">of family houses, business, residential and commercial and multi-dwelling buildings and the construction of replacement family houses that are unusable or temporarily unusable, including the costs of temporary storage of things - </w:t>
            </w:r>
            <w:r w:rsidRPr="00113C2C">
              <w:rPr>
                <w:rFonts w:ascii="Calibri" w:hAnsi="Calibri" w:cs="Calibri"/>
                <w:b/>
                <w:i/>
                <w:sz w:val="18"/>
                <w:szCs w:val="18"/>
                <w:lang w:val="en-US"/>
              </w:rPr>
              <w:t>when the owner or a relative of the owner lived in that real estate and in which the owner or relative of the owner had a registered permanent or temporary residence</w:t>
            </w:r>
          </w:p>
        </w:tc>
        <w:tc>
          <w:tcPr>
            <w:tcW w:w="1415" w:type="pct"/>
          </w:tcPr>
          <w:p w14:paraId="1ABA1488"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state budget</w:t>
            </w:r>
          </w:p>
        </w:tc>
        <w:tc>
          <w:tcPr>
            <w:tcW w:w="1544" w:type="pct"/>
          </w:tcPr>
          <w:p w14:paraId="6FB271E8"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60%</w:t>
            </w:r>
          </w:p>
        </w:tc>
      </w:tr>
      <w:tr w:rsidR="00113C2C" w:rsidRPr="00113C2C" w14:paraId="56F220FB" w14:textId="77777777" w:rsidTr="002A4473">
        <w:trPr>
          <w:trHeight w:val="920"/>
        </w:trPr>
        <w:tc>
          <w:tcPr>
            <w:tcW w:w="312" w:type="pct"/>
            <w:vMerge/>
          </w:tcPr>
          <w:p w14:paraId="4EF757CD"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tcPr>
          <w:p w14:paraId="01F02BBE"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415" w:type="pct"/>
          </w:tcPr>
          <w:p w14:paraId="75CACA72"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The budgets of the City of Zagreb, </w:t>
            </w:r>
            <w:proofErr w:type="spellStart"/>
            <w:r w:rsidRPr="00113C2C">
              <w:rPr>
                <w:rFonts w:ascii="Calibri" w:hAnsi="Calibri" w:cs="Calibri"/>
                <w:sz w:val="18"/>
                <w:szCs w:val="18"/>
                <w:lang w:val="en-US"/>
              </w:rPr>
              <w:t>Krapina-Zagorje</w:t>
            </w:r>
            <w:proofErr w:type="spellEnd"/>
            <w:r w:rsidRPr="00113C2C">
              <w:rPr>
                <w:rFonts w:ascii="Calibri" w:hAnsi="Calibri" w:cs="Calibri"/>
                <w:sz w:val="18"/>
                <w:szCs w:val="18"/>
                <w:lang w:val="en-US"/>
              </w:rPr>
              <w:t xml:space="preserve"> County and Zagreb County for real estate in their areas.</w:t>
            </w:r>
          </w:p>
        </w:tc>
        <w:tc>
          <w:tcPr>
            <w:tcW w:w="1544" w:type="pct"/>
          </w:tcPr>
          <w:p w14:paraId="7FC580FB"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20%</w:t>
            </w:r>
          </w:p>
        </w:tc>
      </w:tr>
      <w:tr w:rsidR="00113C2C" w:rsidRPr="00113C2C" w14:paraId="4D662FDC" w14:textId="77777777" w:rsidTr="002A4473">
        <w:trPr>
          <w:trHeight w:val="920"/>
        </w:trPr>
        <w:tc>
          <w:tcPr>
            <w:tcW w:w="312" w:type="pct"/>
            <w:vMerge/>
          </w:tcPr>
          <w:p w14:paraId="21E82A82"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tcPr>
          <w:p w14:paraId="62B3713A"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415" w:type="pct"/>
          </w:tcPr>
          <w:p w14:paraId="190B9A29"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owner or co-owners of real estate</w:t>
            </w:r>
          </w:p>
        </w:tc>
        <w:tc>
          <w:tcPr>
            <w:tcW w:w="1544" w:type="pct"/>
          </w:tcPr>
          <w:p w14:paraId="6D25D36F"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20% </w:t>
            </w:r>
          </w:p>
          <w:p w14:paraId="5F2D4089"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Owner or co-owners are obliged to pay funds to the account of the Reconstruction Fund before the start of reconstruction works. </w:t>
            </w:r>
          </w:p>
          <w:p w14:paraId="6611A14F"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Before paying to Reconstruction Fund, the owner or co-owners of residential -commercial and multi-dwelling buildings, are obliged to provide funds in the joint reserve.</w:t>
            </w:r>
          </w:p>
        </w:tc>
      </w:tr>
      <w:tr w:rsidR="00113C2C" w:rsidRPr="00113C2C" w14:paraId="50938FDD" w14:textId="77777777" w:rsidTr="002A4473">
        <w:tc>
          <w:tcPr>
            <w:tcW w:w="312" w:type="pct"/>
            <w:vMerge w:val="restart"/>
          </w:tcPr>
          <w:p w14:paraId="6446F4CB"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b/>
                <w:i/>
                <w:sz w:val="18"/>
                <w:szCs w:val="18"/>
                <w:lang w:val="en-US"/>
              </w:rPr>
            </w:pPr>
          </w:p>
        </w:tc>
        <w:tc>
          <w:tcPr>
            <w:tcW w:w="1729" w:type="pct"/>
            <w:vMerge w:val="restart"/>
          </w:tcPr>
          <w:p w14:paraId="112A02D7"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Construction renovation of those buildings that are unusable or temporarily unusable, including the costs of temporary storage of things - </w:t>
            </w:r>
            <w:r w:rsidRPr="00113C2C">
              <w:rPr>
                <w:rFonts w:ascii="Calibri" w:hAnsi="Calibri" w:cs="Calibri"/>
                <w:b/>
                <w:bCs/>
                <w:i/>
                <w:iCs/>
                <w:sz w:val="18"/>
                <w:szCs w:val="18"/>
                <w:lang w:val="en-US"/>
              </w:rPr>
              <w:t>f</w:t>
            </w:r>
            <w:r w:rsidRPr="00113C2C">
              <w:rPr>
                <w:rFonts w:ascii="Calibri" w:hAnsi="Calibri" w:cs="Calibri"/>
                <w:b/>
                <w:i/>
                <w:sz w:val="18"/>
                <w:szCs w:val="18"/>
                <w:lang w:val="en-US"/>
              </w:rPr>
              <w:t>or every other building or special part of the building</w:t>
            </w:r>
            <w:r w:rsidRPr="00113C2C">
              <w:rPr>
                <w:rFonts w:ascii="Calibri" w:hAnsi="Calibri" w:cs="Calibri"/>
                <w:sz w:val="18"/>
                <w:szCs w:val="18"/>
                <w:lang w:val="en-US"/>
              </w:rPr>
              <w:t xml:space="preserve"> </w:t>
            </w:r>
            <w:r w:rsidRPr="00113C2C">
              <w:rPr>
                <w:rFonts w:ascii="Calibri" w:hAnsi="Calibri" w:cs="Calibri"/>
                <w:b/>
                <w:i/>
                <w:sz w:val="18"/>
                <w:szCs w:val="18"/>
                <w:lang w:val="en-US"/>
              </w:rPr>
              <w:t>which didn't mentioned in Activity No. 2 in this table</w:t>
            </w:r>
          </w:p>
        </w:tc>
        <w:tc>
          <w:tcPr>
            <w:tcW w:w="1415" w:type="pct"/>
          </w:tcPr>
          <w:p w14:paraId="13BBA59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state budget</w:t>
            </w:r>
          </w:p>
        </w:tc>
        <w:tc>
          <w:tcPr>
            <w:tcW w:w="1544" w:type="pct"/>
          </w:tcPr>
          <w:p w14:paraId="20CC16CE"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40%</w:t>
            </w:r>
          </w:p>
        </w:tc>
      </w:tr>
      <w:tr w:rsidR="00113C2C" w:rsidRPr="00113C2C" w14:paraId="07EDBDA2" w14:textId="77777777" w:rsidTr="002A4473">
        <w:tc>
          <w:tcPr>
            <w:tcW w:w="312" w:type="pct"/>
            <w:vMerge/>
          </w:tcPr>
          <w:p w14:paraId="4802DF83"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tcPr>
          <w:p w14:paraId="31457058"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415" w:type="pct"/>
          </w:tcPr>
          <w:p w14:paraId="4FF3ABF2"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The budgets of the City of Zagreb, </w:t>
            </w:r>
            <w:proofErr w:type="spellStart"/>
            <w:r w:rsidRPr="00113C2C">
              <w:rPr>
                <w:rFonts w:ascii="Calibri" w:hAnsi="Calibri" w:cs="Calibri"/>
                <w:sz w:val="18"/>
                <w:szCs w:val="18"/>
                <w:lang w:val="en-US"/>
              </w:rPr>
              <w:t>Krapina-Zagorje</w:t>
            </w:r>
            <w:proofErr w:type="spellEnd"/>
            <w:r w:rsidRPr="00113C2C">
              <w:rPr>
                <w:rFonts w:ascii="Calibri" w:hAnsi="Calibri" w:cs="Calibri"/>
                <w:sz w:val="18"/>
                <w:szCs w:val="18"/>
                <w:lang w:val="en-US"/>
              </w:rPr>
              <w:t xml:space="preserve"> County and Zagreb County for real estate in their areas</w:t>
            </w:r>
          </w:p>
        </w:tc>
        <w:tc>
          <w:tcPr>
            <w:tcW w:w="1544" w:type="pct"/>
          </w:tcPr>
          <w:p w14:paraId="521843C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10%</w:t>
            </w:r>
          </w:p>
        </w:tc>
      </w:tr>
      <w:tr w:rsidR="00113C2C" w:rsidRPr="00113C2C" w14:paraId="69EE3702" w14:textId="77777777" w:rsidTr="002A4473">
        <w:tc>
          <w:tcPr>
            <w:tcW w:w="312" w:type="pct"/>
            <w:vMerge/>
          </w:tcPr>
          <w:p w14:paraId="46909F22"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vMerge/>
          </w:tcPr>
          <w:p w14:paraId="3535A66E"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415" w:type="pct"/>
          </w:tcPr>
          <w:p w14:paraId="663EA3F3"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owners or co-owners of real estate</w:t>
            </w:r>
          </w:p>
        </w:tc>
        <w:tc>
          <w:tcPr>
            <w:tcW w:w="1544" w:type="pct"/>
          </w:tcPr>
          <w:p w14:paraId="0C2480E4"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50%</w:t>
            </w:r>
          </w:p>
          <w:p w14:paraId="6F71559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Owner or co-owners are obliged to pay funds to the account of the Reconstruction Fund before the start of reconstruction works</w:t>
            </w:r>
          </w:p>
        </w:tc>
      </w:tr>
      <w:tr w:rsidR="00113C2C" w:rsidRPr="00113C2C" w14:paraId="7574EE55" w14:textId="77777777" w:rsidTr="002A4473">
        <w:tc>
          <w:tcPr>
            <w:tcW w:w="312" w:type="pct"/>
          </w:tcPr>
          <w:p w14:paraId="72C132F2"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78CC6B57"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Owners of apartments whose apartments are used or have been used by protected tenants.</w:t>
            </w:r>
          </w:p>
        </w:tc>
        <w:tc>
          <w:tcPr>
            <w:tcW w:w="1415" w:type="pct"/>
          </w:tcPr>
          <w:p w14:paraId="553EEB81"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No financing.</w:t>
            </w:r>
          </w:p>
        </w:tc>
        <w:tc>
          <w:tcPr>
            <w:tcW w:w="1544" w:type="pct"/>
          </w:tcPr>
          <w:p w14:paraId="69DD9A4A"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No financing.</w:t>
            </w:r>
          </w:p>
        </w:tc>
      </w:tr>
      <w:tr w:rsidR="00113C2C" w:rsidRPr="00113C2C" w14:paraId="5D06890C" w14:textId="77777777" w:rsidTr="002A4473">
        <w:tc>
          <w:tcPr>
            <w:tcW w:w="312" w:type="pct"/>
          </w:tcPr>
          <w:p w14:paraId="21E830D6"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63A64241"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Removal of buildings that have lost their mechanical resistance and stability to the extent that they have collapsed or that their restoration is not possible, and which will be removed </w:t>
            </w:r>
            <w:proofErr w:type="gramStart"/>
            <w:r w:rsidRPr="00113C2C">
              <w:rPr>
                <w:rFonts w:ascii="Calibri" w:hAnsi="Calibri" w:cs="Calibri"/>
                <w:sz w:val="18"/>
                <w:szCs w:val="18"/>
                <w:lang w:val="en-US"/>
              </w:rPr>
              <w:t>on the basis of</w:t>
            </w:r>
            <w:proofErr w:type="gramEnd"/>
            <w:r w:rsidRPr="00113C2C">
              <w:rPr>
                <w:rFonts w:ascii="Calibri" w:hAnsi="Calibri" w:cs="Calibri"/>
                <w:sz w:val="18"/>
                <w:szCs w:val="18"/>
                <w:lang w:val="en-US"/>
              </w:rPr>
              <w:t xml:space="preserve"> Reconstruction Act.</w:t>
            </w:r>
          </w:p>
        </w:tc>
        <w:tc>
          <w:tcPr>
            <w:tcW w:w="1415" w:type="pct"/>
          </w:tcPr>
          <w:p w14:paraId="7C48A082"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state budget</w:t>
            </w:r>
          </w:p>
        </w:tc>
        <w:tc>
          <w:tcPr>
            <w:tcW w:w="1544" w:type="pct"/>
          </w:tcPr>
          <w:p w14:paraId="0942A6D2"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100%</w:t>
            </w:r>
          </w:p>
        </w:tc>
      </w:tr>
      <w:tr w:rsidR="00113C2C" w:rsidRPr="00113C2C" w14:paraId="767BF05E" w14:textId="77777777" w:rsidTr="002A4473">
        <w:tc>
          <w:tcPr>
            <w:tcW w:w="312" w:type="pct"/>
          </w:tcPr>
          <w:p w14:paraId="5EC48B7E"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35283D7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In the case of renovation of office buildings and parts of buildings in which economic activity is performed.</w:t>
            </w:r>
          </w:p>
        </w:tc>
        <w:tc>
          <w:tcPr>
            <w:tcW w:w="1415" w:type="pct"/>
          </w:tcPr>
          <w:p w14:paraId="63CAA5CA"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In accordance with the State Aid Act (OG 47/14, 69/17)</w:t>
            </w:r>
          </w:p>
        </w:tc>
        <w:tc>
          <w:tcPr>
            <w:tcW w:w="1544" w:type="pct"/>
          </w:tcPr>
          <w:p w14:paraId="704732F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In accordance with the State Aid Act (OG 47/14, 69/17)</w:t>
            </w:r>
          </w:p>
        </w:tc>
      </w:tr>
      <w:tr w:rsidR="00113C2C" w:rsidRPr="00113C2C" w14:paraId="5FB9346B" w14:textId="77777777" w:rsidTr="002A4473">
        <w:tc>
          <w:tcPr>
            <w:tcW w:w="312" w:type="pct"/>
            <w:shd w:val="clear" w:color="auto" w:fill="A5A5A5"/>
          </w:tcPr>
          <w:p w14:paraId="0BC14C0C" w14:textId="77777777" w:rsidR="00113C2C" w:rsidRPr="00113C2C" w:rsidRDefault="00113C2C" w:rsidP="00113C2C">
            <w:pPr>
              <w:suppressAutoHyphens w:val="0"/>
              <w:spacing w:before="0" w:after="0" w:line="240" w:lineRule="auto"/>
              <w:ind w:left="720"/>
              <w:contextualSpacing/>
              <w:jc w:val="left"/>
              <w:rPr>
                <w:rFonts w:ascii="Calibri" w:hAnsi="Calibri" w:cs="Calibri"/>
                <w:i/>
                <w:iCs/>
                <w:sz w:val="18"/>
                <w:szCs w:val="18"/>
                <w:lang w:val="en-US"/>
              </w:rPr>
            </w:pPr>
          </w:p>
        </w:tc>
        <w:tc>
          <w:tcPr>
            <w:tcW w:w="1729" w:type="pct"/>
            <w:shd w:val="clear" w:color="auto" w:fill="A5A5A5"/>
          </w:tcPr>
          <w:p w14:paraId="118F329E"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r w:rsidRPr="00113C2C">
              <w:rPr>
                <w:rFonts w:ascii="Calibri" w:hAnsi="Calibri" w:cs="Calibri"/>
                <w:i/>
                <w:iCs/>
                <w:sz w:val="18"/>
                <w:szCs w:val="18"/>
                <w:lang w:val="en-US"/>
              </w:rPr>
              <w:t>Financial assistance for temporary protection of the building</w:t>
            </w:r>
          </w:p>
        </w:tc>
        <w:tc>
          <w:tcPr>
            <w:tcW w:w="1415" w:type="pct"/>
            <w:shd w:val="clear" w:color="auto" w:fill="A5A5A5"/>
          </w:tcPr>
          <w:p w14:paraId="3D958B19"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p>
        </w:tc>
        <w:tc>
          <w:tcPr>
            <w:tcW w:w="1544" w:type="pct"/>
            <w:shd w:val="clear" w:color="auto" w:fill="A5A5A5"/>
          </w:tcPr>
          <w:p w14:paraId="2D0624A9"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p>
        </w:tc>
      </w:tr>
      <w:tr w:rsidR="00113C2C" w:rsidRPr="00113C2C" w14:paraId="40830034" w14:textId="77777777" w:rsidTr="002A4473">
        <w:tc>
          <w:tcPr>
            <w:tcW w:w="312" w:type="pct"/>
          </w:tcPr>
          <w:p w14:paraId="5F1CE295"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722D55AD"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The owner of the damaged building for eligible costs that he had or has for:</w:t>
            </w:r>
          </w:p>
          <w:p w14:paraId="503CCF19"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the necessary temporary protection of the building from the atmosphere effects and the removal and adherence of dangerous parts of the building that could endanger human life or health.</w:t>
            </w:r>
          </w:p>
          <w:p w14:paraId="47E1D8A9"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chimney repair or replacement</w:t>
            </w:r>
          </w:p>
          <w:p w14:paraId="3E41986C"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repair or replacement of the gable wall</w:t>
            </w:r>
          </w:p>
          <w:p w14:paraId="75813695"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stair repair</w:t>
            </w:r>
          </w:p>
          <w:p w14:paraId="7917D9AD" w14:textId="77777777" w:rsidR="00113C2C" w:rsidRPr="00113C2C" w:rsidRDefault="00113C2C" w:rsidP="00BE60A0">
            <w:pPr>
              <w:numPr>
                <w:ilvl w:val="0"/>
                <w:numId w:val="71"/>
              </w:numPr>
              <w:suppressAutoHyphens w:val="0"/>
              <w:spacing w:before="0" w:after="0" w:line="240" w:lineRule="auto"/>
              <w:ind w:left="313"/>
              <w:contextualSpacing/>
              <w:jc w:val="left"/>
              <w:rPr>
                <w:rFonts w:ascii="Calibri" w:hAnsi="Calibri" w:cs="Calibri"/>
                <w:sz w:val="18"/>
                <w:szCs w:val="18"/>
                <w:lang w:val="en-US"/>
              </w:rPr>
            </w:pPr>
            <w:r w:rsidRPr="00113C2C">
              <w:rPr>
                <w:rFonts w:ascii="Calibri" w:hAnsi="Calibri" w:cs="Calibri"/>
                <w:sz w:val="18"/>
                <w:szCs w:val="18"/>
                <w:lang w:val="en-US"/>
              </w:rPr>
              <w:t>elevator repair.</w:t>
            </w:r>
          </w:p>
        </w:tc>
        <w:tc>
          <w:tcPr>
            <w:tcW w:w="1415" w:type="pct"/>
          </w:tcPr>
          <w:p w14:paraId="2306C340"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Will be determined by the Government decision.</w:t>
            </w:r>
          </w:p>
        </w:tc>
        <w:tc>
          <w:tcPr>
            <w:tcW w:w="1544" w:type="pct"/>
          </w:tcPr>
          <w:p w14:paraId="557D3C6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Will be determined by the Government decision.</w:t>
            </w:r>
          </w:p>
        </w:tc>
      </w:tr>
      <w:tr w:rsidR="00113C2C" w:rsidRPr="00113C2C" w14:paraId="16EFAA8D" w14:textId="77777777" w:rsidTr="002A4473">
        <w:tc>
          <w:tcPr>
            <w:tcW w:w="312" w:type="pct"/>
            <w:shd w:val="clear" w:color="auto" w:fill="A5A5A5"/>
          </w:tcPr>
          <w:p w14:paraId="7CAB9AFC" w14:textId="77777777" w:rsidR="00113C2C" w:rsidRPr="00113C2C" w:rsidRDefault="00113C2C" w:rsidP="00113C2C">
            <w:pPr>
              <w:suppressAutoHyphens w:val="0"/>
              <w:spacing w:before="0" w:after="0" w:line="240" w:lineRule="auto"/>
              <w:ind w:left="720"/>
              <w:contextualSpacing/>
              <w:jc w:val="left"/>
              <w:rPr>
                <w:rFonts w:ascii="Calibri" w:hAnsi="Calibri" w:cs="Calibri"/>
                <w:i/>
                <w:iCs/>
                <w:sz w:val="18"/>
                <w:szCs w:val="18"/>
                <w:lang w:val="en-US"/>
              </w:rPr>
            </w:pPr>
          </w:p>
        </w:tc>
        <w:tc>
          <w:tcPr>
            <w:tcW w:w="1729" w:type="pct"/>
            <w:shd w:val="clear" w:color="auto" w:fill="A5A5A5"/>
          </w:tcPr>
          <w:p w14:paraId="5E65BC6B"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r w:rsidRPr="00113C2C">
              <w:rPr>
                <w:rFonts w:ascii="Calibri" w:hAnsi="Calibri" w:cs="Calibri"/>
                <w:i/>
                <w:iCs/>
                <w:sz w:val="18"/>
                <w:szCs w:val="18"/>
                <w:lang w:val="en-US"/>
              </w:rPr>
              <w:t>Financial assistance for the renovation of the building</w:t>
            </w:r>
          </w:p>
        </w:tc>
        <w:tc>
          <w:tcPr>
            <w:tcW w:w="1415" w:type="pct"/>
            <w:shd w:val="clear" w:color="auto" w:fill="A5A5A5"/>
          </w:tcPr>
          <w:p w14:paraId="7FFA2CE9"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c>
          <w:tcPr>
            <w:tcW w:w="1544" w:type="pct"/>
            <w:shd w:val="clear" w:color="auto" w:fill="A5A5A5"/>
          </w:tcPr>
          <w:p w14:paraId="3B99D0E5"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tc>
      </w:tr>
      <w:tr w:rsidR="00113C2C" w:rsidRPr="00113C2C" w14:paraId="2E90A8EF" w14:textId="77777777" w:rsidTr="002A4473">
        <w:tc>
          <w:tcPr>
            <w:tcW w:w="312" w:type="pct"/>
          </w:tcPr>
          <w:p w14:paraId="036E9009"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43984E3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Financial assistance for justified construction renovation costs for the owners / co-owners of a damaged multi-dwelling building, residential-commercial building, business building and family house, who based on the renovation decision made on the basis of this Act, are renovating the building themselves.</w:t>
            </w:r>
          </w:p>
        </w:tc>
        <w:tc>
          <w:tcPr>
            <w:tcW w:w="1415" w:type="pct"/>
          </w:tcPr>
          <w:p w14:paraId="44FD3626"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State budget and the budgets of the City of Zagreb, </w:t>
            </w:r>
            <w:proofErr w:type="spellStart"/>
            <w:r w:rsidRPr="00113C2C">
              <w:rPr>
                <w:rFonts w:ascii="Calibri" w:hAnsi="Calibri" w:cs="Calibri"/>
                <w:sz w:val="18"/>
                <w:szCs w:val="18"/>
                <w:lang w:val="en-US"/>
              </w:rPr>
              <w:t>Krapina-Zagorje</w:t>
            </w:r>
            <w:proofErr w:type="spellEnd"/>
            <w:r w:rsidRPr="00113C2C">
              <w:rPr>
                <w:rFonts w:ascii="Calibri" w:hAnsi="Calibri" w:cs="Calibri"/>
                <w:sz w:val="18"/>
                <w:szCs w:val="18"/>
                <w:lang w:val="en-US"/>
              </w:rPr>
              <w:t xml:space="preserve"> County and Zagreb County for real estate in their areas.</w:t>
            </w:r>
          </w:p>
        </w:tc>
        <w:tc>
          <w:tcPr>
            <w:tcW w:w="1544" w:type="pct"/>
          </w:tcPr>
          <w:p w14:paraId="4113230D"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The assistance </w:t>
            </w:r>
            <w:r w:rsidRPr="00113C2C">
              <w:rPr>
                <w:rFonts w:ascii="Calibri" w:hAnsi="Calibri" w:cs="Calibri"/>
                <w:b/>
                <w:bCs/>
                <w:sz w:val="18"/>
                <w:szCs w:val="18"/>
                <w:lang w:val="en-US"/>
              </w:rPr>
              <w:t>may not exceed</w:t>
            </w:r>
            <w:r w:rsidRPr="00113C2C">
              <w:rPr>
                <w:rFonts w:ascii="Calibri" w:hAnsi="Calibri" w:cs="Calibri"/>
                <w:sz w:val="18"/>
                <w:szCs w:val="18"/>
                <w:lang w:val="en-US"/>
              </w:rPr>
              <w:t xml:space="preserve"> the value of the reconstruction project, professional supervision of construction and reconstruction works to which the owner or co-owners are entitled, and which value is assessed in accordance with this Reconstruction Act and the program of measures.</w:t>
            </w:r>
          </w:p>
          <w:p w14:paraId="16347BFF"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Also, </w:t>
            </w:r>
            <w:r w:rsidRPr="00113C2C">
              <w:rPr>
                <w:rFonts w:ascii="Calibri" w:hAnsi="Calibri" w:cs="Calibri"/>
                <w:b/>
                <w:bCs/>
                <w:sz w:val="18"/>
                <w:szCs w:val="18"/>
                <w:lang w:val="en-US"/>
              </w:rPr>
              <w:t>may not exceed</w:t>
            </w:r>
            <w:r w:rsidRPr="00113C2C">
              <w:rPr>
                <w:rFonts w:ascii="Calibri" w:hAnsi="Calibri" w:cs="Calibri"/>
                <w:sz w:val="18"/>
                <w:szCs w:val="18"/>
                <w:lang w:val="en-US"/>
              </w:rPr>
              <w:t xml:space="preserve"> the share of the Republic of Croatia, the City of Zagreb, </w:t>
            </w:r>
            <w:proofErr w:type="spellStart"/>
            <w:r w:rsidRPr="00113C2C">
              <w:rPr>
                <w:rFonts w:ascii="Calibri" w:hAnsi="Calibri" w:cs="Calibri"/>
                <w:sz w:val="18"/>
                <w:szCs w:val="18"/>
                <w:lang w:val="en-US"/>
              </w:rPr>
              <w:t>Krapina-Zagorje</w:t>
            </w:r>
            <w:proofErr w:type="spellEnd"/>
            <w:r w:rsidRPr="00113C2C">
              <w:rPr>
                <w:rFonts w:ascii="Calibri" w:hAnsi="Calibri" w:cs="Calibri"/>
                <w:sz w:val="18"/>
                <w:szCs w:val="18"/>
                <w:lang w:val="en-US"/>
              </w:rPr>
              <w:t xml:space="preserve"> and Zagreb counties referred to in Activities No. 1 and 2 in this table.</w:t>
            </w:r>
          </w:p>
          <w:p w14:paraId="7685AA0B"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p w14:paraId="00D961FC"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The amount of financial assistance, after the completion of the reconstruction, </w:t>
            </w:r>
            <w:proofErr w:type="gramStart"/>
            <w:r w:rsidRPr="00113C2C">
              <w:rPr>
                <w:rFonts w:ascii="Calibri" w:hAnsi="Calibri" w:cs="Calibri"/>
                <w:sz w:val="18"/>
                <w:szCs w:val="18"/>
                <w:lang w:val="en-US"/>
              </w:rPr>
              <w:t>on the basis of</w:t>
            </w:r>
            <w:proofErr w:type="gramEnd"/>
            <w:r w:rsidRPr="00113C2C">
              <w:rPr>
                <w:rFonts w:ascii="Calibri" w:hAnsi="Calibri" w:cs="Calibri"/>
                <w:sz w:val="18"/>
                <w:szCs w:val="18"/>
                <w:lang w:val="en-US"/>
              </w:rPr>
              <w:t xml:space="preserve"> the decision on reconstruction shall be determined by the </w:t>
            </w:r>
            <w:proofErr w:type="spellStart"/>
            <w:r w:rsidRPr="00113C2C">
              <w:rPr>
                <w:rFonts w:ascii="Calibri" w:hAnsi="Calibri" w:cs="Calibri"/>
                <w:sz w:val="18"/>
                <w:szCs w:val="18"/>
                <w:lang w:val="en-US"/>
              </w:rPr>
              <w:t>MoPPCSA</w:t>
            </w:r>
            <w:proofErr w:type="spellEnd"/>
            <w:r w:rsidRPr="00113C2C">
              <w:rPr>
                <w:rFonts w:ascii="Calibri" w:hAnsi="Calibri" w:cs="Calibri"/>
                <w:sz w:val="18"/>
                <w:szCs w:val="18"/>
                <w:lang w:val="en-US"/>
              </w:rPr>
              <w:t xml:space="preserve"> by a decision on the payment of financial assistance in accordance with the program of measures.</w:t>
            </w:r>
          </w:p>
        </w:tc>
      </w:tr>
      <w:tr w:rsidR="00113C2C" w:rsidRPr="00113C2C" w14:paraId="24280E5E" w14:textId="77777777" w:rsidTr="002A4473">
        <w:tc>
          <w:tcPr>
            <w:tcW w:w="312" w:type="pct"/>
            <w:shd w:val="clear" w:color="auto" w:fill="A5A5A5"/>
          </w:tcPr>
          <w:p w14:paraId="7EADAEFD" w14:textId="77777777" w:rsidR="00113C2C" w:rsidRPr="00113C2C" w:rsidRDefault="00113C2C" w:rsidP="00113C2C">
            <w:pPr>
              <w:suppressAutoHyphens w:val="0"/>
              <w:spacing w:before="0" w:after="0" w:line="240" w:lineRule="auto"/>
              <w:ind w:left="720"/>
              <w:contextualSpacing/>
              <w:jc w:val="left"/>
              <w:rPr>
                <w:rFonts w:ascii="Calibri" w:hAnsi="Calibri" w:cs="Calibri"/>
                <w:i/>
                <w:iCs/>
                <w:sz w:val="18"/>
                <w:szCs w:val="18"/>
                <w:lang w:val="en-US"/>
              </w:rPr>
            </w:pPr>
          </w:p>
        </w:tc>
        <w:tc>
          <w:tcPr>
            <w:tcW w:w="1729" w:type="pct"/>
            <w:shd w:val="clear" w:color="auto" w:fill="A5A5A5"/>
          </w:tcPr>
          <w:p w14:paraId="681F2744"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r w:rsidRPr="00113C2C">
              <w:rPr>
                <w:rFonts w:ascii="Calibri" w:hAnsi="Calibri" w:cs="Calibri"/>
                <w:i/>
                <w:iCs/>
                <w:sz w:val="18"/>
                <w:szCs w:val="18"/>
                <w:lang w:val="en-US"/>
              </w:rPr>
              <w:t>Financial assistance instead of building a replacement family home</w:t>
            </w:r>
          </w:p>
        </w:tc>
        <w:tc>
          <w:tcPr>
            <w:tcW w:w="1415" w:type="pct"/>
            <w:shd w:val="clear" w:color="auto" w:fill="A5A5A5"/>
          </w:tcPr>
          <w:p w14:paraId="0E324DF9"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p>
        </w:tc>
        <w:tc>
          <w:tcPr>
            <w:tcW w:w="1544" w:type="pct"/>
            <w:shd w:val="clear" w:color="auto" w:fill="A5A5A5"/>
          </w:tcPr>
          <w:p w14:paraId="3AE5FD02" w14:textId="77777777" w:rsidR="00113C2C" w:rsidRPr="00113C2C" w:rsidRDefault="00113C2C" w:rsidP="00113C2C">
            <w:pPr>
              <w:suppressAutoHyphens w:val="0"/>
              <w:spacing w:before="0" w:after="0" w:line="240" w:lineRule="auto"/>
              <w:jc w:val="left"/>
              <w:rPr>
                <w:rFonts w:ascii="Calibri" w:hAnsi="Calibri" w:cs="Calibri"/>
                <w:i/>
                <w:iCs/>
                <w:sz w:val="18"/>
                <w:szCs w:val="18"/>
                <w:lang w:val="en-US"/>
              </w:rPr>
            </w:pPr>
          </w:p>
        </w:tc>
      </w:tr>
      <w:tr w:rsidR="00113C2C" w:rsidRPr="00113C2C" w14:paraId="6AF989D9" w14:textId="77777777" w:rsidTr="002A4473">
        <w:tc>
          <w:tcPr>
            <w:tcW w:w="312" w:type="pct"/>
          </w:tcPr>
          <w:p w14:paraId="2FBC016B" w14:textId="77777777" w:rsidR="00113C2C" w:rsidRPr="00113C2C" w:rsidRDefault="00113C2C" w:rsidP="00BE60A0">
            <w:pPr>
              <w:numPr>
                <w:ilvl w:val="0"/>
                <w:numId w:val="72"/>
              </w:numPr>
              <w:suppressAutoHyphens w:val="0"/>
              <w:spacing w:before="0" w:after="0" w:line="240" w:lineRule="auto"/>
              <w:contextualSpacing/>
              <w:jc w:val="left"/>
              <w:rPr>
                <w:rFonts w:ascii="Calibri" w:hAnsi="Calibri" w:cs="Calibri"/>
                <w:sz w:val="18"/>
                <w:szCs w:val="18"/>
                <w:lang w:val="en-US"/>
              </w:rPr>
            </w:pPr>
          </w:p>
        </w:tc>
        <w:tc>
          <w:tcPr>
            <w:tcW w:w="1729" w:type="pct"/>
          </w:tcPr>
          <w:p w14:paraId="5A8F3478"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Instead of building family house replacement, the owner/ co-owners of the destroyed family house may choose to receive financial assistance for eligible costs</w:t>
            </w:r>
          </w:p>
        </w:tc>
        <w:tc>
          <w:tcPr>
            <w:tcW w:w="1415" w:type="pct"/>
          </w:tcPr>
          <w:p w14:paraId="42DCCE30"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State budget and the budgets of the City of Zagreb, </w:t>
            </w:r>
            <w:proofErr w:type="spellStart"/>
            <w:r w:rsidRPr="00113C2C">
              <w:rPr>
                <w:rFonts w:ascii="Calibri" w:hAnsi="Calibri" w:cs="Calibri"/>
                <w:sz w:val="18"/>
                <w:szCs w:val="18"/>
                <w:lang w:val="en-US"/>
              </w:rPr>
              <w:t>Krapina-Zagorje</w:t>
            </w:r>
            <w:proofErr w:type="spellEnd"/>
            <w:r w:rsidRPr="00113C2C">
              <w:rPr>
                <w:rFonts w:ascii="Calibri" w:hAnsi="Calibri" w:cs="Calibri"/>
                <w:sz w:val="18"/>
                <w:szCs w:val="18"/>
                <w:lang w:val="en-US"/>
              </w:rPr>
              <w:t xml:space="preserve"> County and Zagreb County for real estate in their areas.</w:t>
            </w:r>
          </w:p>
        </w:tc>
        <w:tc>
          <w:tcPr>
            <w:tcW w:w="1544" w:type="pct"/>
          </w:tcPr>
          <w:p w14:paraId="2BDEE52D"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The assistance </w:t>
            </w:r>
            <w:r w:rsidRPr="00113C2C">
              <w:rPr>
                <w:rFonts w:ascii="Calibri" w:hAnsi="Calibri" w:cs="Calibri"/>
                <w:b/>
                <w:bCs/>
                <w:sz w:val="18"/>
                <w:szCs w:val="18"/>
                <w:lang w:val="en-US"/>
              </w:rPr>
              <w:t>may not exceed</w:t>
            </w:r>
            <w:r w:rsidRPr="00113C2C">
              <w:rPr>
                <w:rFonts w:ascii="Calibri" w:hAnsi="Calibri" w:cs="Calibri"/>
                <w:sz w:val="18"/>
                <w:szCs w:val="18"/>
                <w:lang w:val="en-US"/>
              </w:rPr>
              <w:t xml:space="preserve"> the estimated construction value of the house to which the owner is entitled.</w:t>
            </w:r>
          </w:p>
          <w:p w14:paraId="210AABBE"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
          <w:p w14:paraId="316B5AF0"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r w:rsidRPr="00113C2C">
              <w:rPr>
                <w:rFonts w:ascii="Calibri" w:hAnsi="Calibri" w:cs="Calibri"/>
                <w:sz w:val="18"/>
                <w:szCs w:val="18"/>
                <w:lang w:val="en-US"/>
              </w:rPr>
              <w:t xml:space="preserve">The amount of financial assistance, at the request of the owner / co-owner of the family house, after the completion of the construction, shall be determined by the </w:t>
            </w:r>
            <w:proofErr w:type="spellStart"/>
            <w:r w:rsidRPr="00113C2C">
              <w:rPr>
                <w:rFonts w:ascii="Calibri" w:hAnsi="Calibri" w:cs="Calibri"/>
                <w:sz w:val="18"/>
                <w:szCs w:val="18"/>
                <w:lang w:val="en-US"/>
              </w:rPr>
              <w:t>MoPPCSA</w:t>
            </w:r>
            <w:proofErr w:type="spellEnd"/>
            <w:r w:rsidRPr="00113C2C">
              <w:rPr>
                <w:rFonts w:ascii="Calibri" w:hAnsi="Calibri" w:cs="Calibri"/>
                <w:sz w:val="18"/>
                <w:szCs w:val="18"/>
                <w:lang w:val="en-US"/>
              </w:rPr>
              <w:t xml:space="preserve"> in accordance with the program of measures.</w:t>
            </w:r>
          </w:p>
          <w:p w14:paraId="7E8C6487" w14:textId="77777777" w:rsidR="00113C2C" w:rsidRPr="00113C2C" w:rsidRDefault="00113C2C" w:rsidP="00113C2C">
            <w:pPr>
              <w:suppressAutoHyphens w:val="0"/>
              <w:spacing w:before="0" w:after="0" w:line="240" w:lineRule="auto"/>
              <w:jc w:val="left"/>
              <w:rPr>
                <w:rFonts w:ascii="Calibri" w:hAnsi="Calibri" w:cs="Calibri"/>
                <w:sz w:val="18"/>
                <w:szCs w:val="18"/>
                <w:lang w:val="en-US"/>
              </w:rPr>
            </w:pPr>
            <w:proofErr w:type="gramStart"/>
            <w:r w:rsidRPr="00113C2C">
              <w:rPr>
                <w:rFonts w:ascii="Calibri" w:hAnsi="Calibri" w:cs="Calibri"/>
                <w:sz w:val="18"/>
                <w:szCs w:val="18"/>
                <w:lang w:val="en-US"/>
              </w:rPr>
              <w:t>Also</w:t>
            </w:r>
            <w:proofErr w:type="gramEnd"/>
            <w:r w:rsidRPr="00113C2C">
              <w:rPr>
                <w:rFonts w:ascii="Calibri" w:hAnsi="Calibri" w:cs="Calibri"/>
                <w:sz w:val="18"/>
                <w:szCs w:val="18"/>
                <w:lang w:val="en-US"/>
              </w:rPr>
              <w:t xml:space="preserve"> </w:t>
            </w:r>
            <w:r w:rsidRPr="00113C2C">
              <w:rPr>
                <w:rFonts w:ascii="Calibri" w:hAnsi="Calibri" w:cs="Calibri"/>
                <w:b/>
                <w:bCs/>
                <w:sz w:val="18"/>
                <w:szCs w:val="18"/>
                <w:lang w:val="en-US"/>
              </w:rPr>
              <w:t>may not exceed</w:t>
            </w:r>
            <w:r w:rsidRPr="00113C2C">
              <w:rPr>
                <w:rFonts w:ascii="Calibri" w:hAnsi="Calibri" w:cs="Calibri"/>
                <w:sz w:val="18"/>
                <w:szCs w:val="18"/>
                <w:lang w:val="en-US"/>
              </w:rPr>
              <w:t xml:space="preserve"> the share of the Republic of Croatia, City of Zagreb and </w:t>
            </w:r>
            <w:proofErr w:type="spellStart"/>
            <w:r w:rsidRPr="00113C2C">
              <w:rPr>
                <w:rFonts w:ascii="Calibri" w:hAnsi="Calibri" w:cs="Calibri"/>
                <w:sz w:val="18"/>
                <w:szCs w:val="18"/>
                <w:lang w:val="en-US"/>
              </w:rPr>
              <w:t>Krapina-Zagorje</w:t>
            </w:r>
            <w:proofErr w:type="spellEnd"/>
            <w:r w:rsidRPr="00113C2C">
              <w:rPr>
                <w:rFonts w:ascii="Calibri" w:hAnsi="Calibri" w:cs="Calibri"/>
                <w:sz w:val="18"/>
                <w:szCs w:val="18"/>
                <w:lang w:val="en-US"/>
              </w:rPr>
              <w:t xml:space="preserve"> and </w:t>
            </w:r>
            <w:r w:rsidRPr="00113C2C">
              <w:rPr>
                <w:rFonts w:ascii="Calibri" w:hAnsi="Calibri" w:cs="Calibri"/>
                <w:sz w:val="18"/>
                <w:szCs w:val="18"/>
                <w:lang w:val="en-US"/>
              </w:rPr>
              <w:lastRenderedPageBreak/>
              <w:t>Zagreb counties referred to in Activities No. 1 and 2 in this table.</w:t>
            </w:r>
          </w:p>
        </w:tc>
      </w:tr>
    </w:tbl>
    <w:p w14:paraId="022A3EF3" w14:textId="5170339D" w:rsidR="007D1E1B" w:rsidRDefault="007D1E1B" w:rsidP="00113C2C">
      <w:pPr>
        <w:suppressAutoHyphens w:val="0"/>
        <w:autoSpaceDN/>
        <w:spacing w:before="0" w:after="160" w:line="259" w:lineRule="auto"/>
        <w:jc w:val="left"/>
        <w:textAlignment w:val="auto"/>
        <w:rPr>
          <w:rFonts w:ascii="Calibri" w:hAnsi="Calibri" w:cs="Calibri"/>
          <w:lang w:val="en-US"/>
        </w:rPr>
      </w:pPr>
    </w:p>
    <w:p w14:paraId="5878F85B" w14:textId="77777777" w:rsidR="007D1E1B" w:rsidRDefault="007D1E1B">
      <w:pPr>
        <w:suppressAutoHyphens w:val="0"/>
        <w:spacing w:before="0" w:after="160" w:line="256" w:lineRule="auto"/>
        <w:jc w:val="left"/>
        <w:rPr>
          <w:rFonts w:ascii="Calibri" w:hAnsi="Calibri" w:cs="Calibri"/>
          <w:lang w:val="en-US"/>
        </w:rPr>
      </w:pPr>
      <w:r>
        <w:rPr>
          <w:rFonts w:ascii="Calibri" w:hAnsi="Calibri" w:cs="Calibri"/>
          <w:lang w:val="en-US"/>
        </w:rPr>
        <w:br w:type="page"/>
      </w:r>
    </w:p>
    <w:p w14:paraId="29BDA029" w14:textId="197005FC" w:rsidR="00113C2C" w:rsidRPr="00113C2C" w:rsidRDefault="0036787E" w:rsidP="0036787E">
      <w:pPr>
        <w:pStyle w:val="Caption"/>
        <w:rPr>
          <w:rFonts w:ascii="Calibri" w:hAnsi="Calibri" w:cs="Calibri"/>
          <w:i w:val="0"/>
          <w:iCs w:val="0"/>
          <w:color w:val="44546A"/>
          <w:lang w:val="en-US"/>
        </w:rPr>
      </w:pPr>
      <w:bookmarkStart w:id="129" w:name="_Toc56952712"/>
      <w:r>
        <w:lastRenderedPageBreak/>
        <w:t xml:space="preserve">Table </w:t>
      </w:r>
      <w:fldSimple w:instr=" SEQ Table \* ARABIC ">
        <w:r w:rsidR="007D1E1B">
          <w:rPr>
            <w:noProof/>
          </w:rPr>
          <w:t>12</w:t>
        </w:r>
      </w:fldSimple>
      <w:r>
        <w:t xml:space="preserve">. </w:t>
      </w:r>
      <w:r w:rsidR="00113C2C" w:rsidRPr="00113C2C">
        <w:rPr>
          <w:rFonts w:ascii="Calibri" w:hAnsi="Calibri" w:cs="Calibri"/>
          <w:i w:val="0"/>
          <w:iCs w:val="0"/>
          <w:color w:val="44546A"/>
          <w:lang w:val="en-US"/>
        </w:rPr>
        <w:t>Exemptions from payment for owners or co-owners</w:t>
      </w:r>
      <w:bookmarkEnd w:id="129"/>
    </w:p>
    <w:tbl>
      <w:tblPr>
        <w:tblStyle w:val="TABLICAHAOP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13C2C" w:rsidRPr="00113C2C" w14:paraId="626AD8A9" w14:textId="77777777" w:rsidTr="002A4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bottom w:val="single" w:sz="4" w:space="0" w:color="auto"/>
            </w:tcBorders>
            <w:shd w:val="clear" w:color="auto" w:fill="A5A5A5"/>
          </w:tcPr>
          <w:p w14:paraId="6AB5FAFE" w14:textId="77777777" w:rsidR="00113C2C" w:rsidRPr="00113C2C" w:rsidRDefault="00113C2C" w:rsidP="00113C2C">
            <w:pPr>
              <w:suppressAutoHyphens w:val="0"/>
              <w:spacing w:before="0" w:after="0" w:line="240" w:lineRule="auto"/>
              <w:rPr>
                <w:rFonts w:ascii="Calibri" w:hAnsi="Calibri" w:cs="Calibri"/>
                <w:b/>
                <w:bCs/>
                <w:i/>
                <w:iCs/>
                <w:szCs w:val="18"/>
                <w:lang w:val="en-US"/>
              </w:rPr>
            </w:pPr>
            <w:r w:rsidRPr="00113C2C">
              <w:rPr>
                <w:rFonts w:ascii="Calibri" w:hAnsi="Calibri" w:cs="Calibri"/>
                <w:b/>
                <w:bCs/>
                <w:i/>
                <w:iCs/>
                <w:szCs w:val="18"/>
                <w:lang w:val="en-US"/>
              </w:rPr>
              <w:t>Exemptions from payment for owners or co-owners under the activities No. 1 from the Table above</w:t>
            </w:r>
          </w:p>
        </w:tc>
      </w:tr>
      <w:tr w:rsidR="00113C2C" w:rsidRPr="00113C2C" w14:paraId="71F240FC"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tcBorders>
            <w:shd w:val="clear" w:color="auto" w:fill="auto"/>
          </w:tcPr>
          <w:p w14:paraId="3806A4EF"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owner / co-owners income (including the income of a spouse or common-law partner or the income of a living or informal life partner) in the previous and current year does not exceed the amount of non-taxable income and if he had no other significant assets on March 22, 2020 (other real estate, savings, motor vehicles and vessels) whose total value exceeds HRK 200,000.00, for which an appropriate certificate is provided and a written statement is certified by a notary public</w:t>
            </w:r>
          </w:p>
        </w:tc>
      </w:tr>
      <w:tr w:rsidR="00113C2C" w:rsidRPr="00113C2C" w14:paraId="12A8150A" w14:textId="77777777" w:rsidTr="002A4473">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75B3ED6B" w14:textId="77777777" w:rsidR="00113C2C" w:rsidRPr="00113C2C" w:rsidRDefault="00113C2C" w:rsidP="00113C2C">
            <w:pPr>
              <w:tabs>
                <w:tab w:val="left" w:pos="1035"/>
              </w:tabs>
              <w:suppressAutoHyphens w:val="0"/>
              <w:spacing w:before="0" w:after="0" w:line="240" w:lineRule="auto"/>
              <w:rPr>
                <w:rFonts w:ascii="Calibri" w:hAnsi="Calibri" w:cs="Calibri"/>
                <w:szCs w:val="18"/>
                <w:lang w:val="en-US"/>
              </w:rPr>
            </w:pPr>
            <w:r w:rsidRPr="00113C2C">
              <w:rPr>
                <w:rFonts w:ascii="Calibri" w:hAnsi="Calibri" w:cs="Calibri"/>
                <w:szCs w:val="18"/>
                <w:lang w:val="en-US"/>
              </w:rPr>
              <w:t>If owner/co-owner is the person with a disability who proves his status with valid documents of the competent authorities, in accordance with the instructions of the Minister responsible for social welfare.</w:t>
            </w:r>
          </w:p>
        </w:tc>
      </w:tr>
      <w:tr w:rsidR="00113C2C" w:rsidRPr="00113C2C" w14:paraId="74533BAF"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Pr>
          <w:p w14:paraId="553BDB27"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on 22 March 2020 owner/co-owner lived in a joint household with a person with a disability.</w:t>
            </w:r>
          </w:p>
        </w:tc>
      </w:tr>
      <w:tr w:rsidR="00113C2C" w:rsidRPr="00113C2C" w14:paraId="1727B349" w14:textId="77777777" w:rsidTr="002A4473">
        <w:tc>
          <w:tcPr>
            <w:cnfStyle w:val="001000000000" w:firstRow="0" w:lastRow="0" w:firstColumn="1" w:lastColumn="0" w:oddVBand="0" w:evenVBand="0" w:oddHBand="0" w:evenHBand="0" w:firstRowFirstColumn="0" w:firstRowLastColumn="0" w:lastRowFirstColumn="0" w:lastRowLastColumn="0"/>
            <w:tcW w:w="9062" w:type="dxa"/>
            <w:tcBorders>
              <w:bottom w:val="single" w:sz="4" w:space="0" w:color="auto"/>
            </w:tcBorders>
            <w:shd w:val="clear" w:color="auto" w:fill="auto"/>
          </w:tcPr>
          <w:p w14:paraId="3825A495"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the owner/co-owner is the social welfare beneficiary who has been granted the right to a guaranteed minimum benefit in accordance with a special law, for which an appropriate certificate is provided.</w:t>
            </w:r>
          </w:p>
        </w:tc>
      </w:tr>
      <w:tr w:rsidR="00113C2C" w:rsidRPr="00113C2C" w14:paraId="005EDE07"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bottom w:val="single" w:sz="4" w:space="0" w:color="auto"/>
            </w:tcBorders>
            <w:shd w:val="clear" w:color="auto" w:fill="auto"/>
          </w:tcPr>
          <w:p w14:paraId="6915B21C"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owner or co-owners of a damaged apartment building, residential-commercial building, business building and family house, based on the renovation decision, are renovating the building themselves and are entitled to financial assistance for justified construction renovation costs.</w:t>
            </w:r>
          </w:p>
        </w:tc>
      </w:tr>
      <w:tr w:rsidR="00113C2C" w:rsidRPr="00113C2C" w14:paraId="6EAF8DD8" w14:textId="77777777" w:rsidTr="002A4473">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tcBorders>
            <w:shd w:val="clear" w:color="auto" w:fill="auto"/>
          </w:tcPr>
          <w:p w14:paraId="52785DB3"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The owner or co-owners of the destroyed family house, who instead of building a replacement family house, may choose financial assistance for eligible costs which may not exceed the estimated construction value of the house to which the owner is entitled.</w:t>
            </w:r>
          </w:p>
        </w:tc>
      </w:tr>
      <w:tr w:rsidR="00113C2C" w:rsidRPr="00113C2C" w14:paraId="686B4282"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bottom w:val="single" w:sz="4" w:space="0" w:color="auto"/>
            </w:tcBorders>
            <w:shd w:val="clear" w:color="auto" w:fill="A5A5A5"/>
          </w:tcPr>
          <w:p w14:paraId="5FE17C52" w14:textId="77777777" w:rsidR="00113C2C" w:rsidRPr="00113C2C" w:rsidRDefault="00113C2C" w:rsidP="00113C2C">
            <w:pPr>
              <w:suppressAutoHyphens w:val="0"/>
              <w:spacing w:before="0" w:after="0" w:line="240" w:lineRule="auto"/>
              <w:rPr>
                <w:rFonts w:ascii="Calibri" w:hAnsi="Calibri" w:cs="Calibri"/>
                <w:b/>
                <w:bCs/>
                <w:szCs w:val="18"/>
                <w:lang w:val="en-US"/>
              </w:rPr>
            </w:pPr>
            <w:r w:rsidRPr="00113C2C">
              <w:rPr>
                <w:rFonts w:ascii="Calibri" w:hAnsi="Calibri" w:cs="Calibri"/>
                <w:b/>
                <w:bCs/>
                <w:i/>
                <w:iCs/>
                <w:szCs w:val="18"/>
                <w:lang w:val="en-US"/>
              </w:rPr>
              <w:t xml:space="preserve">Exemptions from payment for owners or co-owners under the activities No. 2 from the Table above </w:t>
            </w:r>
          </w:p>
        </w:tc>
      </w:tr>
      <w:tr w:rsidR="00113C2C" w:rsidRPr="00113C2C" w14:paraId="2F960BBC" w14:textId="77777777" w:rsidTr="002A4473">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bottom w:val="single" w:sz="4" w:space="0" w:color="auto"/>
            </w:tcBorders>
            <w:shd w:val="clear" w:color="auto" w:fill="auto"/>
          </w:tcPr>
          <w:p w14:paraId="75E36491"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If owner or co-owners of a damaged multi-dwelling building, residential-commercial building, business building and family house, based on the renovation decision, are renovating the building themselves and are entitled to financial assistance for justified construction renovation costs</w:t>
            </w:r>
          </w:p>
        </w:tc>
      </w:tr>
      <w:tr w:rsidR="00113C2C" w:rsidRPr="00113C2C" w14:paraId="62F6D8FF" w14:textId="77777777" w:rsidTr="002A4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auto"/>
              <w:bottom w:val="single" w:sz="4" w:space="0" w:color="auto"/>
            </w:tcBorders>
            <w:shd w:val="clear" w:color="auto" w:fill="auto"/>
          </w:tcPr>
          <w:p w14:paraId="2A4CE4EB" w14:textId="77777777" w:rsidR="00113C2C" w:rsidRPr="00113C2C" w:rsidRDefault="00113C2C" w:rsidP="00113C2C">
            <w:pPr>
              <w:suppressAutoHyphens w:val="0"/>
              <w:spacing w:before="0" w:after="0" w:line="240" w:lineRule="auto"/>
              <w:rPr>
                <w:rFonts w:ascii="Calibri" w:hAnsi="Calibri" w:cs="Calibri"/>
                <w:szCs w:val="18"/>
                <w:lang w:val="en-US"/>
              </w:rPr>
            </w:pPr>
            <w:r w:rsidRPr="00113C2C">
              <w:rPr>
                <w:rFonts w:ascii="Calibri" w:hAnsi="Calibri" w:cs="Calibri"/>
                <w:szCs w:val="18"/>
                <w:lang w:val="en-US"/>
              </w:rPr>
              <w:t>The owner or co-owners of the destroyed family house, who instead of building a replacement family house, may choose financial assistance for eligible costs which may not exceed the estimated construction value of the house to which the owner is entitled.</w:t>
            </w:r>
          </w:p>
        </w:tc>
      </w:tr>
    </w:tbl>
    <w:p w14:paraId="413C9E88" w14:textId="77777777" w:rsidR="00113C2C" w:rsidRDefault="00113C2C" w:rsidP="0036787E">
      <w:pPr>
        <w:rPr>
          <w:lang w:val="en-GB"/>
        </w:rPr>
      </w:pPr>
    </w:p>
    <w:p w14:paraId="2B5BF619" w14:textId="65066424" w:rsidR="00113C2C" w:rsidRPr="00113C2C" w:rsidRDefault="00113C2C" w:rsidP="00113C2C">
      <w:pPr>
        <w:pStyle w:val="Heading4"/>
        <w:rPr>
          <w:rFonts w:eastAsia="Times New Roman"/>
          <w:lang w:val="en-GB"/>
        </w:rPr>
      </w:pPr>
      <w:r w:rsidRPr="00113C2C">
        <w:rPr>
          <w:rFonts w:eastAsia="Times New Roman"/>
          <w:lang w:val="en-GB"/>
        </w:rPr>
        <w:t xml:space="preserve"> Legal procedure for initiating reconstruction or removal of the earthquake damaged buildings and implementation steps</w:t>
      </w:r>
    </w:p>
    <w:p w14:paraId="01FCD49C"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Renovation or removal of damaged buildings, construction of replacement family houses, payment of financial assistance for temporary protection of a building, financial assistance for renovation and financial assistance instead of construction of a replacement family house shall be carried out on the basis of a decision issued by the </w:t>
      </w:r>
      <w:proofErr w:type="spellStart"/>
      <w:r w:rsidRPr="00113C2C">
        <w:rPr>
          <w:rFonts w:ascii="Calibri" w:hAnsi="Calibri"/>
          <w:lang w:val="en-GB"/>
        </w:rPr>
        <w:t>MoPPCSA</w:t>
      </w:r>
      <w:proofErr w:type="spellEnd"/>
      <w:r w:rsidRPr="00113C2C">
        <w:rPr>
          <w:rFonts w:ascii="Calibri" w:hAnsi="Calibri"/>
          <w:lang w:val="en-GB"/>
        </w:rPr>
        <w:t xml:space="preserve">. This decision shall be made in accordance with the program of measures, </w:t>
      </w:r>
      <w:proofErr w:type="gramStart"/>
      <w:r w:rsidRPr="00113C2C">
        <w:rPr>
          <w:rFonts w:ascii="Calibri" w:hAnsi="Calibri"/>
          <w:lang w:val="en-GB"/>
        </w:rPr>
        <w:t>taking into account</w:t>
      </w:r>
      <w:proofErr w:type="gramEnd"/>
      <w:r w:rsidRPr="00113C2C">
        <w:rPr>
          <w:rFonts w:ascii="Calibri" w:hAnsi="Calibri"/>
          <w:lang w:val="en-GB"/>
        </w:rPr>
        <w:t xml:space="preserve"> determined condition of the building and other facts established in the procedure.</w:t>
      </w:r>
    </w:p>
    <w:p w14:paraId="5B7508A3"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The procedure for </w:t>
      </w:r>
      <w:proofErr w:type="gramStart"/>
      <w:r w:rsidRPr="00113C2C">
        <w:rPr>
          <w:rFonts w:ascii="Calibri" w:hAnsi="Calibri"/>
          <w:lang w:val="en-GB"/>
        </w:rPr>
        <w:t>making a decision</w:t>
      </w:r>
      <w:proofErr w:type="gramEnd"/>
      <w:r w:rsidRPr="00113C2C">
        <w:rPr>
          <w:rFonts w:ascii="Calibri" w:hAnsi="Calibri"/>
          <w:lang w:val="en-GB"/>
        </w:rPr>
        <w:t xml:space="preserve"> on the renovation or removal of a damaged multi-dwelling buildings, residential-commercial buildings shall be initiated at the request of the building manager or the representative of the co-owner.</w:t>
      </w:r>
    </w:p>
    <w:p w14:paraId="33D93640"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 xml:space="preserve">The procedure for </w:t>
      </w:r>
      <w:proofErr w:type="gramStart"/>
      <w:r w:rsidRPr="00113C2C">
        <w:rPr>
          <w:rFonts w:ascii="Calibri" w:hAnsi="Calibri"/>
          <w:lang w:val="en-GB"/>
        </w:rPr>
        <w:t>making a decision</w:t>
      </w:r>
      <w:proofErr w:type="gramEnd"/>
      <w:r w:rsidRPr="00113C2C">
        <w:rPr>
          <w:rFonts w:ascii="Calibri" w:hAnsi="Calibri"/>
          <w:lang w:val="en-GB"/>
        </w:rPr>
        <w:t xml:space="preserve"> on the renovation or removal of office buildings and family houses (including construction of a replacement family house) shall be initiated at the request of the owner or co-owner of the building.</w:t>
      </w:r>
    </w:p>
    <w:p w14:paraId="2F030859"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If the owner, co-owner or manager does not submit a request for a decision on renovation and does not submit the consent of the majority of co-owners, or the owner is unknown or unknown residence, the building shall be treated in accordance with regulations governing construction inspection.</w:t>
      </w:r>
    </w:p>
    <w:p w14:paraId="226402AB"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procedure for making a decision on financial assistance for temporary protection of a building shall be initiated at the request of the manager or representative of the co-owner of an multi-dwelling building and a residential-commercial building or at the request of the owner or co-owner of a business building or family house.</w:t>
      </w:r>
    </w:p>
    <w:p w14:paraId="71C726C5" w14:textId="4AEEF51C" w:rsidR="00113C2C" w:rsidRPr="00113C2C" w:rsidRDefault="00113C2C" w:rsidP="00113C2C">
      <w:pPr>
        <w:suppressAutoHyphens w:val="0"/>
        <w:autoSpaceDN/>
        <w:spacing w:before="0" w:after="160" w:line="259" w:lineRule="auto"/>
        <w:textAlignment w:val="auto"/>
        <w:rPr>
          <w:rFonts w:ascii="Calibri" w:hAnsi="Calibri"/>
          <w:b/>
          <w:bCs/>
          <w:lang w:val="en-GB"/>
        </w:rPr>
      </w:pPr>
      <w:r w:rsidRPr="00113C2C">
        <w:rPr>
          <w:rFonts w:ascii="Calibri" w:hAnsi="Calibri"/>
          <w:b/>
          <w:bCs/>
          <w:lang w:val="en-GB"/>
        </w:rPr>
        <w:lastRenderedPageBreak/>
        <w:t xml:space="preserve">Renovation or removal of a public buildings shall be carried out </w:t>
      </w:r>
      <w:proofErr w:type="gramStart"/>
      <w:r w:rsidRPr="00113C2C">
        <w:rPr>
          <w:rFonts w:ascii="Calibri" w:hAnsi="Calibri"/>
          <w:b/>
          <w:bCs/>
          <w:lang w:val="en-GB"/>
        </w:rPr>
        <w:t>on the basis of</w:t>
      </w:r>
      <w:proofErr w:type="gramEnd"/>
      <w:r w:rsidRPr="00113C2C">
        <w:rPr>
          <w:rFonts w:ascii="Calibri" w:hAnsi="Calibri"/>
          <w:b/>
          <w:bCs/>
          <w:lang w:val="en-GB"/>
        </w:rPr>
        <w:t xml:space="preserve"> a decision of the owner and / or founder or legal person or body to which the building has been given for management. Decision must be made in accordance with the </w:t>
      </w:r>
      <w:r w:rsidR="009A69F1">
        <w:rPr>
          <w:rFonts w:ascii="Calibri" w:hAnsi="Calibri"/>
          <w:b/>
          <w:bCs/>
          <w:lang w:val="en-GB"/>
        </w:rPr>
        <w:t>P</w:t>
      </w:r>
      <w:r w:rsidRPr="00113C2C">
        <w:rPr>
          <w:rFonts w:ascii="Calibri" w:hAnsi="Calibri"/>
          <w:b/>
          <w:bCs/>
          <w:lang w:val="en-GB"/>
        </w:rPr>
        <w:t>rogram of measures. The decision shall be implemented and financed by the owner of the public building and / or the founder or legal entity or body to which the building is managed, through a certified architect, certified civil engineer or contractor, or legal entity or body to which the building is given for management in the same manner, if the owner of the building so decides.</w:t>
      </w:r>
    </w:p>
    <w:p w14:paraId="00274CCE" w14:textId="77777777" w:rsidR="00113C2C" w:rsidRPr="00113C2C" w:rsidRDefault="00113C2C" w:rsidP="00113C2C">
      <w:pPr>
        <w:suppressAutoHyphens w:val="0"/>
        <w:autoSpaceDN/>
        <w:spacing w:before="0" w:after="160" w:line="259" w:lineRule="auto"/>
        <w:textAlignment w:val="auto"/>
        <w:rPr>
          <w:rFonts w:ascii="Calibri" w:hAnsi="Calibri"/>
          <w:lang w:val="en-GB"/>
        </w:rPr>
      </w:pPr>
      <w:r w:rsidRPr="00113C2C">
        <w:rPr>
          <w:rFonts w:ascii="Calibri" w:hAnsi="Calibri"/>
          <w:lang w:val="en-GB"/>
        </w:rPr>
        <w:t>The implementation of the renovation of buildings, removal of buildings and construction of replacement family houses include following:</w:t>
      </w:r>
    </w:p>
    <w:p w14:paraId="7EBA2A69" w14:textId="2618BA8A"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certified civil engineers and certified architects or companies in which they are employed, and who prepare required projects</w:t>
      </w:r>
    </w:p>
    <w:p w14:paraId="46FA0B76" w14:textId="5924AB19"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the auditor who prepares the project control report</w:t>
      </w:r>
    </w:p>
    <w:p w14:paraId="019685C3" w14:textId="7950CA50"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contractors</w:t>
      </w:r>
    </w:p>
    <w:p w14:paraId="06963FCB" w14:textId="31E97AC5"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a supervising engineer who carries out construction supervision</w:t>
      </w:r>
    </w:p>
    <w:p w14:paraId="4D19F9D5" w14:textId="46EB2CBC"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Selection of the provider of technical and financial control of the project</w:t>
      </w:r>
    </w:p>
    <w:p w14:paraId="7892305B" w14:textId="09E15A57"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 xml:space="preserve">Concluding and monitoring the implementation of the contract on works referred to in items 1 to 6 and entering data on reconstruction in the network application of the </w:t>
      </w:r>
      <w:proofErr w:type="spellStart"/>
      <w:r w:rsidRPr="0036787E">
        <w:rPr>
          <w:rFonts w:ascii="Calibri" w:hAnsi="Calibri"/>
          <w:lang w:val="en-GB"/>
        </w:rPr>
        <w:t>MoPPCSA</w:t>
      </w:r>
      <w:proofErr w:type="spellEnd"/>
    </w:p>
    <w:p w14:paraId="1B561B0E" w14:textId="6120A548"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Taking over the building from the contractor and handing it over to the owner or co-owners together with the technical documentation</w:t>
      </w:r>
    </w:p>
    <w:p w14:paraId="5158B5A3" w14:textId="100C4F80" w:rsidR="00113C2C" w:rsidRPr="0036787E" w:rsidRDefault="00113C2C" w:rsidP="00BE60A0">
      <w:pPr>
        <w:pStyle w:val="ListParagraph"/>
        <w:numPr>
          <w:ilvl w:val="0"/>
          <w:numId w:val="94"/>
        </w:numPr>
        <w:suppressAutoHyphens w:val="0"/>
        <w:autoSpaceDN/>
        <w:spacing w:before="0" w:after="160" w:line="259" w:lineRule="auto"/>
        <w:textAlignment w:val="auto"/>
        <w:rPr>
          <w:rFonts w:ascii="Calibri" w:hAnsi="Calibri"/>
          <w:lang w:val="en-GB"/>
        </w:rPr>
      </w:pPr>
      <w:r w:rsidRPr="0036787E">
        <w:rPr>
          <w:rFonts w:ascii="Calibri" w:hAnsi="Calibri"/>
          <w:lang w:val="en-GB"/>
        </w:rPr>
        <w:t>Other necessary actions.</w:t>
      </w:r>
    </w:p>
    <w:p w14:paraId="5845AA14" w14:textId="3B93DAA0" w:rsidR="001204C4" w:rsidRPr="00113C2C" w:rsidRDefault="00113C2C" w:rsidP="00113C2C">
      <w:pPr>
        <w:suppressAutoHyphens w:val="0"/>
        <w:autoSpaceDN/>
        <w:spacing w:before="0" w:after="160" w:line="259" w:lineRule="auto"/>
        <w:textAlignment w:val="auto"/>
        <w:rPr>
          <w:rFonts w:ascii="Calibri" w:hAnsi="Calibri"/>
          <w:b/>
          <w:bCs/>
          <w:i/>
          <w:iCs/>
          <w:lang w:val="en-GB"/>
        </w:rPr>
      </w:pPr>
      <w:r w:rsidRPr="00113C2C">
        <w:rPr>
          <w:rFonts w:ascii="Calibri" w:hAnsi="Calibri"/>
          <w:b/>
          <w:bCs/>
          <w:i/>
          <w:iCs/>
          <w:lang w:val="en-GB"/>
        </w:rPr>
        <w:t>The decision on the renovation or removal of the building and the construction of a replacement family house shall be implemented after the technical and financial control procedure of the project has been carried out.</w:t>
      </w:r>
    </w:p>
    <w:p w14:paraId="5E515AF1" w14:textId="77777777" w:rsidR="00E652BF" w:rsidRPr="00AB7D1E" w:rsidRDefault="00E652BF" w:rsidP="009A69F1">
      <w:pPr>
        <w:pStyle w:val="Heading3"/>
        <w:rPr>
          <w:lang w:val="en-US"/>
        </w:rPr>
      </w:pPr>
      <w:bookmarkStart w:id="130" w:name="_Toc56954058"/>
      <w:bookmarkStart w:id="131" w:name="_Hlk8070220"/>
      <w:r w:rsidRPr="00AB7D1E">
        <w:rPr>
          <w:rFonts w:eastAsia="Times New Roman"/>
          <w:lang w:val="en-US"/>
        </w:rPr>
        <w:t>Protection of cultural heritage</w:t>
      </w:r>
      <w:bookmarkEnd w:id="130"/>
      <w:r w:rsidRPr="00AB7D1E">
        <w:rPr>
          <w:rFonts w:eastAsia="Times New Roman"/>
          <w:lang w:val="en-US"/>
        </w:rPr>
        <w:t xml:space="preserve"> </w:t>
      </w:r>
    </w:p>
    <w:bookmarkEnd w:id="131"/>
    <w:p w14:paraId="4A12328B" w14:textId="77777777" w:rsidR="009A69F1" w:rsidRPr="007F02A5" w:rsidRDefault="009A69F1" w:rsidP="009A69F1">
      <w:pPr>
        <w:rPr>
          <w:rFonts w:ascii="Calibri" w:hAnsi="Calibri"/>
          <w:lang w:val="en-GB"/>
        </w:rPr>
      </w:pPr>
      <w:r w:rsidRPr="007F02A5">
        <w:rPr>
          <w:rFonts w:ascii="Calibri" w:hAnsi="Calibri"/>
          <w:lang w:val="en-GB"/>
        </w:rPr>
        <w:t xml:space="preserve">Historical buildings, cultural and historical entities and landscapes are protected as cultural heritage by the Act on the Protection and Preservation of Cultural Property (OG 69/99, 151/03, 157/03, 100/04, 87/09, 88/10, 61/11, 25/12, 136/12, 157/13, 152/14, 98/15, 44/17, 90/18, </w:t>
      </w:r>
      <w:bookmarkStart w:id="132" w:name="_Hlk46148809"/>
      <w:r w:rsidRPr="007F02A5">
        <w:rPr>
          <w:rFonts w:ascii="Calibri" w:hAnsi="Calibri"/>
          <w:lang w:val="en-GB"/>
        </w:rPr>
        <w:t>32/20, 62/20</w:t>
      </w:r>
      <w:bookmarkEnd w:id="132"/>
      <w:r w:rsidRPr="007F02A5">
        <w:rPr>
          <w:rFonts w:ascii="Calibri" w:hAnsi="Calibri"/>
          <w:lang w:val="en-GB"/>
        </w:rPr>
        <w:t>) – further in text Act on Cultural Heritage. Competent authority is Ministry of Culture and Media.</w:t>
      </w:r>
    </w:p>
    <w:p w14:paraId="3729DDA8" w14:textId="77777777" w:rsidR="009A69F1" w:rsidRPr="007F02A5" w:rsidRDefault="009A69F1" w:rsidP="009A69F1">
      <w:pPr>
        <w:rPr>
          <w:rFonts w:ascii="Calibri" w:hAnsi="Calibri"/>
          <w:lang w:val="en-GB"/>
        </w:rPr>
      </w:pPr>
      <w:r w:rsidRPr="007F02A5">
        <w:rPr>
          <w:rFonts w:ascii="Calibri" w:hAnsi="Calibri"/>
          <w:lang w:val="en-GB"/>
        </w:rPr>
        <w:t>Among other, this Act defines types of cultural property, and protection and preservation of cultural heritage.</w:t>
      </w:r>
    </w:p>
    <w:p w14:paraId="5C2943BB" w14:textId="77777777" w:rsidR="009A69F1" w:rsidRDefault="009A69F1" w:rsidP="009A69F1">
      <w:pPr>
        <w:jc w:val="center"/>
        <w:rPr>
          <w:lang w:val="en-GB"/>
        </w:rPr>
      </w:pPr>
      <w:r w:rsidRPr="00833FBC">
        <w:rPr>
          <w:rFonts w:ascii="Calibri" w:hAnsi="Calibri"/>
          <w:noProof/>
        </w:rPr>
        <w:lastRenderedPageBreak/>
        <w:drawing>
          <wp:inline distT="0" distB="0" distL="0" distR="0" wp14:anchorId="0E795CCC" wp14:editId="60E9BB66">
            <wp:extent cx="4607889" cy="3999868"/>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4824" cy="4014569"/>
                    </a:xfrm>
                    <a:prstGeom prst="rect">
                      <a:avLst/>
                    </a:prstGeom>
                  </pic:spPr>
                </pic:pic>
              </a:graphicData>
            </a:graphic>
          </wp:inline>
        </w:drawing>
      </w:r>
    </w:p>
    <w:p w14:paraId="361844A3" w14:textId="6210EEC7" w:rsidR="009A69F1" w:rsidRPr="00BC4B71" w:rsidRDefault="009A69F1" w:rsidP="009A69F1">
      <w:pPr>
        <w:spacing w:after="200" w:line="240" w:lineRule="auto"/>
        <w:jc w:val="center"/>
        <w:rPr>
          <w:rFonts w:ascii="Calibri" w:hAnsi="Calibri"/>
          <w:iCs/>
          <w:color w:val="373545"/>
          <w:sz w:val="20"/>
          <w:lang w:val="en-US"/>
        </w:rPr>
      </w:pPr>
      <w:bookmarkStart w:id="133" w:name="_Toc56952700"/>
      <w:r w:rsidRPr="00BC4B71">
        <w:rPr>
          <w:rFonts w:ascii="Calibri" w:hAnsi="Calibri"/>
          <w:iCs/>
          <w:color w:val="373545"/>
          <w:sz w:val="20"/>
          <w:lang w:val="en-US"/>
        </w:rPr>
        <w:t xml:space="preserve">Figure </w:t>
      </w:r>
      <w:r w:rsidRPr="00BC4B71">
        <w:rPr>
          <w:rFonts w:ascii="Calibri" w:hAnsi="Calibri"/>
          <w:iCs/>
          <w:color w:val="373545"/>
          <w:sz w:val="20"/>
          <w:lang w:val="en-US"/>
        </w:rPr>
        <w:fldChar w:fldCharType="begin"/>
      </w:r>
      <w:r w:rsidRPr="00BC4B71">
        <w:rPr>
          <w:rFonts w:ascii="Calibri" w:hAnsi="Calibri"/>
          <w:iCs/>
          <w:color w:val="373545"/>
          <w:sz w:val="20"/>
          <w:lang w:val="en-US"/>
        </w:rPr>
        <w:instrText xml:space="preserve"> SEQ Figure \* ARABIC </w:instrText>
      </w:r>
      <w:r w:rsidRPr="00BC4B71">
        <w:rPr>
          <w:rFonts w:ascii="Calibri" w:hAnsi="Calibri"/>
          <w:iCs/>
          <w:color w:val="373545"/>
          <w:sz w:val="20"/>
          <w:lang w:val="en-US"/>
        </w:rPr>
        <w:fldChar w:fldCharType="separate"/>
      </w:r>
      <w:r w:rsidR="007D1E1B">
        <w:rPr>
          <w:rFonts w:ascii="Calibri" w:hAnsi="Calibri"/>
          <w:iCs/>
          <w:noProof/>
          <w:color w:val="373545"/>
          <w:sz w:val="20"/>
          <w:lang w:val="en-US"/>
        </w:rPr>
        <w:t>20</w:t>
      </w:r>
      <w:r w:rsidRPr="00BC4B71">
        <w:rPr>
          <w:rFonts w:ascii="Calibri" w:hAnsi="Calibri"/>
          <w:iCs/>
          <w:color w:val="373545"/>
          <w:sz w:val="20"/>
          <w:lang w:val="en-US"/>
        </w:rPr>
        <w:fldChar w:fldCharType="end"/>
      </w:r>
      <w:r w:rsidRPr="00BC4B71">
        <w:rPr>
          <w:rFonts w:ascii="Calibri" w:hAnsi="Calibri"/>
          <w:iCs/>
          <w:color w:val="373545"/>
          <w:sz w:val="20"/>
          <w:lang w:val="en-US"/>
        </w:rPr>
        <w:t xml:space="preserve">. </w:t>
      </w:r>
      <w:r w:rsidRPr="00833FBC">
        <w:rPr>
          <w:rFonts w:ascii="Calibri" w:hAnsi="Calibri"/>
          <w:iCs/>
          <w:color w:val="373545"/>
          <w:sz w:val="20"/>
          <w:lang w:val="en-US"/>
        </w:rPr>
        <w:t>Types of cultural property according to Act on the Protection and Preservation of Cultural Property (OG 69/99, 151/03, 157/03, 100/04, 87/09, 88/10, 61/11, 25/12, 136/12, 157/13, 152/14, 98/15, 44/17, 90/18, 32/20, 62/20)</w:t>
      </w:r>
      <w:bookmarkEnd w:id="133"/>
    </w:p>
    <w:p w14:paraId="5C0DE3AD" w14:textId="77777777" w:rsidR="009A69F1" w:rsidRPr="00833FBC" w:rsidRDefault="009A69F1" w:rsidP="009A69F1">
      <w:pPr>
        <w:rPr>
          <w:rFonts w:ascii="Calibri" w:hAnsi="Calibri"/>
          <w:lang w:val="en-GB"/>
        </w:rPr>
      </w:pPr>
      <w:r w:rsidRPr="00833FBC">
        <w:rPr>
          <w:rFonts w:ascii="Calibri" w:hAnsi="Calibri"/>
          <w:lang w:val="en-GB"/>
        </w:rPr>
        <w:t>Also, Republic of Croatia ratified following international conventions:</w:t>
      </w:r>
    </w:p>
    <w:p w14:paraId="1BE4421C"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Convention on the Protection of Underwater Cultural Heritage (OG International Conventions 10/04),</w:t>
      </w:r>
    </w:p>
    <w:p w14:paraId="1EC8F2FB"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Convention for the Protection of the Architectural Heritage of Europe, Granada, 1985 (OG International Conventions 6/94),</w:t>
      </w:r>
    </w:p>
    <w:p w14:paraId="1E1E539D"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Convention on the protection of cultural goods in the event of armed conflict and its Protocol relating to the prohibition on exports of cultural goods from occupied territories (OG, International Conventions, 12/93, 6/02 promulgation),</w:t>
      </w:r>
    </w:p>
    <w:p w14:paraId="0C7A6C01"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UNIDROIT Convention on Stolen or Illegally Exported Cultural Objects, drawn up in Rome, 24 June 1995 (OG, International Conventions, 5/00, 6/02 promulgation),</w:t>
      </w:r>
    </w:p>
    <w:p w14:paraId="4F8E1E28"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European Convention on the Protection of Archaeological Heritage (revised), 1992, drawn up in Valetta, 16 January 1992 (OG International Conventions, 4/04 and 9/04 promulgation),</w:t>
      </w:r>
    </w:p>
    <w:p w14:paraId="1A27BC6D"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Convention on the Protection of Intangible Cultural Heritage (OG International Conventions 5/05, 5/07 promulgation),</w:t>
      </w:r>
    </w:p>
    <w:p w14:paraId="0174578D"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UNESCO Convention on Measures to Protect and Prevent Unauthorised Imports, Exports and Transfer of Cultural Goods (OG International Conventions, 12/93),</w:t>
      </w:r>
    </w:p>
    <w:p w14:paraId="674F674E"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 xml:space="preserve">Convention on the Protection of World Cultural and Natural Heritage (OG International Conventions, 12/93: adopted in Paris, 1972). The Republic of Croatia became a party to the </w:t>
      </w:r>
      <w:r w:rsidRPr="00833FBC">
        <w:rPr>
          <w:rFonts w:ascii="Calibri" w:eastAsia="Times New Roman" w:hAnsi="Calibri" w:cs="Calibri"/>
          <w:lang w:val="en-GB" w:eastAsia="hr-HR"/>
        </w:rPr>
        <w:lastRenderedPageBreak/>
        <w:t>Convention pursuant to the notification of succession of 8 October 1991 (Entered into force on 8 October 1991),</w:t>
      </w:r>
    </w:p>
    <w:p w14:paraId="6C3B062F"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Regulation on the promulgation of the Agreement between the Government of the Republic of Croatia and the Government of the United States of America on the protection and preservation of certain cultural goods (OG International Conventions, 9/06, 2/07 promulgation),</w:t>
      </w:r>
    </w:p>
    <w:p w14:paraId="2F691F21"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Second Protocol to the Convention on the Protection of Cultural Goods in the Event of Armed Conflict (OG International Conventions 11/05)</w:t>
      </w:r>
    </w:p>
    <w:p w14:paraId="6EDBF7BF"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Framework Convention of the Council of Europe on the value of cultural heritage to society (OG International Conventions 5/07),</w:t>
      </w:r>
    </w:p>
    <w:p w14:paraId="07BC5486"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Regulation on the Ratification of the Treaty between UNESCO and the Government of the Republic of Croatia on the Establishment of the Regional Centre for Underwater Archaeology in Zadar, Croatia, as a Category II Centre under the auspices of UNESCO (OG 1/09),</w:t>
      </w:r>
    </w:p>
    <w:p w14:paraId="5F034F27"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Act on the Ratification of the Convention on European Landscapes (OG International Conventions 12/02),</w:t>
      </w:r>
    </w:p>
    <w:p w14:paraId="1D006708" w14:textId="77777777" w:rsidR="009A69F1" w:rsidRPr="00833FBC" w:rsidRDefault="009A69F1" w:rsidP="00BE60A0">
      <w:pPr>
        <w:numPr>
          <w:ilvl w:val="0"/>
          <w:numId w:val="97"/>
        </w:numPr>
        <w:suppressAutoHyphens w:val="0"/>
        <w:autoSpaceDN/>
        <w:spacing w:before="0" w:after="160" w:line="259" w:lineRule="auto"/>
        <w:contextualSpacing/>
        <w:textAlignment w:val="auto"/>
        <w:rPr>
          <w:rFonts w:ascii="Calibri" w:hAnsi="Calibri"/>
          <w:lang w:val="en-GB"/>
        </w:rPr>
      </w:pPr>
      <w:r w:rsidRPr="00833FBC">
        <w:rPr>
          <w:rFonts w:ascii="Calibri" w:eastAsia="Times New Roman" w:hAnsi="Calibri" w:cs="Calibri"/>
          <w:lang w:val="en-GB" w:eastAsia="hr-HR"/>
        </w:rPr>
        <w:t>Regulation on the promulgation of the Treaty between the Government of the Republic of Croatia and UNESCO regarding the continuation of activity of the Regional Centre for Underwater Archaeology in Zadar, Croatia, as a Category II Centre under the auspices of UNESCO (OG International Conventions 5/16)</w:t>
      </w:r>
    </w:p>
    <w:p w14:paraId="3495FBB2" w14:textId="77777777" w:rsidR="007D1E1B" w:rsidRDefault="007D1E1B" w:rsidP="009A69F1">
      <w:pPr>
        <w:rPr>
          <w:rFonts w:ascii="Calibri" w:hAnsi="Calibri"/>
          <w:lang w:val="en-GB"/>
        </w:rPr>
      </w:pPr>
    </w:p>
    <w:p w14:paraId="337D6BE8" w14:textId="33DCB199" w:rsidR="009A69F1" w:rsidRPr="00833FBC" w:rsidRDefault="009A69F1" w:rsidP="009A69F1">
      <w:pPr>
        <w:rPr>
          <w:rFonts w:ascii="Calibri" w:hAnsi="Calibri"/>
          <w:lang w:val="en-GB"/>
        </w:rPr>
      </w:pPr>
      <w:r w:rsidRPr="00833FBC">
        <w:rPr>
          <w:rFonts w:ascii="Calibri" w:hAnsi="Calibri"/>
          <w:lang w:val="en-GB"/>
        </w:rPr>
        <w:t>The Ministry of Culture and Media, based on official decision, determines the cultural heritage, and defines protection measures and the obligation to sign in the Cultural Heritage Register.</w:t>
      </w:r>
    </w:p>
    <w:p w14:paraId="6DA1807D" w14:textId="77777777" w:rsidR="009A69F1" w:rsidRPr="00833FBC" w:rsidRDefault="009A69F1" w:rsidP="009A69F1">
      <w:pPr>
        <w:rPr>
          <w:rFonts w:ascii="Calibri" w:hAnsi="Calibri"/>
        </w:rPr>
      </w:pPr>
      <w:r w:rsidRPr="00833FBC">
        <w:rPr>
          <w:rFonts w:ascii="Calibri" w:hAnsi="Calibri"/>
          <w:lang w:val="en-GB"/>
        </w:rPr>
        <w:t xml:space="preserve">In the Cultural Heritage Register of the Ministry of Culture and Media it is possible to check whether a certain building/area/item is protected as a cultural heritage: </w:t>
      </w:r>
      <w:hyperlink r:id="rId46" w:history="1">
        <w:r w:rsidRPr="00833FBC">
          <w:rPr>
            <w:rFonts w:ascii="Calibri" w:hAnsi="Calibri"/>
            <w:color w:val="0563C1"/>
            <w:u w:val="single"/>
          </w:rPr>
          <w:t>https://registar.kulturnadobra.hr/</w:t>
        </w:r>
      </w:hyperlink>
      <w:r w:rsidRPr="00833FBC">
        <w:rPr>
          <w:rFonts w:ascii="Calibri" w:hAnsi="Calibri"/>
        </w:rPr>
        <w:t>.</w:t>
      </w:r>
    </w:p>
    <w:p w14:paraId="67CB3A1D" w14:textId="77777777" w:rsidR="009A69F1" w:rsidRPr="00833FBC" w:rsidRDefault="009A69F1" w:rsidP="009A69F1">
      <w:pPr>
        <w:rPr>
          <w:rFonts w:ascii="Calibri" w:hAnsi="Calibri"/>
          <w:lang w:val="en-GB"/>
        </w:rPr>
      </w:pPr>
      <w:r w:rsidRPr="00833FBC">
        <w:rPr>
          <w:rFonts w:ascii="Calibri" w:hAnsi="Calibri"/>
          <w:lang w:val="en-GB"/>
        </w:rPr>
        <w:t>This information can also be requested from the Conservation Department of the Ministry of Culture and Media (conservation departments are organized by counties).</w:t>
      </w:r>
    </w:p>
    <w:p w14:paraId="7A814A5D" w14:textId="77777777" w:rsidR="009A69F1" w:rsidRPr="00833FBC" w:rsidRDefault="009A69F1" w:rsidP="009A69F1">
      <w:pPr>
        <w:rPr>
          <w:rFonts w:ascii="Calibri" w:hAnsi="Calibri"/>
          <w:lang w:val="en-GB"/>
        </w:rPr>
      </w:pPr>
      <w:r w:rsidRPr="00833FBC">
        <w:rPr>
          <w:rFonts w:ascii="Calibri" w:hAnsi="Calibri"/>
          <w:lang w:val="en-GB"/>
        </w:rPr>
        <w:t>In the case that certain property of local significant is not determinate under protection as a cultural property (as defined by Act on Cultural Heritage) a representative body of the county, City of Zagreb or municipality may declare it as a protected, if it is located in their territory.</w:t>
      </w:r>
    </w:p>
    <w:p w14:paraId="4D0EDE33" w14:textId="77777777" w:rsidR="009A69F1" w:rsidRPr="00833FBC" w:rsidRDefault="009A69F1" w:rsidP="009A69F1">
      <w:pPr>
        <w:rPr>
          <w:rFonts w:ascii="Calibri" w:hAnsi="Calibri"/>
          <w:lang w:val="en-GB"/>
        </w:rPr>
      </w:pPr>
      <w:r w:rsidRPr="00833FBC">
        <w:rPr>
          <w:rFonts w:ascii="Calibri" w:hAnsi="Calibri"/>
          <w:lang w:val="en-GB"/>
        </w:rPr>
        <w:t>Protection of the cultural heritage is also part of physical planning process and building permitting process, regulated by Construction Act and Physical Planning Act.</w:t>
      </w:r>
    </w:p>
    <w:p w14:paraId="4E6F33A7" w14:textId="77777777" w:rsidR="009A69F1" w:rsidRPr="00833FBC" w:rsidRDefault="009A69F1" w:rsidP="009A69F1">
      <w:pPr>
        <w:rPr>
          <w:rFonts w:ascii="Calibri" w:hAnsi="Calibri"/>
          <w:b/>
          <w:bCs/>
          <w:lang w:val="en-GB"/>
        </w:rPr>
      </w:pPr>
      <w:r w:rsidRPr="00833FBC">
        <w:rPr>
          <w:rFonts w:ascii="Calibri" w:hAnsi="Calibri"/>
          <w:lang w:val="en-GB"/>
        </w:rPr>
        <w:t>According to Act on Cultural Heritage spatial planning documents, depending on the type and area that planning documents cover, must contain data from the conservation base</w:t>
      </w:r>
      <w:r w:rsidRPr="00833FBC">
        <w:rPr>
          <w:rFonts w:ascii="Calibri" w:hAnsi="Calibri"/>
          <w:vertAlign w:val="superscript"/>
          <w:lang w:val="en-GB"/>
        </w:rPr>
        <w:footnoteReference w:id="96"/>
      </w:r>
      <w:r w:rsidRPr="00833FBC">
        <w:rPr>
          <w:rFonts w:ascii="Calibri" w:hAnsi="Calibri"/>
          <w:lang w:val="en-GB"/>
        </w:rPr>
        <w:t xml:space="preserve"> , along with a set of measures for the protection of immovable cultural property located in the area covered by the plan. The conservation base is determined by the competent authority for the area covered by the spatial plan, and it contains general and special conditions for the protection and preservation of cultural property, boundaries of the contact zone of cultural property and the method of protection in the contact zone. In the case that the competent authority has not determined the conservation base, it is obliged to determine the system of measures for the protection. The spatial planning document may be adopted only with the prior consent of the competent authority confirming that it is in accordance with the conservation base or the established system of protection measures. </w:t>
      </w:r>
      <w:r w:rsidRPr="00833FBC">
        <w:rPr>
          <w:rFonts w:ascii="Calibri" w:hAnsi="Calibri"/>
          <w:b/>
          <w:bCs/>
          <w:lang w:val="en-GB"/>
        </w:rPr>
        <w:t xml:space="preserve">For the </w:t>
      </w:r>
      <w:r w:rsidRPr="00833FBC">
        <w:rPr>
          <w:rFonts w:ascii="Calibri" w:hAnsi="Calibri"/>
          <w:b/>
          <w:bCs/>
          <w:lang w:val="en-GB"/>
        </w:rPr>
        <w:lastRenderedPageBreak/>
        <w:t>cultural-historical entities/area</w:t>
      </w:r>
      <w:r w:rsidRPr="00833FBC">
        <w:rPr>
          <w:rFonts w:ascii="Calibri" w:hAnsi="Calibri"/>
          <w:b/>
          <w:bCs/>
          <w:vertAlign w:val="superscript"/>
          <w:lang w:val="en-GB"/>
        </w:rPr>
        <w:footnoteReference w:id="97"/>
      </w:r>
      <w:r w:rsidRPr="00833FBC">
        <w:rPr>
          <w:rFonts w:ascii="Calibri" w:hAnsi="Calibri"/>
          <w:b/>
          <w:bCs/>
          <w:lang w:val="en-GB"/>
        </w:rPr>
        <w:t>, it is obligatory to prepare conservation base, which also includes the area of the contact zone.</w:t>
      </w:r>
    </w:p>
    <w:p w14:paraId="1B1D6171" w14:textId="77777777" w:rsidR="009A69F1" w:rsidRPr="00833FBC" w:rsidRDefault="009A69F1" w:rsidP="009A69F1">
      <w:pPr>
        <w:rPr>
          <w:rFonts w:ascii="Calibri" w:hAnsi="Calibri"/>
          <w:lang w:val="en-GB"/>
        </w:rPr>
      </w:pPr>
      <w:r w:rsidRPr="00833FBC">
        <w:rPr>
          <w:rFonts w:ascii="Calibri" w:hAnsi="Calibri"/>
          <w:lang w:val="en-GB"/>
        </w:rPr>
        <w:t>According to Act on Cultural Heritage for work performance on cultural heritage, it is necessary to obtain prior approval from the competed body</w:t>
      </w:r>
      <w:bookmarkStart w:id="134" w:name="_Ref56879316"/>
      <w:r w:rsidRPr="00833FBC">
        <w:rPr>
          <w:rFonts w:ascii="Calibri" w:hAnsi="Calibri"/>
          <w:vertAlign w:val="superscript"/>
          <w:lang w:val="en-GB"/>
        </w:rPr>
        <w:footnoteReference w:id="98"/>
      </w:r>
      <w:bookmarkEnd w:id="134"/>
      <w:r w:rsidRPr="00833FBC">
        <w:rPr>
          <w:rFonts w:ascii="Calibri" w:hAnsi="Calibri"/>
          <w:lang w:val="en-GB"/>
        </w:rPr>
        <w:t xml:space="preserve">. Obtaining prior approval is regulated by the Ordinance on Documentation for Prior Granting of Works on Cultural Property (OG 134/15). Obtaining this approval is an integral part of the location and building permitting processes. It is also necessary to obtain this approval for interventions that can be performed only </w:t>
      </w:r>
      <w:proofErr w:type="gramStart"/>
      <w:r w:rsidRPr="00833FBC">
        <w:rPr>
          <w:rFonts w:ascii="Calibri" w:hAnsi="Calibri"/>
          <w:lang w:val="en-GB"/>
        </w:rPr>
        <w:t>on the basis of</w:t>
      </w:r>
      <w:proofErr w:type="gramEnd"/>
      <w:r w:rsidRPr="00833FBC">
        <w:rPr>
          <w:rFonts w:ascii="Calibri" w:hAnsi="Calibri"/>
          <w:lang w:val="en-GB"/>
        </w:rPr>
        <w:t xml:space="preserve"> the main project or without main project.</w:t>
      </w:r>
    </w:p>
    <w:p w14:paraId="512FE260" w14:textId="5FF305D5" w:rsidR="009A69F1" w:rsidRPr="00833FBC" w:rsidRDefault="009A69F1" w:rsidP="009A69F1">
      <w:pPr>
        <w:rPr>
          <w:rFonts w:ascii="Calibri" w:hAnsi="Calibri"/>
          <w:lang w:val="en-GB"/>
        </w:rPr>
      </w:pPr>
      <w:r w:rsidRPr="00833FBC">
        <w:rPr>
          <w:rFonts w:ascii="Calibri" w:hAnsi="Calibri"/>
          <w:lang w:val="en-GB"/>
        </w:rPr>
        <w:t>For projects/interventions for which location permit is required,</w:t>
      </w:r>
      <w:r w:rsidRPr="00833FBC">
        <w:rPr>
          <w:rFonts w:ascii="Calibri" w:hAnsi="Calibri"/>
        </w:rPr>
        <w:t xml:space="preserve"> </w:t>
      </w:r>
      <w:r w:rsidRPr="00833FBC">
        <w:rPr>
          <w:rFonts w:ascii="Calibri" w:hAnsi="Calibri"/>
          <w:lang w:val="en-GB"/>
        </w:rPr>
        <w:t xml:space="preserve">for the purpose of conceptual design preparation, the competent body (see Footnote </w:t>
      </w:r>
      <w:r w:rsidRPr="00833FBC">
        <w:rPr>
          <w:rFonts w:ascii="Calibri" w:hAnsi="Calibri"/>
          <w:lang w:val="en-GB"/>
        </w:rPr>
        <w:fldChar w:fldCharType="begin"/>
      </w:r>
      <w:r w:rsidRPr="00833FBC">
        <w:rPr>
          <w:rFonts w:ascii="Calibri" w:hAnsi="Calibri"/>
          <w:lang w:val="en-GB"/>
        </w:rPr>
        <w:instrText xml:space="preserve"> NOTEREF _Ref56879316 \h </w:instrText>
      </w:r>
      <w:r>
        <w:rPr>
          <w:rFonts w:ascii="Calibri" w:hAnsi="Calibri"/>
          <w:lang w:val="en-GB"/>
        </w:rPr>
        <w:instrText xml:space="preserve"> \* MERGEFORMAT </w:instrText>
      </w:r>
      <w:r w:rsidRPr="00833FBC">
        <w:rPr>
          <w:rFonts w:ascii="Calibri" w:hAnsi="Calibri"/>
          <w:lang w:val="en-GB"/>
        </w:rPr>
      </w:r>
      <w:r w:rsidRPr="00833FBC">
        <w:rPr>
          <w:rFonts w:ascii="Calibri" w:hAnsi="Calibri"/>
          <w:lang w:val="en-GB"/>
        </w:rPr>
        <w:fldChar w:fldCharType="separate"/>
      </w:r>
      <w:r w:rsidR="007D1E1B">
        <w:rPr>
          <w:rFonts w:ascii="Calibri" w:hAnsi="Calibri"/>
          <w:lang w:val="en-GB"/>
        </w:rPr>
        <w:t>98</w:t>
      </w:r>
      <w:r w:rsidRPr="00833FBC">
        <w:rPr>
          <w:rFonts w:ascii="Calibri" w:hAnsi="Calibri"/>
          <w:lang w:val="en-GB"/>
        </w:rPr>
        <w:fldChar w:fldCharType="end"/>
      </w:r>
      <w:r w:rsidRPr="00833FBC">
        <w:rPr>
          <w:rFonts w:ascii="Calibri" w:hAnsi="Calibri"/>
          <w:lang w:val="en-GB"/>
        </w:rPr>
        <w:t>), at the request of the competent body for issuing location permit, determines special conditions for protection of cultural heritage. Special conditions established for the purpose of making the conceptual design can be used to prepare the main design required for the issuance of a building permit. During the building permitting process, the compliance of the main project with special conditions (i.e. special conditions for protection of cultural heritage determined by location permit) are checked and certificate that the main project is prepared in accordance with the special conditions for the protection of cultural heritage must be issued.</w:t>
      </w:r>
    </w:p>
    <w:p w14:paraId="350C4ACD" w14:textId="77777777" w:rsidR="009A69F1" w:rsidRPr="00833FBC" w:rsidRDefault="009A69F1" w:rsidP="009A69F1">
      <w:pPr>
        <w:rPr>
          <w:rFonts w:ascii="Calibri" w:hAnsi="Calibri"/>
          <w:lang w:val="en-GB"/>
        </w:rPr>
      </w:pPr>
      <w:r w:rsidRPr="00833FBC">
        <w:rPr>
          <w:rFonts w:ascii="Calibri" w:hAnsi="Calibri"/>
          <w:lang w:val="en-GB"/>
        </w:rPr>
        <w:t>For complex interventions on cultural heritage</w:t>
      </w:r>
      <w:r w:rsidRPr="00833FBC">
        <w:rPr>
          <w:rFonts w:ascii="Calibri" w:hAnsi="Calibri"/>
          <w:vertAlign w:val="superscript"/>
          <w:lang w:val="en-GB"/>
        </w:rPr>
        <w:footnoteReference w:id="99"/>
      </w:r>
      <w:r w:rsidRPr="00833FBC">
        <w:rPr>
          <w:rFonts w:ascii="Calibri" w:hAnsi="Calibri"/>
          <w:lang w:val="en-GB"/>
        </w:rPr>
        <w:t xml:space="preserve"> for which it is necessary to conduct preliminary research and / or assessment of the impact on cultural heritage the competent authority is authorized to determine the special conditions in a form of conservation study.</w:t>
      </w:r>
    </w:p>
    <w:p w14:paraId="339E70B7" w14:textId="77777777" w:rsidR="009A69F1" w:rsidRPr="00833FBC" w:rsidRDefault="009A69F1" w:rsidP="009A69F1">
      <w:pPr>
        <w:suppressAutoHyphens w:val="0"/>
        <w:autoSpaceDN/>
        <w:spacing w:before="0" w:after="160" w:line="259" w:lineRule="auto"/>
        <w:textAlignment w:val="auto"/>
        <w:rPr>
          <w:rFonts w:ascii="Calibri" w:hAnsi="Calibri"/>
          <w:lang w:val="en-GB"/>
        </w:rPr>
      </w:pPr>
      <w:r w:rsidRPr="00833FBC">
        <w:rPr>
          <w:rFonts w:ascii="Calibri" w:hAnsi="Calibri"/>
          <w:lang w:val="en-GB"/>
        </w:rPr>
        <w:t>For the construction of simple and other buildings and works</w:t>
      </w:r>
      <w:r w:rsidRPr="00833FBC">
        <w:rPr>
          <w:rFonts w:ascii="Calibri" w:hAnsi="Calibri"/>
          <w:vertAlign w:val="superscript"/>
          <w:lang w:val="en-GB"/>
        </w:rPr>
        <w:footnoteReference w:id="100"/>
      </w:r>
      <w:r w:rsidRPr="00833FBC">
        <w:rPr>
          <w:rFonts w:ascii="Calibri" w:hAnsi="Calibri"/>
          <w:lang w:val="en-GB"/>
        </w:rPr>
        <w:t xml:space="preserve"> within the cultural-historical entity/area, on an individual cultural property, as well as works in the area within the boundaries of the cultural property, which can be performed without location / building permit, in accordance with the main design, before commencement of the work it is necessary to obtain special conditions for the protection of cultural heritage. For the projects/interventions that can be performed without location/building permit and without main design it necessary to obtain prior approval from the competent body (if necessary competent body will determine special conditions). Prior approval is also issued for: conservation, restoration, relocation of cultural heritage and other similar works, operation of industrial and other facilities and sites, rehabilitation and adaptation of cultural heritage </w:t>
      </w:r>
      <w:proofErr w:type="gramStart"/>
      <w:r w:rsidRPr="00833FBC">
        <w:rPr>
          <w:rFonts w:ascii="Calibri" w:hAnsi="Calibri"/>
          <w:lang w:val="en-GB"/>
        </w:rPr>
        <w:t>etc..</w:t>
      </w:r>
      <w:proofErr w:type="gramEnd"/>
    </w:p>
    <w:p w14:paraId="6056F8F1" w14:textId="21AA81F8" w:rsidR="009A69F1" w:rsidRPr="00833FBC" w:rsidRDefault="009A69F1" w:rsidP="009A69F1">
      <w:pPr>
        <w:suppressAutoHyphens w:val="0"/>
        <w:autoSpaceDN/>
        <w:spacing w:before="0" w:after="160" w:line="259" w:lineRule="auto"/>
        <w:textAlignment w:val="auto"/>
        <w:rPr>
          <w:rFonts w:ascii="Calibri" w:hAnsi="Calibri"/>
          <w:lang w:val="en-GB"/>
        </w:rPr>
      </w:pPr>
      <w:r w:rsidRPr="00833FBC">
        <w:rPr>
          <w:rFonts w:ascii="Calibri" w:hAnsi="Calibri"/>
          <w:lang w:val="en-GB"/>
        </w:rPr>
        <w:t>More details regarding cultural heritage protection within building permitting process, as defined by Act on Cultural Heritage, is given in</w:t>
      </w:r>
      <w:r w:rsidR="005D4417">
        <w:rPr>
          <w:rFonts w:ascii="Calibri" w:hAnsi="Calibri"/>
          <w:lang w:val="en-GB"/>
        </w:rPr>
        <w:t xml:space="preserve"> </w:t>
      </w:r>
      <w:r w:rsidR="005D4417">
        <w:rPr>
          <w:rFonts w:ascii="Calibri" w:hAnsi="Calibri"/>
          <w:lang w:val="en-GB"/>
        </w:rPr>
        <w:fldChar w:fldCharType="begin"/>
      </w:r>
      <w:r w:rsidR="005D4417">
        <w:rPr>
          <w:rFonts w:ascii="Calibri" w:hAnsi="Calibri"/>
          <w:lang w:val="en-GB"/>
        </w:rPr>
        <w:instrText xml:space="preserve"> REF _Ref56949630 \h </w:instrText>
      </w:r>
      <w:r w:rsidR="005D4417">
        <w:rPr>
          <w:rFonts w:ascii="Calibri" w:hAnsi="Calibri"/>
          <w:lang w:val="en-GB"/>
        </w:rPr>
      </w:r>
      <w:r w:rsidR="005D4417">
        <w:rPr>
          <w:rFonts w:ascii="Calibri" w:hAnsi="Calibri"/>
          <w:lang w:val="en-GB"/>
        </w:rPr>
        <w:fldChar w:fldCharType="separate"/>
      </w:r>
      <w:r w:rsidR="007D1E1B">
        <w:t xml:space="preserve">ANNEX </w:t>
      </w:r>
      <w:r w:rsidR="007D1E1B">
        <w:rPr>
          <w:noProof/>
        </w:rPr>
        <w:t>VII</w:t>
      </w:r>
      <w:r w:rsidR="005D4417">
        <w:rPr>
          <w:rFonts w:ascii="Calibri" w:hAnsi="Calibri"/>
          <w:lang w:val="en-GB"/>
        </w:rPr>
        <w:fldChar w:fldCharType="end"/>
      </w:r>
      <w:r w:rsidR="005D4417">
        <w:rPr>
          <w:rFonts w:ascii="Calibri" w:hAnsi="Calibri"/>
          <w:lang w:val="en-GB"/>
        </w:rPr>
        <w:t>.</w:t>
      </w:r>
    </w:p>
    <w:p w14:paraId="039914F0" w14:textId="77777777" w:rsidR="009A69F1" w:rsidRPr="00833FBC" w:rsidRDefault="009A69F1" w:rsidP="009A69F1">
      <w:pPr>
        <w:rPr>
          <w:rFonts w:ascii="Calibri" w:hAnsi="Calibri"/>
          <w:lang w:val="en-GB"/>
        </w:rPr>
      </w:pPr>
      <w:r w:rsidRPr="00833FBC">
        <w:rPr>
          <w:rFonts w:ascii="Calibri" w:hAnsi="Calibri"/>
          <w:lang w:val="en-GB"/>
        </w:rPr>
        <w:lastRenderedPageBreak/>
        <w:t>According the Croatian cultural heritage protection practice, the building/constructing permit usually contains provision about the possibility to find and protection of cultural heritage (if any), particularly if the planned activities are related to the digging and other e.g. restoration (of old buildings).</w:t>
      </w:r>
    </w:p>
    <w:p w14:paraId="22C4F76F" w14:textId="77777777" w:rsidR="009A69F1" w:rsidRPr="00833FBC" w:rsidRDefault="009A69F1" w:rsidP="009A69F1">
      <w:pPr>
        <w:rPr>
          <w:rFonts w:ascii="Calibri" w:hAnsi="Calibri"/>
          <w:lang w:val="en-GB"/>
        </w:rPr>
      </w:pPr>
      <w:r w:rsidRPr="00833FBC">
        <w:rPr>
          <w:rFonts w:ascii="Calibri" w:hAnsi="Calibri"/>
          <w:lang w:val="en-GB"/>
        </w:rPr>
        <w:t xml:space="preserve">In case that during the construction works some valuable object/s appear at the construction site, construction works will be stopped, and conservators informed. They will come at construction site, evaluate situation and decide about the following procedure. Depending on the site, the works can be continued with additional measures to protect archaeological sites or conservation conditions, but </w:t>
      </w:r>
      <w:proofErr w:type="gramStart"/>
      <w:r w:rsidRPr="00833FBC">
        <w:rPr>
          <w:rFonts w:ascii="Calibri" w:hAnsi="Calibri"/>
          <w:lang w:val="en-GB"/>
        </w:rPr>
        <w:t>in the event that</w:t>
      </w:r>
      <w:proofErr w:type="gramEnd"/>
      <w:r w:rsidRPr="00833FBC">
        <w:rPr>
          <w:rFonts w:ascii="Calibri" w:hAnsi="Calibri"/>
          <w:lang w:val="en-GB"/>
        </w:rPr>
        <w:t xml:space="preserve"> it is not possible to adequately protect the site, the works can be permanently suspended.</w:t>
      </w:r>
    </w:p>
    <w:p w14:paraId="7955124C" w14:textId="77777777" w:rsidR="009A69F1" w:rsidRPr="00833FBC" w:rsidRDefault="009A69F1" w:rsidP="009A69F1">
      <w:pPr>
        <w:rPr>
          <w:rFonts w:ascii="Calibri" w:hAnsi="Calibri"/>
          <w:lang w:val="en-GB"/>
        </w:rPr>
      </w:pPr>
      <w:r w:rsidRPr="00833FBC">
        <w:rPr>
          <w:rFonts w:ascii="Calibri" w:hAnsi="Calibri"/>
          <w:lang w:val="en-GB"/>
        </w:rPr>
        <w:t>According to the Construction Act, the supervising engineer checks whether works are being carried out in accordance with the construction permit, the main project and the applicable regulations and thus controls the measures and conditions related to the protection of cultural assets.</w:t>
      </w:r>
    </w:p>
    <w:p w14:paraId="147953BE" w14:textId="25B8F97A" w:rsidR="009A69F1" w:rsidRPr="009A69F1" w:rsidRDefault="009A69F1" w:rsidP="009A69F1">
      <w:pPr>
        <w:suppressAutoHyphens w:val="0"/>
        <w:autoSpaceDN/>
        <w:spacing w:before="0" w:after="160" w:line="259" w:lineRule="auto"/>
        <w:textAlignment w:val="auto"/>
        <w:rPr>
          <w:rFonts w:ascii="Calibri" w:hAnsi="Calibri"/>
          <w:lang w:val="en-GB"/>
        </w:rPr>
      </w:pPr>
      <w:r w:rsidRPr="00833FBC">
        <w:rPr>
          <w:rFonts w:ascii="Calibri" w:hAnsi="Calibri"/>
          <w:lang w:val="en-GB"/>
        </w:rPr>
        <w:t xml:space="preserve">According to Article 75. of the Cultural Heritage Act in the event of the occurrence or declaration of extraordinary circumstances, the Ministry of Culture and Media will make an inventory of damage to cultural property, in cooperation with local and regional self-government units in whose areas the cultural property is located, and enter damage to cultural property in the Register of damages caused by natural disasters </w:t>
      </w:r>
      <w:r w:rsidRPr="00833FBC">
        <w:rPr>
          <w:rFonts w:ascii="Calibri" w:hAnsi="Calibri"/>
          <w:vertAlign w:val="superscript"/>
          <w:lang w:val="en-GB"/>
        </w:rPr>
        <w:footnoteReference w:id="101"/>
      </w:r>
      <w:r w:rsidRPr="00833FBC">
        <w:rPr>
          <w:rFonts w:ascii="Calibri" w:hAnsi="Calibri"/>
          <w:lang w:val="en-GB"/>
        </w:rPr>
        <w:t xml:space="preserve">. In order to mitigate and eliminate the damage to cultural property, the Minister of Culture and Media will develop and adopt a program of measures for the protection of cultural property in cooperation with local and regional self-government units. I accordance with this Act on Reconstruction of Earthquake Damaged Buildings in the City of Zagreb, </w:t>
      </w:r>
      <w:proofErr w:type="spellStart"/>
      <w:r w:rsidRPr="00833FBC">
        <w:rPr>
          <w:rFonts w:ascii="Calibri" w:hAnsi="Calibri"/>
          <w:lang w:val="en-GB"/>
        </w:rPr>
        <w:t>Krapina-Zagorje</w:t>
      </w:r>
      <w:proofErr w:type="spellEnd"/>
      <w:r w:rsidRPr="00833FBC">
        <w:rPr>
          <w:rFonts w:ascii="Calibri" w:hAnsi="Calibri"/>
          <w:lang w:val="en-GB"/>
        </w:rPr>
        <w:t xml:space="preserve"> County and Zagreb County (OG 102/20) for the area of the historical urban entity of the City of Zagreb, preparation of program for complete restoration of the historical urban entity of the City of Zagreb is foreseen.</w:t>
      </w:r>
    </w:p>
    <w:p w14:paraId="4C4A8A11" w14:textId="77777777" w:rsidR="00DA18D0" w:rsidRPr="00AB7D1E" w:rsidRDefault="00DA18D0" w:rsidP="009A69F1">
      <w:pPr>
        <w:pStyle w:val="Heading3"/>
        <w:rPr>
          <w:lang w:val="en-US"/>
        </w:rPr>
      </w:pPr>
      <w:bookmarkStart w:id="135" w:name="_Toc56954059"/>
      <w:r w:rsidRPr="00AB7D1E">
        <w:rPr>
          <w:rFonts w:eastAsia="Times New Roman"/>
          <w:lang w:val="en-US"/>
        </w:rPr>
        <w:t>Protection of landscape</w:t>
      </w:r>
      <w:bookmarkEnd w:id="135"/>
      <w:r w:rsidRPr="00AB7D1E">
        <w:rPr>
          <w:rFonts w:eastAsia="Times New Roman"/>
          <w:lang w:val="en-US"/>
        </w:rPr>
        <w:t xml:space="preserve"> </w:t>
      </w:r>
    </w:p>
    <w:p w14:paraId="629F9E7E" w14:textId="77777777" w:rsidR="00DA18D0" w:rsidRPr="00AB7D1E" w:rsidRDefault="00DA18D0" w:rsidP="00DA18D0">
      <w:pPr>
        <w:rPr>
          <w:lang w:val="en-US"/>
        </w:rPr>
      </w:pPr>
      <w:r w:rsidRPr="00AB7D1E">
        <w:rPr>
          <w:lang w:val="en-US"/>
        </w:rPr>
        <w:t>No specific law or regulation/ordinance that regulate landscape issues were adopted in Croatia. Some sectoral approaches, such as the protection of cultural heritage and protection of nature and the environment, partly include landscape issues, while spatial planning is recognized as a common and integrative instrument of its protection.</w:t>
      </w:r>
    </w:p>
    <w:p w14:paraId="20902C54" w14:textId="02E4EA4B" w:rsidR="00DA18D0" w:rsidRPr="00AB7D1E" w:rsidRDefault="00DA18D0" w:rsidP="00DA18D0">
      <w:pPr>
        <w:rPr>
          <w:lang w:val="en-US"/>
        </w:rPr>
      </w:pPr>
      <w:r w:rsidRPr="00AB7D1E">
        <w:rPr>
          <w:lang w:val="en-US"/>
        </w:rPr>
        <w:t>Integrated approach and an important degree of landscape protection in Croatia has been formally established by the Acceptance of the European Landscape Convention Act (OG 12/2002). Legal protection of the landscape</w:t>
      </w:r>
      <w:r w:rsidR="004A669E">
        <w:rPr>
          <w:lang w:val="en-US"/>
        </w:rPr>
        <w:t xml:space="preserve">, aligned with the EU Environmental Acquis </w:t>
      </w:r>
      <w:r w:rsidR="002E724A">
        <w:rPr>
          <w:lang w:val="en-US"/>
        </w:rPr>
        <w:t>as the rest of the national legislation,</w:t>
      </w:r>
      <w:r w:rsidRPr="00AB7D1E">
        <w:rPr>
          <w:lang w:val="en-US"/>
        </w:rPr>
        <w:t xml:space="preserve"> is also covered by:</w:t>
      </w:r>
    </w:p>
    <w:p w14:paraId="56016336" w14:textId="18B1FB22" w:rsidR="00DA18D0" w:rsidRPr="00AB7D1E" w:rsidRDefault="00DA18D0" w:rsidP="0078374B">
      <w:pPr>
        <w:numPr>
          <w:ilvl w:val="0"/>
          <w:numId w:val="8"/>
        </w:numPr>
        <w:rPr>
          <w:lang w:val="en-US"/>
        </w:rPr>
      </w:pPr>
      <w:r w:rsidRPr="00AB7D1E">
        <w:rPr>
          <w:lang w:val="en-US"/>
        </w:rPr>
        <w:t>Physical Planning Act (OG 153/13, 65/17, 114/18, 39/19</w:t>
      </w:r>
      <w:r w:rsidR="00174CEB" w:rsidRPr="00AB7D1E">
        <w:rPr>
          <w:lang w:val="en-US"/>
        </w:rPr>
        <w:t>, 98/19</w:t>
      </w:r>
      <w:r w:rsidRPr="00AB7D1E">
        <w:rPr>
          <w:lang w:val="en-US"/>
        </w:rPr>
        <w:t>),</w:t>
      </w:r>
    </w:p>
    <w:p w14:paraId="0E480083" w14:textId="77777777" w:rsidR="00DA18D0" w:rsidRPr="00AB7D1E" w:rsidRDefault="00DA18D0" w:rsidP="0078374B">
      <w:pPr>
        <w:numPr>
          <w:ilvl w:val="0"/>
          <w:numId w:val="8"/>
        </w:numPr>
        <w:rPr>
          <w:lang w:val="en-US"/>
        </w:rPr>
      </w:pPr>
      <w:r w:rsidRPr="00AB7D1E">
        <w:rPr>
          <w:lang w:val="en-US"/>
        </w:rPr>
        <w:t>Environmental Protection Act (OG 80/13, 153/13, 78/15, 12/18, 118/18),</w:t>
      </w:r>
    </w:p>
    <w:p w14:paraId="7B4858A9" w14:textId="10FE0FA9" w:rsidR="00DA18D0" w:rsidRPr="00AB7D1E" w:rsidRDefault="00DA18D0" w:rsidP="0078374B">
      <w:pPr>
        <w:numPr>
          <w:ilvl w:val="0"/>
          <w:numId w:val="8"/>
        </w:numPr>
        <w:rPr>
          <w:lang w:val="en-US"/>
        </w:rPr>
      </w:pPr>
      <w:r w:rsidRPr="00AB7D1E">
        <w:rPr>
          <w:lang w:val="en-US"/>
        </w:rPr>
        <w:t>Nature Protection Act (OG 80/13, 15/18, 14/19</w:t>
      </w:r>
      <w:r w:rsidR="00174CEB" w:rsidRPr="00AB7D1E">
        <w:rPr>
          <w:lang w:val="en-US"/>
        </w:rPr>
        <w:t>, 127/19</w:t>
      </w:r>
      <w:r w:rsidRPr="00AB7D1E">
        <w:rPr>
          <w:lang w:val="en-US"/>
        </w:rPr>
        <w:t>),</w:t>
      </w:r>
    </w:p>
    <w:p w14:paraId="217E38A4" w14:textId="14ACE516" w:rsidR="00DA18D0" w:rsidRPr="00AB7D1E" w:rsidRDefault="00DA18D0" w:rsidP="0078374B">
      <w:pPr>
        <w:numPr>
          <w:ilvl w:val="0"/>
          <w:numId w:val="8"/>
        </w:numPr>
        <w:rPr>
          <w:lang w:val="en-US"/>
        </w:rPr>
      </w:pPr>
      <w:r w:rsidRPr="00AB7D1E">
        <w:rPr>
          <w:lang w:val="en-US"/>
        </w:rPr>
        <w:t>Act on the Protection and Preservation of Cultural Property (OG 69/99, 151/03, 157/03, 100/04, 87/09, 88/10, 61/11, 25/12, 136/12, 157/13, 152/14, 98/15, 44/17, 90/18</w:t>
      </w:r>
      <w:r w:rsidR="00174CEB" w:rsidRPr="00AB7D1E">
        <w:rPr>
          <w:lang w:val="en-US"/>
        </w:rPr>
        <w:t>, 32/20, 62/20</w:t>
      </w:r>
      <w:r w:rsidRPr="00AB7D1E">
        <w:rPr>
          <w:lang w:val="en-US"/>
        </w:rPr>
        <w:t>).</w:t>
      </w:r>
    </w:p>
    <w:p w14:paraId="024FBF21" w14:textId="2147160F" w:rsidR="00DA18D0" w:rsidRPr="00AB7D1E" w:rsidRDefault="00DA18D0" w:rsidP="00DA18D0">
      <w:pPr>
        <w:rPr>
          <w:lang w:val="en-US"/>
        </w:rPr>
      </w:pPr>
      <w:r w:rsidRPr="00AB7D1E">
        <w:rPr>
          <w:lang w:val="en-US"/>
        </w:rPr>
        <w:lastRenderedPageBreak/>
        <w:t xml:space="preserve">Three Ministries: </w:t>
      </w:r>
      <w:r w:rsidR="004A086E" w:rsidRPr="00AB7D1E">
        <w:rPr>
          <w:lang w:val="en-US"/>
        </w:rPr>
        <w:t>Ministry of Economy and Sustainable Development</w:t>
      </w:r>
      <w:r w:rsidRPr="00AB7D1E">
        <w:rPr>
          <w:lang w:val="en-US"/>
        </w:rPr>
        <w:t>, Ministry of Culture</w:t>
      </w:r>
      <w:r w:rsidR="004A086E" w:rsidRPr="00AB7D1E">
        <w:rPr>
          <w:lang w:val="en-US"/>
        </w:rPr>
        <w:t xml:space="preserve"> and Media</w:t>
      </w:r>
      <w:r w:rsidRPr="00AB7D1E">
        <w:rPr>
          <w:lang w:val="en-US"/>
        </w:rPr>
        <w:t xml:space="preserve"> and the </w:t>
      </w:r>
      <w:r w:rsidR="004A086E" w:rsidRPr="00AB7D1E">
        <w:rPr>
          <w:lang w:val="en-US"/>
        </w:rPr>
        <w:t xml:space="preserve">Ministry of Physical Planning, Construction and State </w:t>
      </w:r>
      <w:r w:rsidR="00FD7A60">
        <w:rPr>
          <w:lang w:val="en-US"/>
        </w:rPr>
        <w:t>Assets</w:t>
      </w:r>
      <w:r w:rsidR="00FD7A60" w:rsidRPr="00AB7D1E">
        <w:rPr>
          <w:lang w:val="en-US"/>
        </w:rPr>
        <w:t xml:space="preserve"> </w:t>
      </w:r>
      <w:r w:rsidRPr="00AB7D1E">
        <w:rPr>
          <w:lang w:val="en-US"/>
        </w:rPr>
        <w:t>are responsible for landscape care.</w:t>
      </w:r>
    </w:p>
    <w:p w14:paraId="191D3219" w14:textId="542E45F7" w:rsidR="00D333F6" w:rsidRPr="00AB7D1E" w:rsidRDefault="00DA18D0" w:rsidP="004E4D82">
      <w:pPr>
        <w:rPr>
          <w:lang w:val="en-US"/>
        </w:rPr>
      </w:pPr>
      <w:r w:rsidRPr="00AB7D1E">
        <w:rPr>
          <w:lang w:val="en-US"/>
        </w:rPr>
        <w:t>The spatial planning system is the main tool for landscape conservation. Spatial planning documentation includes landscape issues.</w:t>
      </w:r>
      <w:r w:rsidR="00D333F6" w:rsidRPr="00AB7D1E">
        <w:rPr>
          <w:lang w:val="en-US"/>
        </w:rPr>
        <w:br w:type="page"/>
      </w:r>
    </w:p>
    <w:p w14:paraId="6990D0CB" w14:textId="7787185D" w:rsidR="00EE60DA" w:rsidRPr="00AB7D1E" w:rsidRDefault="00075A6F" w:rsidP="00EE60DA">
      <w:pPr>
        <w:pStyle w:val="Heading1"/>
        <w:rPr>
          <w:lang w:val="en-US"/>
        </w:rPr>
      </w:pPr>
      <w:bookmarkStart w:id="136" w:name="_Toc46268630"/>
      <w:bookmarkStart w:id="137" w:name="_Toc56954060"/>
      <w:r w:rsidRPr="00AB7D1E">
        <w:rPr>
          <w:caps w:val="0"/>
          <w:lang w:val="en-US"/>
        </w:rPr>
        <w:lastRenderedPageBreak/>
        <w:t>OVERVIEW OF THE WORLD BANK ENVIRONMENTAL AND SOCIAL STANDARDS</w:t>
      </w:r>
      <w:bookmarkEnd w:id="136"/>
      <w:bookmarkEnd w:id="137"/>
    </w:p>
    <w:p w14:paraId="73A6E997" w14:textId="41DD0FCA" w:rsidR="00EE60DA" w:rsidRPr="00AB7D1E" w:rsidRDefault="00EE60DA" w:rsidP="00EE60DA">
      <w:pPr>
        <w:pStyle w:val="Heading2"/>
        <w:rPr>
          <w:lang w:val="en-US"/>
        </w:rPr>
      </w:pPr>
      <w:bookmarkStart w:id="138" w:name="_Toc56954061"/>
      <w:r w:rsidRPr="00AB7D1E">
        <w:rPr>
          <w:lang w:val="en-US"/>
        </w:rPr>
        <w:t>Environmental and Social Framework</w:t>
      </w:r>
      <w:bookmarkEnd w:id="138"/>
    </w:p>
    <w:p w14:paraId="7192995D" w14:textId="384F6A5E" w:rsidR="004A2DA2" w:rsidRPr="00AB7D1E" w:rsidRDefault="00763696" w:rsidP="00EE60DA">
      <w:pPr>
        <w:spacing w:after="0" w:line="259" w:lineRule="auto"/>
        <w:rPr>
          <w:lang w:val="en-US"/>
        </w:rPr>
      </w:pPr>
      <w:r w:rsidRPr="00AB7D1E">
        <w:rPr>
          <w:lang w:val="en-US"/>
        </w:rPr>
        <w:t>The World Bank developed an Environmental and Social Framework</w:t>
      </w:r>
      <w:r w:rsidR="00985DFD">
        <w:rPr>
          <w:lang w:val="en-US"/>
        </w:rPr>
        <w:t xml:space="preserve"> (ESF)</w:t>
      </w:r>
      <w:r w:rsidRPr="00AB7D1E">
        <w:rPr>
          <w:lang w:val="en-US"/>
        </w:rPr>
        <w:t xml:space="preserve"> setting out the World Bank’s commitment to sustainable development</w:t>
      </w:r>
      <w:r w:rsidR="00911FC8">
        <w:rPr>
          <w:lang w:val="en-US"/>
        </w:rPr>
        <w:t xml:space="preserve"> through</w:t>
      </w:r>
      <w:r w:rsidRPr="00AB7D1E">
        <w:rPr>
          <w:lang w:val="en-US"/>
        </w:rPr>
        <w:t xml:space="preserve"> a</w:t>
      </w:r>
      <w:r w:rsidR="00911FC8">
        <w:rPr>
          <w:lang w:val="en-US"/>
        </w:rPr>
        <w:t>pplication of</w:t>
      </w:r>
      <w:r w:rsidRPr="00AB7D1E">
        <w:rPr>
          <w:lang w:val="en-US"/>
        </w:rPr>
        <w:t xml:space="preserve"> Bank Policy</w:t>
      </w:r>
      <w:r w:rsidR="00C1532C">
        <w:rPr>
          <w:lang w:val="en-US"/>
        </w:rPr>
        <w:t xml:space="preserve"> (defined in the ESF)</w:t>
      </w:r>
      <w:r w:rsidRPr="00AB7D1E">
        <w:rPr>
          <w:lang w:val="en-US"/>
        </w:rPr>
        <w:t xml:space="preserve"> and a set of Environmental and Social Standards that are designed to support Borrowers’ projects, with the aim of ending extreme poverty and promoting shared prosperity. </w:t>
      </w:r>
    </w:p>
    <w:p w14:paraId="2B357A41" w14:textId="77CC12C5" w:rsidR="00EE60DA" w:rsidRPr="00AB7D1E" w:rsidRDefault="00763696" w:rsidP="00EE60DA">
      <w:pPr>
        <w:spacing w:after="0" w:line="259" w:lineRule="auto"/>
        <w:rPr>
          <w:lang w:val="en-US"/>
        </w:rPr>
      </w:pPr>
      <w:r w:rsidRPr="00AB7D1E">
        <w:rPr>
          <w:lang w:val="en-US"/>
        </w:rPr>
        <w:t xml:space="preserve">The Environmental and Social Standards (ESS) set out the mandatory requirements that apply to the Borrower and projects. They present set of obligatory guidelines and instructions with the main objective to foster efficient and effective identification and mitigation of potentially adverse environmental and social impacts that may occur in the development projects, with proper stakeholder engagement and sustainable management. </w:t>
      </w:r>
      <w:proofErr w:type="gramStart"/>
      <w:r w:rsidRPr="00AB7D1E">
        <w:rPr>
          <w:b/>
          <w:bCs/>
          <w:lang w:val="en-US"/>
        </w:rPr>
        <w:t>WB ESS</w:t>
      </w:r>
      <w:r w:rsidR="00C60340">
        <w:rPr>
          <w:b/>
          <w:bCs/>
          <w:lang w:val="en-US"/>
        </w:rPr>
        <w:t>,</w:t>
      </w:r>
      <w:proofErr w:type="gramEnd"/>
      <w:r w:rsidR="00C60340">
        <w:rPr>
          <w:b/>
          <w:bCs/>
          <w:lang w:val="en-US"/>
        </w:rPr>
        <w:t xml:space="preserve"> </w:t>
      </w:r>
      <w:r w:rsidR="0092232F">
        <w:rPr>
          <w:b/>
          <w:bCs/>
          <w:lang w:val="en-US"/>
        </w:rPr>
        <w:t>supported</w:t>
      </w:r>
      <w:r w:rsidR="00C60340">
        <w:rPr>
          <w:b/>
          <w:bCs/>
          <w:lang w:val="en-US"/>
        </w:rPr>
        <w:t xml:space="preserve"> by WB</w:t>
      </w:r>
      <w:r w:rsidR="0092232F">
        <w:rPr>
          <w:b/>
          <w:bCs/>
          <w:lang w:val="en-US"/>
        </w:rPr>
        <w:t xml:space="preserve"> Group Environmental, Health and safety Guidelines (ESHG)</w:t>
      </w:r>
      <w:r w:rsidRPr="00AB7D1E">
        <w:rPr>
          <w:b/>
          <w:bCs/>
          <w:lang w:val="en-US"/>
        </w:rPr>
        <w:t xml:space="preserve"> are applied in parallel to the national policies where, as a rule, the stricter one prevails.</w:t>
      </w:r>
      <w:r w:rsidRPr="00AB7D1E">
        <w:rPr>
          <w:lang w:val="en-US"/>
        </w:rPr>
        <w:t xml:space="preserve"> There are </w:t>
      </w:r>
      <w:r w:rsidR="00F32904" w:rsidRPr="00AB7D1E">
        <w:rPr>
          <w:lang w:val="en-US"/>
        </w:rPr>
        <w:t>ten (</w:t>
      </w:r>
      <w:r w:rsidRPr="00AB7D1E">
        <w:rPr>
          <w:lang w:val="en-US"/>
        </w:rPr>
        <w:t>10</w:t>
      </w:r>
      <w:r w:rsidR="00F32904" w:rsidRPr="00AB7D1E">
        <w:rPr>
          <w:lang w:val="en-US"/>
        </w:rPr>
        <w:t>)</w:t>
      </w:r>
      <w:r w:rsidRPr="00AB7D1E">
        <w:rPr>
          <w:lang w:val="en-US"/>
        </w:rPr>
        <w:t xml:space="preserve"> ESS.</w:t>
      </w:r>
    </w:p>
    <w:p w14:paraId="76CE8D44" w14:textId="2108315C" w:rsidR="00EE60DA" w:rsidRPr="00AB7D1E" w:rsidRDefault="00EE60DA" w:rsidP="00EE60DA">
      <w:pPr>
        <w:spacing w:after="0" w:line="259" w:lineRule="auto"/>
        <w:rPr>
          <w:lang w:val="en-US"/>
        </w:rPr>
      </w:pPr>
      <w:r w:rsidRPr="00AB7D1E">
        <w:rPr>
          <w:lang w:val="en-US"/>
        </w:rPr>
        <w:t xml:space="preserve">Each of the ESSs sets out </w:t>
      </w:r>
      <w:proofErr w:type="gramStart"/>
      <w:r w:rsidRPr="00AB7D1E">
        <w:rPr>
          <w:lang w:val="en-US"/>
        </w:rPr>
        <w:t>a number of</w:t>
      </w:r>
      <w:proofErr w:type="gramEnd"/>
      <w:r w:rsidRPr="00AB7D1E">
        <w:rPr>
          <w:lang w:val="en-US"/>
        </w:rPr>
        <w:t xml:space="preserve"> objectives. The objectives describe the outcomes that each of the ESSs is intended to achieve</w:t>
      </w:r>
      <w:r w:rsidR="00763696" w:rsidRPr="00AB7D1E">
        <w:rPr>
          <w:lang w:val="en-US"/>
        </w:rPr>
        <w:t>.</w:t>
      </w:r>
    </w:p>
    <w:p w14:paraId="6D0E7059" w14:textId="77777777" w:rsidR="00EE60DA" w:rsidRPr="00AB7D1E" w:rsidRDefault="00EE60DA" w:rsidP="00EE60DA">
      <w:pPr>
        <w:spacing w:after="0" w:line="259" w:lineRule="auto"/>
        <w:rPr>
          <w:lang w:val="en-US"/>
        </w:rPr>
      </w:pPr>
      <w:r w:rsidRPr="00AB7D1E">
        <w:rPr>
          <w:lang w:val="en-US"/>
        </w:rPr>
        <w:t>In some circumstances, the Borrower will identify certain risks and impacts as part of the environmental and social assessment that are not specifically covered in the ESSs; such risks or impacts have to be addressed in accordance with the mitigation hierarchy</w:t>
      </w:r>
      <w:r w:rsidRPr="00AB7D1E">
        <w:rPr>
          <w:vertAlign w:val="superscript"/>
          <w:lang w:val="en-US"/>
        </w:rPr>
        <w:footnoteReference w:id="102"/>
      </w:r>
      <w:r w:rsidRPr="00AB7D1E">
        <w:rPr>
          <w:lang w:val="en-US"/>
        </w:rPr>
        <w:t xml:space="preserve"> and the objectives of ESS1.</w:t>
      </w:r>
    </w:p>
    <w:p w14:paraId="4F3AFD04" w14:textId="41676C84" w:rsidR="00763696" w:rsidRPr="00AB7D1E" w:rsidRDefault="00763696" w:rsidP="00763696">
      <w:pPr>
        <w:spacing w:after="0" w:line="259" w:lineRule="auto"/>
        <w:rPr>
          <w:lang w:val="en-US"/>
        </w:rPr>
      </w:pPr>
      <w:r w:rsidRPr="00AB7D1E">
        <w:rPr>
          <w:lang w:val="en-US"/>
        </w:rPr>
        <w:t xml:space="preserve">Not </w:t>
      </w:r>
      <w:proofErr w:type="gramStart"/>
      <w:r w:rsidRPr="00AB7D1E">
        <w:rPr>
          <w:lang w:val="en-US"/>
        </w:rPr>
        <w:t>all of</w:t>
      </w:r>
      <w:proofErr w:type="gramEnd"/>
      <w:r w:rsidRPr="00AB7D1E">
        <w:rPr>
          <w:lang w:val="en-US"/>
        </w:rPr>
        <w:t xml:space="preserve"> these </w:t>
      </w:r>
      <w:r w:rsidR="00F32904" w:rsidRPr="00AB7D1E">
        <w:rPr>
          <w:lang w:val="en-US"/>
        </w:rPr>
        <w:t xml:space="preserve">ten </w:t>
      </w:r>
      <w:r w:rsidRPr="00AB7D1E">
        <w:rPr>
          <w:lang w:val="en-US"/>
        </w:rPr>
        <w:t>ESS are relevant for this project</w:t>
      </w:r>
      <w:r w:rsidR="00B233EA">
        <w:rPr>
          <w:lang w:val="en-US"/>
        </w:rPr>
        <w:t xml:space="preserve">, but ESS1, ESS2, ESS3, ESS4, </w:t>
      </w:r>
      <w:r w:rsidR="00113C2C">
        <w:rPr>
          <w:lang w:val="en-US"/>
        </w:rPr>
        <w:t>ESS6,</w:t>
      </w:r>
      <w:r w:rsidR="00E30246">
        <w:rPr>
          <w:lang w:val="en-US"/>
        </w:rPr>
        <w:t xml:space="preserve"> ESS8</w:t>
      </w:r>
      <w:r w:rsidR="00113C2C">
        <w:rPr>
          <w:lang w:val="en-US"/>
        </w:rPr>
        <w:t xml:space="preserve"> </w:t>
      </w:r>
      <w:r w:rsidR="00CD0A42">
        <w:rPr>
          <w:lang w:val="en-US"/>
        </w:rPr>
        <w:t>and ESS10 are</w:t>
      </w:r>
      <w:r w:rsidRPr="00AB7D1E">
        <w:rPr>
          <w:lang w:val="en-US"/>
        </w:rPr>
        <w:t>. The summary of the Environmental and Social Standards are described below.</w:t>
      </w:r>
    </w:p>
    <w:p w14:paraId="47D3B15A" w14:textId="420EA4FE" w:rsidR="00763696" w:rsidRPr="00AB7D1E" w:rsidRDefault="00763696" w:rsidP="00763696">
      <w:pPr>
        <w:suppressAutoHyphens w:val="0"/>
        <w:autoSpaceDN/>
        <w:spacing w:line="276" w:lineRule="auto"/>
        <w:textAlignment w:val="auto"/>
        <w:rPr>
          <w:rFonts w:ascii="Calibri" w:eastAsia="Arial Unicode MS" w:hAnsi="Calibri" w:cs="Calibri"/>
          <w:bdr w:val="nil"/>
          <w:lang w:val="en-US"/>
        </w:rPr>
      </w:pPr>
      <w:r w:rsidRPr="00AB7D1E">
        <w:rPr>
          <w:rFonts w:ascii="Calibri" w:eastAsia="Arial Unicode MS" w:hAnsi="Calibri" w:cs="Calibri"/>
          <w:bdr w:val="nil"/>
          <w:lang w:val="en-US"/>
        </w:rPr>
        <w:t xml:space="preserve">Detailed overview of </w:t>
      </w:r>
      <w:r w:rsidR="001A0EBD" w:rsidRPr="00AB7D1E">
        <w:rPr>
          <w:rFonts w:ascii="Calibri" w:eastAsia="Arial Unicode MS" w:hAnsi="Calibri" w:cs="Calibri"/>
          <w:bdr w:val="nil"/>
          <w:lang w:val="en-US"/>
        </w:rPr>
        <w:t xml:space="preserve">WB </w:t>
      </w:r>
      <w:r w:rsidRPr="00AB7D1E">
        <w:rPr>
          <w:rFonts w:ascii="Calibri" w:eastAsia="Arial Unicode MS" w:hAnsi="Calibri" w:cs="Calibri"/>
          <w:bdr w:val="nil"/>
          <w:lang w:val="en-US"/>
        </w:rPr>
        <w:t>Environmental and Social Standards (ESS) is available on web site</w:t>
      </w:r>
      <w:r w:rsidR="001A0EBD" w:rsidRPr="00AB7D1E">
        <w:rPr>
          <w:rFonts w:ascii="Calibri" w:eastAsia="Arial Unicode MS" w:hAnsi="Calibri" w:cs="Calibri"/>
          <w:bdr w:val="nil"/>
          <w:lang w:val="en-US"/>
        </w:rPr>
        <w:t xml:space="preserve">: </w:t>
      </w:r>
      <w:hyperlink r:id="rId47" w:history="1">
        <w:r w:rsidR="001A0EBD" w:rsidRPr="00AB7D1E">
          <w:rPr>
            <w:rStyle w:val="Hyperlink"/>
            <w:rFonts w:ascii="Calibri" w:eastAsia="Arial Unicode MS" w:hAnsi="Calibri" w:cs="Calibri"/>
            <w:bdr w:val="nil"/>
            <w:lang w:val="en-US"/>
          </w:rPr>
          <w:t>https://www.worldbank.org/en/projects-operations/environmental-and-social-framework/brief/environmental-and-social-standards</w:t>
        </w:r>
      </w:hyperlink>
      <w:r w:rsidRPr="00AB7D1E">
        <w:rPr>
          <w:rFonts w:ascii="Calibri" w:eastAsia="Arial Unicode MS" w:hAnsi="Calibri" w:cs="Calibri"/>
          <w:bdr w:val="nil"/>
          <w:lang w:val="en-US"/>
        </w:rPr>
        <w:t>)</w:t>
      </w:r>
      <w:r w:rsidR="00F750AD" w:rsidRPr="00AB7D1E">
        <w:rPr>
          <w:rFonts w:ascii="Calibri" w:eastAsia="Arial Unicode MS" w:hAnsi="Calibri" w:cs="Calibri"/>
          <w:bdr w:val="nil"/>
          <w:lang w:val="en-US"/>
        </w:rPr>
        <w:t>.</w:t>
      </w:r>
    </w:p>
    <w:p w14:paraId="46DC8648" w14:textId="24A1F15C" w:rsidR="00DA1415" w:rsidRPr="00AB7D1E" w:rsidRDefault="00DA1415" w:rsidP="00763696">
      <w:pPr>
        <w:suppressAutoHyphens w:val="0"/>
        <w:autoSpaceDN/>
        <w:spacing w:line="276" w:lineRule="auto"/>
        <w:textAlignment w:val="auto"/>
        <w:rPr>
          <w:rFonts w:ascii="Calibri" w:eastAsia="Arial Unicode MS" w:hAnsi="Calibri" w:cs="Calibri"/>
          <w:b/>
          <w:bCs/>
          <w:i/>
          <w:iCs/>
          <w:bdr w:val="nil"/>
          <w:lang w:val="en-US"/>
        </w:rPr>
      </w:pPr>
      <w:r w:rsidRPr="00AB7D1E">
        <w:rPr>
          <w:rFonts w:ascii="Calibri" w:eastAsia="Arial Unicode MS" w:hAnsi="Calibri" w:cs="Calibri"/>
          <w:b/>
          <w:bCs/>
          <w:i/>
          <w:iCs/>
          <w:bdr w:val="nil"/>
          <w:lang w:val="en-US"/>
        </w:rPr>
        <w:t>In this chapter summary of World Banks ESS and results of preliminary screening conducted during project preparation</w:t>
      </w:r>
      <w:r w:rsidR="00F32904" w:rsidRPr="00AB7D1E">
        <w:rPr>
          <w:rFonts w:ascii="Calibri" w:eastAsia="Arial Unicode MS" w:hAnsi="Calibri" w:cs="Calibri"/>
          <w:b/>
          <w:bCs/>
          <w:i/>
          <w:iCs/>
          <w:bdr w:val="nil"/>
          <w:lang w:val="en-US"/>
        </w:rPr>
        <w:t xml:space="preserve"> is presented</w:t>
      </w:r>
      <w:r w:rsidRPr="00AB7D1E">
        <w:rPr>
          <w:rFonts w:ascii="Calibri" w:eastAsia="Arial Unicode MS" w:hAnsi="Calibri" w:cs="Calibri"/>
          <w:b/>
          <w:bCs/>
          <w:i/>
          <w:iCs/>
          <w:bdr w:val="nil"/>
          <w:lang w:val="en-US"/>
        </w:rPr>
        <w:t>. Detail information on necessary WB instruments/documents, resulting from environmental and social screening impacts conducted as a part on this ESMF, are presented in Chapter</w:t>
      </w:r>
      <w:r w:rsidR="004E4D82" w:rsidRPr="00AB7D1E">
        <w:rPr>
          <w:rFonts w:ascii="Calibri" w:eastAsia="Arial Unicode MS" w:hAnsi="Calibri" w:cs="Calibri"/>
          <w:b/>
          <w:bCs/>
          <w:i/>
          <w:iCs/>
          <w:bdr w:val="nil"/>
          <w:lang w:val="en-US"/>
        </w:rPr>
        <w:t xml:space="preserve"> </w:t>
      </w:r>
      <w:r w:rsidR="004E4D82" w:rsidRPr="00AB7D1E">
        <w:rPr>
          <w:rFonts w:ascii="Calibri" w:eastAsia="Arial Unicode MS" w:hAnsi="Calibri" w:cs="Calibri"/>
          <w:b/>
          <w:bCs/>
          <w:i/>
          <w:iCs/>
          <w:bdr w:val="nil"/>
          <w:lang w:val="en-US"/>
        </w:rPr>
        <w:fldChar w:fldCharType="begin"/>
      </w:r>
      <w:r w:rsidR="004E4D82" w:rsidRPr="00AB7D1E">
        <w:rPr>
          <w:rFonts w:ascii="Calibri" w:eastAsia="Arial Unicode MS" w:hAnsi="Calibri" w:cs="Calibri"/>
          <w:b/>
          <w:bCs/>
          <w:i/>
          <w:iCs/>
          <w:bdr w:val="nil"/>
          <w:lang w:val="en-US"/>
        </w:rPr>
        <w:instrText xml:space="preserve"> REF _Ref48574970 \r \h  \* MERGEFORMAT </w:instrText>
      </w:r>
      <w:r w:rsidR="004E4D82" w:rsidRPr="00AB7D1E">
        <w:rPr>
          <w:rFonts w:ascii="Calibri" w:eastAsia="Arial Unicode MS" w:hAnsi="Calibri" w:cs="Calibri"/>
          <w:b/>
          <w:bCs/>
          <w:i/>
          <w:iCs/>
          <w:bdr w:val="nil"/>
          <w:lang w:val="en-US"/>
        </w:rPr>
      </w:r>
      <w:r w:rsidR="004E4D82" w:rsidRPr="00AB7D1E">
        <w:rPr>
          <w:rFonts w:ascii="Calibri" w:eastAsia="Arial Unicode MS" w:hAnsi="Calibri" w:cs="Calibri"/>
          <w:b/>
          <w:bCs/>
          <w:i/>
          <w:iCs/>
          <w:bdr w:val="nil"/>
          <w:lang w:val="en-US"/>
        </w:rPr>
        <w:fldChar w:fldCharType="separate"/>
      </w:r>
      <w:r w:rsidR="007D1E1B">
        <w:rPr>
          <w:rFonts w:ascii="Calibri" w:eastAsia="Arial Unicode MS" w:hAnsi="Calibri" w:cs="Calibri"/>
          <w:b/>
          <w:bCs/>
          <w:i/>
          <w:iCs/>
          <w:bdr w:val="nil"/>
          <w:lang w:val="en-US"/>
        </w:rPr>
        <w:t>8.1.1</w:t>
      </w:r>
      <w:r w:rsidR="004E4D82" w:rsidRPr="00AB7D1E">
        <w:rPr>
          <w:rFonts w:ascii="Calibri" w:eastAsia="Arial Unicode MS" w:hAnsi="Calibri" w:cs="Calibri"/>
          <w:b/>
          <w:bCs/>
          <w:i/>
          <w:iCs/>
          <w:bdr w:val="nil"/>
          <w:lang w:val="en-US"/>
        </w:rPr>
        <w:fldChar w:fldCharType="end"/>
      </w:r>
      <w:r w:rsidR="003765AB">
        <w:rPr>
          <w:rFonts w:ascii="Calibri" w:eastAsia="Arial Unicode MS" w:hAnsi="Calibri" w:cs="Calibri"/>
          <w:b/>
          <w:bCs/>
          <w:i/>
          <w:iCs/>
          <w:bdr w:val="nil"/>
          <w:lang w:val="en-US"/>
        </w:rPr>
        <w:t xml:space="preserve">, while risk classification of activities that standards apply to in the Chapter </w:t>
      </w:r>
      <w:r w:rsidR="007C04A9">
        <w:rPr>
          <w:rFonts w:ascii="Calibri" w:eastAsia="Arial Unicode MS" w:hAnsi="Calibri" w:cs="Calibri"/>
          <w:b/>
          <w:bCs/>
          <w:i/>
          <w:iCs/>
          <w:bdr w:val="nil"/>
          <w:lang w:val="en-US"/>
        </w:rPr>
        <w:fldChar w:fldCharType="begin"/>
      </w:r>
      <w:r w:rsidR="007C04A9">
        <w:rPr>
          <w:rFonts w:ascii="Calibri" w:eastAsia="Arial Unicode MS" w:hAnsi="Calibri" w:cs="Calibri"/>
          <w:b/>
          <w:bCs/>
          <w:i/>
          <w:iCs/>
          <w:bdr w:val="nil"/>
          <w:lang w:val="en-US"/>
        </w:rPr>
        <w:instrText xml:space="preserve"> REF _Ref51591056 \r \h </w:instrText>
      </w:r>
      <w:r w:rsidR="007C04A9">
        <w:rPr>
          <w:rFonts w:ascii="Calibri" w:eastAsia="Arial Unicode MS" w:hAnsi="Calibri" w:cs="Calibri"/>
          <w:b/>
          <w:bCs/>
          <w:i/>
          <w:iCs/>
          <w:bdr w:val="nil"/>
          <w:lang w:val="en-US"/>
        </w:rPr>
      </w:r>
      <w:r w:rsidR="007C04A9">
        <w:rPr>
          <w:rFonts w:ascii="Calibri" w:eastAsia="Arial Unicode MS" w:hAnsi="Calibri" w:cs="Calibri"/>
          <w:b/>
          <w:bCs/>
          <w:i/>
          <w:iCs/>
          <w:bdr w:val="nil"/>
          <w:lang w:val="en-US"/>
        </w:rPr>
        <w:fldChar w:fldCharType="separate"/>
      </w:r>
      <w:r w:rsidR="007D1E1B">
        <w:rPr>
          <w:rFonts w:ascii="Calibri" w:eastAsia="Arial Unicode MS" w:hAnsi="Calibri" w:cs="Calibri"/>
          <w:b/>
          <w:bCs/>
          <w:i/>
          <w:iCs/>
          <w:bdr w:val="nil"/>
          <w:lang w:val="en-US"/>
        </w:rPr>
        <w:t>2.6</w:t>
      </w:r>
      <w:r w:rsidR="007C04A9">
        <w:rPr>
          <w:rFonts w:ascii="Calibri" w:eastAsia="Arial Unicode MS" w:hAnsi="Calibri" w:cs="Calibri"/>
          <w:b/>
          <w:bCs/>
          <w:i/>
          <w:iCs/>
          <w:bdr w:val="nil"/>
          <w:lang w:val="en-US"/>
        </w:rPr>
        <w:fldChar w:fldCharType="end"/>
      </w:r>
      <w:r w:rsidRPr="00AB7D1E">
        <w:rPr>
          <w:rFonts w:ascii="Calibri" w:eastAsia="Arial Unicode MS" w:hAnsi="Calibri" w:cs="Calibri"/>
          <w:b/>
          <w:bCs/>
          <w:i/>
          <w:iCs/>
          <w:bdr w:val="nil"/>
          <w:lang w:val="en-US"/>
        </w:rPr>
        <w:t>.</w:t>
      </w:r>
    </w:p>
    <w:p w14:paraId="7618F416" w14:textId="4F56625F" w:rsidR="00EE60DA" w:rsidRPr="00AB7D1E" w:rsidRDefault="00EE60DA" w:rsidP="00772F92">
      <w:pPr>
        <w:pStyle w:val="Heading2"/>
        <w:rPr>
          <w:lang w:val="en-US"/>
        </w:rPr>
      </w:pPr>
      <w:bookmarkStart w:id="139" w:name="_Toc56954062"/>
      <w:r w:rsidRPr="00AB7D1E">
        <w:rPr>
          <w:lang w:val="en-US"/>
        </w:rPr>
        <w:t>ESS1 Assessment and Management of Environmental and Social Risks and Impacts</w:t>
      </w:r>
      <w:bookmarkEnd w:id="139"/>
      <w:r w:rsidRPr="00AB7D1E">
        <w:rPr>
          <w:lang w:val="en-US"/>
        </w:rPr>
        <w:t xml:space="preserve"> </w:t>
      </w:r>
    </w:p>
    <w:p w14:paraId="3658E2A2" w14:textId="3955E95F" w:rsidR="00EE60DA" w:rsidRPr="00AB7D1E" w:rsidRDefault="00CA7516" w:rsidP="00EE60DA">
      <w:pPr>
        <w:spacing w:after="0" w:line="259" w:lineRule="auto"/>
        <w:rPr>
          <w:lang w:val="en-US"/>
        </w:rPr>
      </w:pPr>
      <w:r w:rsidRPr="00AB7D1E">
        <w:rPr>
          <w:b/>
          <w:bCs/>
          <w:noProof/>
          <w:lang w:val="en-US" w:eastAsia="hr-HR"/>
        </w:rPr>
        <w:drawing>
          <wp:anchor distT="0" distB="0" distL="114300" distR="114300" simplePos="0" relativeHeight="251661312" behindDoc="0" locked="0" layoutInCell="1" allowOverlap="1" wp14:anchorId="713AD439" wp14:editId="477465CA">
            <wp:simplePos x="0" y="0"/>
            <wp:positionH relativeFrom="margin">
              <wp:align>right</wp:align>
            </wp:positionH>
            <wp:positionV relativeFrom="paragraph">
              <wp:posOffset>228600</wp:posOffset>
            </wp:positionV>
            <wp:extent cx="1682750" cy="9448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2750" cy="944880"/>
                    </a:xfrm>
                    <a:prstGeom prst="rect">
                      <a:avLst/>
                    </a:prstGeom>
                    <a:noFill/>
                  </pic:spPr>
                </pic:pic>
              </a:graphicData>
            </a:graphic>
            <wp14:sizeRelH relativeFrom="page">
              <wp14:pctWidth>0</wp14:pctWidth>
            </wp14:sizeRelH>
            <wp14:sizeRelV relativeFrom="page">
              <wp14:pctHeight>0</wp14:pctHeight>
            </wp14:sizeRelV>
          </wp:anchor>
        </w:drawing>
      </w:r>
      <w:r w:rsidR="00EE60DA" w:rsidRPr="00AB7D1E">
        <w:rPr>
          <w:b/>
          <w:bCs/>
          <w:lang w:val="en-US"/>
        </w:rPr>
        <w:t xml:space="preserve">ESS1 </w:t>
      </w:r>
      <w:r w:rsidR="00EE60DA" w:rsidRPr="00AB7D1E">
        <w:rPr>
          <w:lang w:val="en-US"/>
        </w:rPr>
        <w:t xml:space="preserve">applies to all projects which are supported by the Bank through </w:t>
      </w:r>
      <w:r w:rsidR="001A0EBD" w:rsidRPr="00AB7D1E">
        <w:rPr>
          <w:lang w:val="en-US"/>
        </w:rPr>
        <w:t>Project Financing (IPF)</w:t>
      </w:r>
      <w:r w:rsidR="00EE60DA" w:rsidRPr="00AB7D1E">
        <w:rPr>
          <w:lang w:val="en-US"/>
        </w:rPr>
        <w:t xml:space="preserve"> and to which OP/BP10.00 applies. It sets out the Borrower’s responsibilities for assessing, managing and monitoring environmental and social risks and impacts associated with each stage of a project supported by the Bank through IPF, in order to achieve environmental and social outcomes consistent with the ESSs. </w:t>
      </w:r>
    </w:p>
    <w:p w14:paraId="11489898" w14:textId="0B39E8CE" w:rsidR="001144E7" w:rsidRPr="00AB7D1E" w:rsidRDefault="001144E7" w:rsidP="001144E7">
      <w:pPr>
        <w:spacing w:after="0" w:line="259" w:lineRule="auto"/>
        <w:rPr>
          <w:bCs/>
          <w:lang w:val="en-US"/>
        </w:rPr>
      </w:pPr>
      <w:r w:rsidRPr="00AB7D1E">
        <w:rPr>
          <w:bCs/>
          <w:lang w:val="en-US"/>
        </w:rPr>
        <w:lastRenderedPageBreak/>
        <w:t xml:space="preserve">The Bank classifies a </w:t>
      </w:r>
      <w:proofErr w:type="gramStart"/>
      <w:r w:rsidRPr="00AB7D1E">
        <w:rPr>
          <w:bCs/>
          <w:lang w:val="en-US"/>
        </w:rPr>
        <w:t>proposed project</w:t>
      </w:r>
      <w:r w:rsidR="001A0EBD" w:rsidRPr="00AB7D1E">
        <w:rPr>
          <w:bCs/>
          <w:lang w:val="en-US"/>
        </w:rPr>
        <w:t>s</w:t>
      </w:r>
      <w:proofErr w:type="gramEnd"/>
      <w:r w:rsidR="001A0EBD" w:rsidRPr="00AB7D1E">
        <w:rPr>
          <w:bCs/>
          <w:lang w:val="en-US"/>
        </w:rPr>
        <w:t>,</w:t>
      </w:r>
      <w:r w:rsidRPr="00AB7D1E">
        <w:rPr>
          <w:bCs/>
          <w:lang w:val="en-US"/>
        </w:rPr>
        <w:t xml:space="preserve"> </w:t>
      </w:r>
      <w:r w:rsidR="001A0EBD" w:rsidRPr="00AB7D1E">
        <w:rPr>
          <w:bCs/>
          <w:lang w:val="en-US"/>
        </w:rPr>
        <w:t xml:space="preserve">depending on the type, location, sensitivity, and scale of the project and the nature and magnitude of its potential environmental and social risks and impacts, </w:t>
      </w:r>
      <w:r w:rsidRPr="00AB7D1E">
        <w:rPr>
          <w:bCs/>
          <w:lang w:val="en-US"/>
        </w:rPr>
        <w:t>into one of four categories:</w:t>
      </w:r>
    </w:p>
    <w:p w14:paraId="2912B7DE" w14:textId="3BBCF621" w:rsidR="001144E7" w:rsidRPr="00AB7D1E" w:rsidRDefault="001144E7" w:rsidP="001144E7">
      <w:pPr>
        <w:spacing w:after="0" w:line="259" w:lineRule="auto"/>
        <w:rPr>
          <w:bCs/>
          <w:lang w:val="en-US"/>
        </w:rPr>
      </w:pPr>
      <w:r w:rsidRPr="00AB7D1E">
        <w:rPr>
          <w:bCs/>
          <w:lang w:val="en-US"/>
        </w:rPr>
        <w:t>•</w:t>
      </w:r>
      <w:r w:rsidRPr="00AB7D1E">
        <w:rPr>
          <w:bCs/>
          <w:lang w:val="en-US"/>
        </w:rPr>
        <w:tab/>
        <w:t>Projects with high risk</w:t>
      </w:r>
      <w:r w:rsidR="002F2CE1" w:rsidRPr="00AB7D1E">
        <w:rPr>
          <w:bCs/>
          <w:lang w:val="en-US"/>
        </w:rPr>
        <w:t>,</w:t>
      </w:r>
    </w:p>
    <w:p w14:paraId="4E247F69" w14:textId="77777777" w:rsidR="001144E7" w:rsidRPr="00AB7D1E" w:rsidRDefault="001144E7" w:rsidP="001144E7">
      <w:pPr>
        <w:spacing w:after="0" w:line="259" w:lineRule="auto"/>
        <w:rPr>
          <w:bCs/>
          <w:lang w:val="en-US"/>
        </w:rPr>
      </w:pPr>
      <w:r w:rsidRPr="00AB7D1E">
        <w:rPr>
          <w:bCs/>
          <w:lang w:val="en-US"/>
        </w:rPr>
        <w:t>•</w:t>
      </w:r>
      <w:r w:rsidRPr="00AB7D1E">
        <w:rPr>
          <w:bCs/>
          <w:lang w:val="en-US"/>
        </w:rPr>
        <w:tab/>
        <w:t>Projects with substantial risk,</w:t>
      </w:r>
    </w:p>
    <w:p w14:paraId="6938CF16" w14:textId="77777777" w:rsidR="001144E7" w:rsidRPr="00AB7D1E" w:rsidRDefault="001144E7" w:rsidP="001144E7">
      <w:pPr>
        <w:spacing w:after="0" w:line="259" w:lineRule="auto"/>
        <w:rPr>
          <w:bCs/>
          <w:lang w:val="en-US"/>
        </w:rPr>
      </w:pPr>
      <w:r w:rsidRPr="00AB7D1E">
        <w:rPr>
          <w:bCs/>
          <w:lang w:val="en-US"/>
        </w:rPr>
        <w:t>•</w:t>
      </w:r>
      <w:r w:rsidRPr="00AB7D1E">
        <w:rPr>
          <w:bCs/>
          <w:lang w:val="en-US"/>
        </w:rPr>
        <w:tab/>
        <w:t>Projects with moderate risk,</w:t>
      </w:r>
    </w:p>
    <w:p w14:paraId="436D6711" w14:textId="77777777" w:rsidR="001144E7" w:rsidRPr="00AB7D1E" w:rsidRDefault="001144E7" w:rsidP="001144E7">
      <w:pPr>
        <w:spacing w:after="0" w:line="259" w:lineRule="auto"/>
        <w:rPr>
          <w:bCs/>
          <w:lang w:val="en-US"/>
        </w:rPr>
      </w:pPr>
      <w:r w:rsidRPr="00AB7D1E">
        <w:rPr>
          <w:bCs/>
          <w:lang w:val="en-US"/>
        </w:rPr>
        <w:t>•</w:t>
      </w:r>
      <w:r w:rsidRPr="00AB7D1E">
        <w:rPr>
          <w:bCs/>
          <w:lang w:val="en-US"/>
        </w:rPr>
        <w:tab/>
        <w:t>Projects with low risks.</w:t>
      </w:r>
    </w:p>
    <w:p w14:paraId="5717DC7A" w14:textId="2F923491" w:rsidR="001144E7" w:rsidRPr="00AB7D1E" w:rsidRDefault="001144E7" w:rsidP="001144E7">
      <w:pPr>
        <w:spacing w:after="0" w:line="259" w:lineRule="auto"/>
        <w:rPr>
          <w:bCs/>
          <w:lang w:val="en-US"/>
        </w:rPr>
      </w:pPr>
      <w:r w:rsidRPr="00AB7D1E">
        <w:rPr>
          <w:bCs/>
          <w:lang w:val="en-US"/>
        </w:rPr>
        <w:t>Ot</w:t>
      </w:r>
      <w:r w:rsidR="00123AD0">
        <w:rPr>
          <w:bCs/>
          <w:lang w:val="en-US"/>
        </w:rPr>
        <w:t>33333</w:t>
      </w:r>
      <w:r w:rsidRPr="00AB7D1E">
        <w:rPr>
          <w:bCs/>
          <w:lang w:val="en-US"/>
        </w:rPr>
        <w:t>her areas of risk may also be relevant to the delivery of environmental and social mitigation measures and outcomes, depending on the specific project and the context in which it is being developed. These could include legal and institutional considerations; the nature of the mitigation and technology being proposed; governance structures and legislation; and considerations relating to stability, conflict or security.</w:t>
      </w:r>
    </w:p>
    <w:p w14:paraId="3AE8E649" w14:textId="47A4E447" w:rsidR="001144E7" w:rsidRPr="00AB7D1E" w:rsidRDefault="001144E7" w:rsidP="001144E7">
      <w:pPr>
        <w:spacing w:after="0" w:line="259" w:lineRule="auto"/>
        <w:rPr>
          <w:bCs/>
          <w:lang w:val="en-US"/>
        </w:rPr>
      </w:pPr>
      <w:r w:rsidRPr="00AB7D1E">
        <w:rPr>
          <w:bCs/>
          <w:lang w:val="en-US"/>
        </w:rPr>
        <w:t>Within ESS1, the Borrower is obliged to:</w:t>
      </w:r>
    </w:p>
    <w:p w14:paraId="13D75FB4" w14:textId="1CFB7BE0" w:rsidR="001144E7" w:rsidRPr="00AB7D1E" w:rsidRDefault="001144E7" w:rsidP="00BE60A0">
      <w:pPr>
        <w:pStyle w:val="ListParagraph"/>
        <w:numPr>
          <w:ilvl w:val="0"/>
          <w:numId w:val="26"/>
        </w:numPr>
        <w:spacing w:after="0" w:line="259" w:lineRule="auto"/>
        <w:rPr>
          <w:bCs/>
          <w:lang w:val="en-US"/>
        </w:rPr>
      </w:pPr>
      <w:r w:rsidRPr="00AB7D1E">
        <w:rPr>
          <w:bCs/>
          <w:lang w:val="en-US"/>
        </w:rPr>
        <w:t>Conduct environmental and social assessment of the propose</w:t>
      </w:r>
      <w:r w:rsidR="007A0F86">
        <w:rPr>
          <w:bCs/>
          <w:lang w:val="en-US"/>
        </w:rPr>
        <w:t>d</w:t>
      </w:r>
      <w:r w:rsidRPr="00AB7D1E">
        <w:rPr>
          <w:bCs/>
          <w:lang w:val="en-US"/>
        </w:rPr>
        <w:t xml:space="preserve"> project</w:t>
      </w:r>
      <w:r w:rsidR="00B2333A">
        <w:rPr>
          <w:bCs/>
          <w:lang w:val="en-US"/>
        </w:rPr>
        <w:t xml:space="preserve"> (and its activities)</w:t>
      </w:r>
      <w:r w:rsidRPr="00AB7D1E">
        <w:rPr>
          <w:bCs/>
          <w:lang w:val="en-US"/>
        </w:rPr>
        <w:t>, including stakeholder engagement,</w:t>
      </w:r>
    </w:p>
    <w:p w14:paraId="487F466B" w14:textId="1BC03CE8" w:rsidR="001144E7" w:rsidRPr="00AB7D1E" w:rsidRDefault="001144E7" w:rsidP="00BE60A0">
      <w:pPr>
        <w:pStyle w:val="ListParagraph"/>
        <w:numPr>
          <w:ilvl w:val="0"/>
          <w:numId w:val="26"/>
        </w:numPr>
        <w:spacing w:after="0" w:line="259" w:lineRule="auto"/>
        <w:rPr>
          <w:bCs/>
          <w:lang w:val="en-US"/>
        </w:rPr>
      </w:pPr>
      <w:r w:rsidRPr="00AB7D1E">
        <w:rPr>
          <w:bCs/>
          <w:lang w:val="en-US"/>
        </w:rPr>
        <w:t>Undertake stakeholder engagement and disclose appropriate information in accordance with ESS10,</w:t>
      </w:r>
    </w:p>
    <w:p w14:paraId="2A4718DB" w14:textId="586F8C75" w:rsidR="00DD5C58" w:rsidRPr="00AB7D1E" w:rsidRDefault="001144E7" w:rsidP="00BE60A0">
      <w:pPr>
        <w:pStyle w:val="ListParagraph"/>
        <w:numPr>
          <w:ilvl w:val="0"/>
          <w:numId w:val="26"/>
        </w:numPr>
        <w:rPr>
          <w:lang w:val="en-US"/>
        </w:rPr>
      </w:pPr>
      <w:r w:rsidRPr="00AB7D1E">
        <w:rPr>
          <w:bCs/>
          <w:lang w:val="en-US"/>
        </w:rPr>
        <w:t>Develop an Environmental and Social Commitment Plan (ESCP) and implement all measures and actions set out in the legal agreement including the ESCP</w:t>
      </w:r>
      <w:r w:rsidR="00DD5C58" w:rsidRPr="00AB7D1E">
        <w:rPr>
          <w:bCs/>
          <w:lang w:val="en-US"/>
        </w:rPr>
        <w:t xml:space="preserve">. </w:t>
      </w:r>
      <w:r w:rsidR="00DD5C58" w:rsidRPr="00AB7D1E">
        <w:rPr>
          <w:rFonts w:ascii="Calibri" w:hAnsi="Calibri" w:cs="Calibri"/>
          <w:lang w:val="en-US"/>
        </w:rPr>
        <w:t xml:space="preserve">ESCP presents one summary document that incorporates the material measures and actions that are required for the project to achieve compliance with the ESSs over a specified timeframe in a manner satisfactory to the World Bank. The ESCP should be developed as information regarding the potential risks and impacts of the project, it will </w:t>
      </w:r>
      <w:proofErr w:type="gramStart"/>
      <w:r w:rsidR="00DD5C58" w:rsidRPr="00AB7D1E">
        <w:rPr>
          <w:rFonts w:ascii="Calibri" w:hAnsi="Calibri" w:cs="Calibri"/>
          <w:lang w:val="en-US"/>
        </w:rPr>
        <w:t>take into account</w:t>
      </w:r>
      <w:proofErr w:type="gramEnd"/>
      <w:r w:rsidR="00DD5C58" w:rsidRPr="00AB7D1E">
        <w:rPr>
          <w:rFonts w:ascii="Calibri" w:hAnsi="Calibri" w:cs="Calibri"/>
          <w:lang w:val="en-US"/>
        </w:rPr>
        <w:t xml:space="preserve"> the findings of the environmental and social assessment, the Bank’s environmental and social due diligence and the results of engagement with stakeholders.</w:t>
      </w:r>
    </w:p>
    <w:p w14:paraId="5D748944" w14:textId="525D1531" w:rsidR="001144E7" w:rsidRPr="00AB7D1E" w:rsidRDefault="001144E7" w:rsidP="00BE60A0">
      <w:pPr>
        <w:pStyle w:val="ListParagraph"/>
        <w:numPr>
          <w:ilvl w:val="0"/>
          <w:numId w:val="26"/>
        </w:numPr>
        <w:spacing w:after="0" w:line="259" w:lineRule="auto"/>
        <w:rPr>
          <w:bCs/>
          <w:lang w:val="en-US"/>
        </w:rPr>
      </w:pPr>
      <w:r w:rsidRPr="00AB7D1E">
        <w:rPr>
          <w:bCs/>
          <w:lang w:val="en-US"/>
        </w:rPr>
        <w:t>Conduct monitoring and reporting on the environmental and social performance of the project against the ESSs.</w:t>
      </w:r>
    </w:p>
    <w:p w14:paraId="0249EF03" w14:textId="49F2251B" w:rsidR="001144E7" w:rsidRPr="00AB7D1E" w:rsidRDefault="001144E7" w:rsidP="001144E7">
      <w:pPr>
        <w:spacing w:after="0" w:line="259" w:lineRule="auto"/>
        <w:rPr>
          <w:bCs/>
          <w:lang w:val="en-US"/>
        </w:rPr>
      </w:pPr>
      <w:r w:rsidRPr="00AB7D1E">
        <w:rPr>
          <w:bCs/>
          <w:lang w:val="en-US"/>
        </w:rPr>
        <w:t>Depending on the project, a range of instruments can be used to satisfy the Bank's E</w:t>
      </w:r>
      <w:r w:rsidR="00930660">
        <w:rPr>
          <w:bCs/>
          <w:lang w:val="en-US"/>
        </w:rPr>
        <w:t xml:space="preserve">nvironmental and Social </w:t>
      </w:r>
      <w:r w:rsidRPr="00AB7D1E">
        <w:rPr>
          <w:bCs/>
          <w:lang w:val="en-US"/>
        </w:rPr>
        <w:t>A</w:t>
      </w:r>
      <w:r w:rsidR="00930660">
        <w:rPr>
          <w:bCs/>
          <w:lang w:val="en-US"/>
        </w:rPr>
        <w:t>ssessment (ESA)</w:t>
      </w:r>
      <w:r w:rsidRPr="00AB7D1E">
        <w:rPr>
          <w:bCs/>
          <w:lang w:val="en-US"/>
        </w:rPr>
        <w:t xml:space="preserve"> requirement: environmental impact assessment (ESIA), regional or sectorial EA, Environmental and Social Commitment Plan (ESCP) – material measures and actions required for the project to achieve compliance with the ESSs over a specified timeframe, strategic environmental and social assessment (SESA), environmental audit, hazard or risk assessment, environmental management plan (EMP) and environmental and social management framework (ESMF). E</w:t>
      </w:r>
      <w:r w:rsidR="00930660">
        <w:rPr>
          <w:bCs/>
          <w:lang w:val="en-US"/>
        </w:rPr>
        <w:t>S</w:t>
      </w:r>
      <w:r w:rsidRPr="00AB7D1E">
        <w:rPr>
          <w:bCs/>
          <w:lang w:val="en-US"/>
        </w:rPr>
        <w:t>A applies one or more of these instruments, or elements of them, as appropriate. When the project is likely to have sectorial or regional impacts, sectorial or regional E</w:t>
      </w:r>
      <w:r w:rsidR="00930660">
        <w:rPr>
          <w:bCs/>
          <w:lang w:val="en-US"/>
        </w:rPr>
        <w:t>S</w:t>
      </w:r>
      <w:r w:rsidRPr="00AB7D1E">
        <w:rPr>
          <w:bCs/>
          <w:lang w:val="en-US"/>
        </w:rPr>
        <w:t>A is required.</w:t>
      </w:r>
    </w:p>
    <w:p w14:paraId="14DF036C" w14:textId="01E0E882" w:rsidR="001144E7" w:rsidRPr="00AB7D1E" w:rsidRDefault="001144E7" w:rsidP="001144E7">
      <w:pPr>
        <w:spacing w:after="0" w:line="259" w:lineRule="auto"/>
        <w:rPr>
          <w:b/>
          <w:lang w:val="en-US"/>
        </w:rPr>
      </w:pPr>
      <w:r w:rsidRPr="00AB7D1E">
        <w:rPr>
          <w:b/>
          <w:lang w:val="en-US"/>
        </w:rPr>
        <w:t>According to the World Bank criteria Croatia Earthquake Recovery and Public Health Preparedness Project</w:t>
      </w:r>
      <w:r w:rsidR="002813D0" w:rsidRPr="00AB7D1E">
        <w:rPr>
          <w:b/>
          <w:lang w:val="en-US"/>
        </w:rPr>
        <w:t xml:space="preserve"> (Component 1 and 2)</w:t>
      </w:r>
      <w:r w:rsidRPr="00AB7D1E">
        <w:rPr>
          <w:b/>
          <w:lang w:val="en-US"/>
        </w:rPr>
        <w:t xml:space="preserve"> falls into the category of projects with substantial environmental and social risk.</w:t>
      </w:r>
    </w:p>
    <w:p w14:paraId="7B782951" w14:textId="48E815EC" w:rsidR="004F4377" w:rsidRPr="00AB7D1E" w:rsidRDefault="00772F92" w:rsidP="001144E7">
      <w:pPr>
        <w:spacing w:after="0" w:line="259" w:lineRule="auto"/>
        <w:rPr>
          <w:bCs/>
          <w:lang w:val="en-US"/>
        </w:rPr>
      </w:pPr>
      <w:bookmarkStart w:id="140" w:name="_Hlk46323223"/>
      <w:r w:rsidRPr="00AB7D1E">
        <w:rPr>
          <w:b/>
          <w:lang w:val="en-US"/>
        </w:rPr>
        <w:t xml:space="preserve">This Standard is relevant to the </w:t>
      </w:r>
      <w:r w:rsidR="00CB2A59">
        <w:rPr>
          <w:b/>
          <w:lang w:val="en-US"/>
        </w:rPr>
        <w:t xml:space="preserve">overall </w:t>
      </w:r>
      <w:r w:rsidR="004F4377" w:rsidRPr="00AB7D1E">
        <w:rPr>
          <w:b/>
          <w:lang w:val="en-US"/>
        </w:rPr>
        <w:t>P</w:t>
      </w:r>
      <w:r w:rsidRPr="00AB7D1E">
        <w:rPr>
          <w:b/>
          <w:lang w:val="en-US"/>
        </w:rPr>
        <w:t>roject</w:t>
      </w:r>
      <w:r w:rsidR="005B0F76">
        <w:rPr>
          <w:b/>
          <w:lang w:val="en-US"/>
        </w:rPr>
        <w:t xml:space="preserve"> </w:t>
      </w:r>
      <w:bookmarkStart w:id="141" w:name="_Hlk51700949"/>
      <w:r w:rsidR="005B0F76">
        <w:rPr>
          <w:b/>
          <w:lang w:val="en-US"/>
        </w:rPr>
        <w:t xml:space="preserve">and for the Component 2, </w:t>
      </w:r>
      <w:r w:rsidR="00581DD8">
        <w:rPr>
          <w:b/>
          <w:lang w:val="en-US"/>
        </w:rPr>
        <w:t>subject of this ESMF</w:t>
      </w:r>
      <w:r w:rsidRPr="00AB7D1E">
        <w:rPr>
          <w:b/>
          <w:lang w:val="en-US"/>
        </w:rPr>
        <w:t>.</w:t>
      </w:r>
      <w:bookmarkEnd w:id="140"/>
      <w:r w:rsidRPr="00AB7D1E">
        <w:rPr>
          <w:bCs/>
          <w:lang w:val="en-US"/>
        </w:rPr>
        <w:t xml:space="preserve"> </w:t>
      </w:r>
      <w:bookmarkEnd w:id="141"/>
    </w:p>
    <w:p w14:paraId="638EEB9B" w14:textId="235B50F7" w:rsidR="001144E7" w:rsidRPr="00AB7D1E" w:rsidRDefault="001144E7" w:rsidP="001144E7">
      <w:pPr>
        <w:spacing w:after="0" w:line="259" w:lineRule="auto"/>
        <w:rPr>
          <w:bCs/>
          <w:lang w:val="en-US"/>
        </w:rPr>
      </w:pPr>
      <w:r w:rsidRPr="00AB7D1E">
        <w:rPr>
          <w:bCs/>
          <w:lang w:val="en-US"/>
        </w:rPr>
        <w:t xml:space="preserve">Although the long-term impacts of the Component </w:t>
      </w:r>
      <w:r w:rsidR="006A772B" w:rsidRPr="00AB7D1E">
        <w:rPr>
          <w:bCs/>
          <w:lang w:val="en-US"/>
        </w:rPr>
        <w:t>2</w:t>
      </w:r>
      <w:r w:rsidRPr="00AB7D1E">
        <w:rPr>
          <w:bCs/>
          <w:lang w:val="en-US"/>
        </w:rPr>
        <w:t xml:space="preserve"> – </w:t>
      </w:r>
      <w:r w:rsidR="006A772B" w:rsidRPr="00AB7D1E">
        <w:rPr>
          <w:bCs/>
          <w:lang w:val="en-US"/>
        </w:rPr>
        <w:t>Public Health Surveillance and Preparedness</w:t>
      </w:r>
      <w:r w:rsidRPr="00AB7D1E">
        <w:rPr>
          <w:bCs/>
          <w:lang w:val="en-US"/>
        </w:rPr>
        <w:t xml:space="preserve"> are likely to be positive, its activities </w:t>
      </w:r>
      <w:r w:rsidR="00581DD8">
        <w:rPr>
          <w:bCs/>
          <w:lang w:val="en-US"/>
        </w:rPr>
        <w:t xml:space="preserve">also </w:t>
      </w:r>
      <w:r w:rsidRPr="00AB7D1E">
        <w:rPr>
          <w:bCs/>
          <w:lang w:val="en-US"/>
        </w:rPr>
        <w:t xml:space="preserve">carry </w:t>
      </w:r>
      <w:r w:rsidR="00A00661" w:rsidRPr="00AB7D1E">
        <w:rPr>
          <w:bCs/>
          <w:lang w:val="en-US"/>
        </w:rPr>
        <w:t>certain</w:t>
      </w:r>
      <w:r w:rsidRPr="00AB7D1E">
        <w:rPr>
          <w:bCs/>
          <w:lang w:val="en-US"/>
        </w:rPr>
        <w:t xml:space="preserve"> risks. Planned </w:t>
      </w:r>
      <w:r w:rsidR="000B194D" w:rsidRPr="00AB7D1E">
        <w:rPr>
          <w:bCs/>
          <w:lang w:val="en-US"/>
        </w:rPr>
        <w:t>civil works</w:t>
      </w:r>
      <w:r w:rsidRPr="00AB7D1E">
        <w:rPr>
          <w:bCs/>
          <w:lang w:val="en-US"/>
        </w:rPr>
        <w:t xml:space="preserve"> on </w:t>
      </w:r>
      <w:r w:rsidR="000B194D" w:rsidRPr="00AB7D1E">
        <w:rPr>
          <w:bCs/>
          <w:lang w:val="en-US"/>
        </w:rPr>
        <w:t>public health</w:t>
      </w:r>
      <w:r w:rsidR="00ED4043" w:rsidRPr="00AB7D1E">
        <w:rPr>
          <w:bCs/>
          <w:lang w:val="en-US"/>
        </w:rPr>
        <w:t xml:space="preserve"> laboratories</w:t>
      </w:r>
      <w:r w:rsidR="000B194D" w:rsidRPr="00AB7D1E">
        <w:rPr>
          <w:bCs/>
          <w:lang w:val="en-US"/>
        </w:rPr>
        <w:t xml:space="preserve"> </w:t>
      </w:r>
      <w:r w:rsidRPr="00AB7D1E">
        <w:rPr>
          <w:bCs/>
          <w:lang w:val="en-US"/>
        </w:rPr>
        <w:t xml:space="preserve">carry risks typical for </w:t>
      </w:r>
      <w:r w:rsidR="00E019E9">
        <w:rPr>
          <w:bCs/>
          <w:lang w:val="en-US"/>
        </w:rPr>
        <w:t xml:space="preserve">small-scale </w:t>
      </w:r>
      <w:r w:rsidRPr="00AB7D1E">
        <w:rPr>
          <w:bCs/>
          <w:lang w:val="en-US"/>
        </w:rPr>
        <w:t xml:space="preserve">construction works: operational health and safety and community safety risks, dust and noise emissions, traffic disruption, generation of large quantities of </w:t>
      </w:r>
      <w:r w:rsidRPr="00AB7D1E">
        <w:rPr>
          <w:bCs/>
          <w:lang w:val="en-US"/>
        </w:rPr>
        <w:lastRenderedPageBreak/>
        <w:t xml:space="preserve">construction waste, exposure of workers and building occupants to hazard materials (e.g. </w:t>
      </w:r>
      <w:r w:rsidR="000B194D" w:rsidRPr="00AB7D1E">
        <w:rPr>
          <w:bCs/>
          <w:lang w:val="en-US"/>
        </w:rPr>
        <w:t>waste paint and varnishes</w:t>
      </w:r>
      <w:r w:rsidRPr="00AB7D1E">
        <w:rPr>
          <w:bCs/>
          <w:lang w:val="en-US"/>
        </w:rPr>
        <w:t>); unsafe working conditions; and poor occupational health and safety practices. Expected impacts from these activities will be typical for</w:t>
      </w:r>
      <w:r w:rsidR="00772F92" w:rsidRPr="00AB7D1E">
        <w:rPr>
          <w:bCs/>
          <w:lang w:val="en-US"/>
        </w:rPr>
        <w:t xml:space="preserve"> </w:t>
      </w:r>
      <w:r w:rsidRPr="00AB7D1E">
        <w:rPr>
          <w:bCs/>
          <w:lang w:val="en-US"/>
        </w:rPr>
        <w:t xml:space="preserve">construction works, therefore mostly predictable and readily mitigated, localized, impacts that include, but are not limited </w:t>
      </w:r>
      <w:proofErr w:type="gramStart"/>
      <w:r w:rsidRPr="00AB7D1E">
        <w:rPr>
          <w:bCs/>
          <w:lang w:val="en-US"/>
        </w:rPr>
        <w:t>to:</w:t>
      </w:r>
      <w:proofErr w:type="gramEnd"/>
      <w:r w:rsidRPr="00AB7D1E">
        <w:rPr>
          <w:bCs/>
          <w:lang w:val="en-US"/>
        </w:rPr>
        <w:t xml:space="preserve"> emission or dust, emission of noise, waste water, construction waste and risks to workers (OHS). </w:t>
      </w:r>
    </w:p>
    <w:p w14:paraId="0B152EB3" w14:textId="162D43BA" w:rsidR="005420C8" w:rsidRPr="00AB7D1E" w:rsidRDefault="005420C8" w:rsidP="001144E7">
      <w:pPr>
        <w:spacing w:after="0" w:line="259" w:lineRule="auto"/>
        <w:rPr>
          <w:bCs/>
          <w:lang w:val="en-US"/>
        </w:rPr>
      </w:pPr>
      <w:r w:rsidRPr="00AB7D1E">
        <w:rPr>
          <w:bCs/>
          <w:lang w:val="en-US"/>
        </w:rPr>
        <w:t>No major adverse social impacts are expected under Component 2. Adequate measures will be taken ensur</w:t>
      </w:r>
      <w:r w:rsidR="00AD7DBC">
        <w:rPr>
          <w:bCs/>
          <w:lang w:val="en-US"/>
        </w:rPr>
        <w:t>ing</w:t>
      </w:r>
      <w:r w:rsidRPr="00AB7D1E">
        <w:rPr>
          <w:bCs/>
          <w:lang w:val="en-US"/>
        </w:rPr>
        <w:t xml:space="preserve"> that vulnerable groups have access to services. In the event of a public health outbreak, systems are in place to prepare risk communications materials focusing on </w:t>
      </w:r>
      <w:r w:rsidR="00AD7DBC" w:rsidRPr="00AB7D1E">
        <w:rPr>
          <w:bCs/>
          <w:lang w:val="en-US"/>
        </w:rPr>
        <w:t>behavioral</w:t>
      </w:r>
      <w:r w:rsidRPr="00AB7D1E">
        <w:rPr>
          <w:bCs/>
          <w:lang w:val="en-US"/>
        </w:rPr>
        <w:t xml:space="preserve"> and sociocultural risks and preventive measures, given the nature of the outbreak, using a variety of media such as broadcast media (television and radio), audiovisuals, and a toll-free call-in number. The provision of services and supplies will be based on the urgency of the need, in line with the latest data related to the prevalence of the relevant public health outbreak and the associated cases. In addition, the </w:t>
      </w:r>
      <w:proofErr w:type="spellStart"/>
      <w:r w:rsidRPr="00AB7D1E">
        <w:rPr>
          <w:bCs/>
          <w:lang w:val="en-US"/>
        </w:rPr>
        <w:t>MoH</w:t>
      </w:r>
      <w:proofErr w:type="spellEnd"/>
      <w:r w:rsidRPr="00AB7D1E">
        <w:rPr>
          <w:bCs/>
          <w:lang w:val="en-US"/>
        </w:rPr>
        <w:t xml:space="preserve"> will put in place adequate measures to ensure that the medical isolation of individuals does not increase their vulnerability, especially to gender-based violence and sexual exploitation and abuse. </w:t>
      </w:r>
    </w:p>
    <w:p w14:paraId="5CAAE043" w14:textId="46AD2FEA" w:rsidR="001144E7" w:rsidRPr="00AB7D1E" w:rsidRDefault="001144E7" w:rsidP="001144E7">
      <w:pPr>
        <w:spacing w:after="0" w:line="259" w:lineRule="auto"/>
        <w:rPr>
          <w:bCs/>
          <w:lang w:val="en-US"/>
        </w:rPr>
      </w:pPr>
      <w:r w:rsidRPr="00AB7D1E">
        <w:rPr>
          <w:bCs/>
          <w:lang w:val="en-US"/>
        </w:rPr>
        <w:t>No involuntary resettlement impacts are anticipated as all civil works will be carried out within their existing footprints and no resettlement, land acquisition, or permanent restrictions to access are expected.</w:t>
      </w:r>
    </w:p>
    <w:p w14:paraId="55346554" w14:textId="2F6DB264" w:rsidR="009927A3" w:rsidRPr="00AB7D1E" w:rsidRDefault="00DE3ADE" w:rsidP="009927A3">
      <w:pPr>
        <w:spacing w:after="0" w:line="259" w:lineRule="auto"/>
        <w:rPr>
          <w:bCs/>
          <w:lang w:val="en-US"/>
        </w:rPr>
      </w:pPr>
      <w:r w:rsidRPr="00AB7D1E">
        <w:rPr>
          <w:bCs/>
          <w:lang w:val="en-US"/>
        </w:rPr>
        <w:t>Within this standard the Borrower will prepare appropriate instruments to be used for specific sub-projects</w:t>
      </w:r>
      <w:r w:rsidR="00DF0EAE">
        <w:rPr>
          <w:bCs/>
          <w:lang w:val="en-US"/>
        </w:rPr>
        <w:t xml:space="preserve"> (most likely ESMP </w:t>
      </w:r>
      <w:r w:rsidR="00F978F2">
        <w:rPr>
          <w:bCs/>
          <w:lang w:val="en-US"/>
        </w:rPr>
        <w:t>Checklists</w:t>
      </w:r>
      <w:r w:rsidR="00EA6240">
        <w:rPr>
          <w:bCs/>
          <w:lang w:val="en-US"/>
        </w:rPr>
        <w:t xml:space="preserve"> template available in the</w:t>
      </w:r>
      <w:r w:rsidR="005D4417">
        <w:rPr>
          <w:bCs/>
          <w:lang w:val="en-US"/>
        </w:rPr>
        <w:t xml:space="preserve"> </w:t>
      </w:r>
      <w:r w:rsidR="005D4417">
        <w:rPr>
          <w:bCs/>
          <w:lang w:val="en-US"/>
        </w:rPr>
        <w:fldChar w:fldCharType="begin"/>
      </w:r>
      <w:r w:rsidR="005D4417">
        <w:rPr>
          <w:bCs/>
          <w:lang w:val="en-US"/>
        </w:rPr>
        <w:instrText xml:space="preserve"> REF _Ref56949676 \h </w:instrText>
      </w:r>
      <w:r w:rsidR="005D4417">
        <w:rPr>
          <w:bCs/>
          <w:lang w:val="en-US"/>
        </w:rPr>
      </w:r>
      <w:r w:rsidR="005D4417">
        <w:rPr>
          <w:bCs/>
          <w:lang w:val="en-US"/>
        </w:rPr>
        <w:fldChar w:fldCharType="separate"/>
      </w:r>
      <w:r w:rsidR="007D1E1B">
        <w:t xml:space="preserve">ANNEX </w:t>
      </w:r>
      <w:r w:rsidR="007D1E1B">
        <w:rPr>
          <w:noProof/>
        </w:rPr>
        <w:t>IX</w:t>
      </w:r>
      <w:r w:rsidR="005D4417">
        <w:rPr>
          <w:bCs/>
          <w:lang w:val="en-US"/>
        </w:rPr>
        <w:fldChar w:fldCharType="end"/>
      </w:r>
      <w:r w:rsidR="00F978F2">
        <w:rPr>
          <w:bCs/>
          <w:lang w:val="en-US"/>
        </w:rPr>
        <w:t xml:space="preserve">, </w:t>
      </w:r>
      <w:r w:rsidR="006F513B" w:rsidRPr="006F513B">
        <w:rPr>
          <w:bCs/>
          <w:lang w:val="en-US"/>
        </w:rPr>
        <w:t>Infectious Control and Waste Management Plan</w:t>
      </w:r>
      <w:r w:rsidR="006F513B">
        <w:rPr>
          <w:bCs/>
          <w:lang w:val="en-US"/>
        </w:rPr>
        <w:t xml:space="preserve"> </w:t>
      </w:r>
      <w:r w:rsidR="00EA6240">
        <w:rPr>
          <w:bCs/>
          <w:lang w:val="en-US"/>
        </w:rPr>
        <w:t>–</w:t>
      </w:r>
      <w:r w:rsidR="006F513B">
        <w:rPr>
          <w:bCs/>
          <w:lang w:val="en-US"/>
        </w:rPr>
        <w:t xml:space="preserve"> </w:t>
      </w:r>
      <w:r w:rsidR="00F978F2">
        <w:rPr>
          <w:bCs/>
          <w:lang w:val="en-US"/>
        </w:rPr>
        <w:t>template</w:t>
      </w:r>
      <w:r w:rsidR="00EA6240" w:rsidRPr="00EA6240">
        <w:rPr>
          <w:bCs/>
          <w:lang w:val="en-US"/>
        </w:rPr>
        <w:t xml:space="preserve"> </w:t>
      </w:r>
      <w:r w:rsidR="00EA6240">
        <w:rPr>
          <w:bCs/>
          <w:lang w:val="en-US"/>
        </w:rPr>
        <w:t>available in the</w:t>
      </w:r>
      <w:r w:rsidR="005D4417">
        <w:rPr>
          <w:bCs/>
          <w:lang w:val="en-US"/>
        </w:rPr>
        <w:t xml:space="preserve"> </w:t>
      </w:r>
      <w:r w:rsidR="005D4417">
        <w:rPr>
          <w:bCs/>
          <w:lang w:val="en-US"/>
        </w:rPr>
        <w:fldChar w:fldCharType="begin"/>
      </w:r>
      <w:r w:rsidR="005D4417">
        <w:rPr>
          <w:bCs/>
          <w:lang w:val="en-US"/>
        </w:rPr>
        <w:instrText xml:space="preserve"> REF _Ref56949693 \h </w:instrText>
      </w:r>
      <w:r w:rsidR="005D4417">
        <w:rPr>
          <w:bCs/>
          <w:lang w:val="en-US"/>
        </w:rPr>
      </w:r>
      <w:r w:rsidR="005D4417">
        <w:rPr>
          <w:bCs/>
          <w:lang w:val="en-US"/>
        </w:rPr>
        <w:fldChar w:fldCharType="separate"/>
      </w:r>
      <w:r w:rsidR="007D1E1B">
        <w:t xml:space="preserve">ANNEX </w:t>
      </w:r>
      <w:r w:rsidR="007D1E1B">
        <w:rPr>
          <w:noProof/>
        </w:rPr>
        <w:t>XI</w:t>
      </w:r>
      <w:r w:rsidR="005D4417">
        <w:rPr>
          <w:bCs/>
          <w:lang w:val="en-US"/>
        </w:rPr>
        <w:fldChar w:fldCharType="end"/>
      </w:r>
      <w:r w:rsidR="00DF0EAE">
        <w:rPr>
          <w:bCs/>
          <w:lang w:val="en-US"/>
        </w:rPr>
        <w:t>)</w:t>
      </w:r>
      <w:r w:rsidRPr="00AB7D1E">
        <w:rPr>
          <w:bCs/>
          <w:lang w:val="en-US"/>
        </w:rPr>
        <w:t>.</w:t>
      </w:r>
      <w:r w:rsidR="009927A3" w:rsidRPr="00AB7D1E">
        <w:rPr>
          <w:bCs/>
          <w:lang w:val="en-US"/>
        </w:rPr>
        <w:t xml:space="preserve"> Measures shall be implemented within specified timeframe and the status of implementation will be reviewed as part of project monitoring and reporting. </w:t>
      </w:r>
    </w:p>
    <w:p w14:paraId="6411E7F6" w14:textId="1E9B9E88" w:rsidR="009927A3" w:rsidRPr="00AB7D1E" w:rsidRDefault="009927A3" w:rsidP="009927A3">
      <w:pPr>
        <w:spacing w:after="0" w:line="259" w:lineRule="auto"/>
        <w:rPr>
          <w:bCs/>
          <w:lang w:val="en-US"/>
        </w:rPr>
      </w:pPr>
      <w:r w:rsidRPr="00AB7D1E">
        <w:rPr>
          <w:bCs/>
          <w:lang w:val="en-US"/>
        </w:rPr>
        <w:t>ESMF and site-specific environmental and social assessment documents (ESMPs and</w:t>
      </w:r>
      <w:r w:rsidR="00540936" w:rsidRPr="00AB7D1E">
        <w:rPr>
          <w:bCs/>
          <w:lang w:val="en-US"/>
        </w:rPr>
        <w:t>/or</w:t>
      </w:r>
      <w:r w:rsidRPr="00AB7D1E">
        <w:rPr>
          <w:bCs/>
          <w:lang w:val="en-US"/>
        </w:rPr>
        <w:t xml:space="preserve"> ESMP checklists) will be timely and appropriately disclosed and discussed with public. ESMF will include a template for the ICWMP to be adopted and implemented by all intensive care units (ICUs) and laboratories supported by the </w:t>
      </w:r>
      <w:r w:rsidR="00540936" w:rsidRPr="00AB7D1E">
        <w:rPr>
          <w:bCs/>
          <w:lang w:val="en-US"/>
        </w:rPr>
        <w:t>p</w:t>
      </w:r>
      <w:r w:rsidRPr="00AB7D1E">
        <w:rPr>
          <w:bCs/>
          <w:lang w:val="en-US"/>
        </w:rPr>
        <w:t>roject.</w:t>
      </w:r>
    </w:p>
    <w:p w14:paraId="16DADF74" w14:textId="77777777" w:rsidR="008F07ED" w:rsidRPr="00AB7D1E" w:rsidRDefault="001144E7" w:rsidP="001144E7">
      <w:pPr>
        <w:spacing w:after="0" w:line="259" w:lineRule="auto"/>
        <w:rPr>
          <w:bCs/>
          <w:lang w:val="en-US"/>
        </w:rPr>
      </w:pPr>
      <w:r w:rsidRPr="00AB7D1E">
        <w:rPr>
          <w:bCs/>
          <w:lang w:val="en-US"/>
        </w:rPr>
        <w:t xml:space="preserve">These site-specific documents will constitute an integral part of bidding documents for contractors. </w:t>
      </w:r>
    </w:p>
    <w:p w14:paraId="3A23B949" w14:textId="18F8576A" w:rsidR="009927A3" w:rsidRPr="00AB7D1E" w:rsidRDefault="009927A3" w:rsidP="009927A3">
      <w:pPr>
        <w:widowControl w:val="0"/>
        <w:autoSpaceDE w:val="0"/>
        <w:adjustRightInd w:val="0"/>
        <w:spacing w:before="0" w:after="0" w:line="240" w:lineRule="auto"/>
        <w:ind w:right="62"/>
        <w:rPr>
          <w:lang w:val="en-US"/>
        </w:rPr>
      </w:pPr>
      <w:r w:rsidRPr="00AB7D1E">
        <w:rPr>
          <w:lang w:val="en-US"/>
        </w:rPr>
        <w:t xml:space="preserve">Detail information on necessary instruments/documents, resulting from environmental and social screening impacts, are presented in Chapter </w:t>
      </w:r>
      <w:r w:rsidR="00BD2692" w:rsidRPr="00AB7D1E">
        <w:rPr>
          <w:lang w:val="en-US"/>
        </w:rPr>
        <w:fldChar w:fldCharType="begin"/>
      </w:r>
      <w:r w:rsidR="00BD2692" w:rsidRPr="00AB7D1E">
        <w:rPr>
          <w:lang w:val="en-US"/>
        </w:rPr>
        <w:instrText xml:space="preserve"> REF _Ref48575009 \r \h  \* MERGEFORMAT </w:instrText>
      </w:r>
      <w:r w:rsidR="00BD2692" w:rsidRPr="00AB7D1E">
        <w:rPr>
          <w:lang w:val="en-US"/>
        </w:rPr>
      </w:r>
      <w:r w:rsidR="00BD2692" w:rsidRPr="00AB7D1E">
        <w:rPr>
          <w:lang w:val="en-US"/>
        </w:rPr>
        <w:fldChar w:fldCharType="separate"/>
      </w:r>
      <w:r w:rsidR="007D1E1B">
        <w:rPr>
          <w:lang w:val="en-US"/>
        </w:rPr>
        <w:t>8.1.1</w:t>
      </w:r>
      <w:r w:rsidR="00BD2692" w:rsidRPr="00AB7D1E">
        <w:rPr>
          <w:lang w:val="en-US"/>
        </w:rPr>
        <w:fldChar w:fldCharType="end"/>
      </w:r>
      <w:r w:rsidRPr="00AB7D1E">
        <w:rPr>
          <w:lang w:val="en-US"/>
        </w:rPr>
        <w:t>.</w:t>
      </w:r>
    </w:p>
    <w:p w14:paraId="04CCE48B" w14:textId="319E283D" w:rsidR="009927A3" w:rsidRPr="00AB7D1E" w:rsidRDefault="00DD5C58" w:rsidP="009927A3">
      <w:pPr>
        <w:spacing w:after="0" w:line="259" w:lineRule="auto"/>
        <w:rPr>
          <w:bCs/>
          <w:lang w:val="en-US"/>
        </w:rPr>
      </w:pPr>
      <w:r w:rsidRPr="00AB7D1E">
        <w:rPr>
          <w:lang w:val="en-US"/>
        </w:rPr>
        <w:t>Draft version</w:t>
      </w:r>
      <w:r w:rsidR="00ED29F1" w:rsidRPr="00AB7D1E">
        <w:rPr>
          <w:lang w:val="en-US"/>
        </w:rPr>
        <w:t>s</w:t>
      </w:r>
      <w:r w:rsidRPr="00AB7D1E">
        <w:rPr>
          <w:lang w:val="en-US"/>
        </w:rPr>
        <w:t xml:space="preserve"> of </w:t>
      </w:r>
      <w:r w:rsidR="00ED29F1" w:rsidRPr="00AB7D1E">
        <w:rPr>
          <w:lang w:val="en-US"/>
        </w:rPr>
        <w:t xml:space="preserve">the </w:t>
      </w:r>
      <w:r w:rsidRPr="00AB7D1E">
        <w:rPr>
          <w:lang w:val="en-US"/>
        </w:rPr>
        <w:t xml:space="preserve">ESCP </w:t>
      </w:r>
      <w:r w:rsidR="00540936" w:rsidRPr="00AB7D1E">
        <w:rPr>
          <w:lang w:val="en-US"/>
        </w:rPr>
        <w:t xml:space="preserve">and </w:t>
      </w:r>
      <w:r w:rsidRPr="00AB7D1E">
        <w:rPr>
          <w:lang w:val="en-US"/>
        </w:rPr>
        <w:t xml:space="preserve">is prepared and will be further developed in parallel </w:t>
      </w:r>
      <w:r w:rsidR="00ED29F1" w:rsidRPr="00AB7D1E">
        <w:rPr>
          <w:lang w:val="en-US"/>
        </w:rPr>
        <w:t>with</w:t>
      </w:r>
      <w:r w:rsidRPr="00AB7D1E">
        <w:rPr>
          <w:lang w:val="en-US"/>
        </w:rPr>
        <w:t xml:space="preserve"> the ESMF</w:t>
      </w:r>
      <w:r w:rsidR="00ED29F1" w:rsidRPr="00AB7D1E">
        <w:rPr>
          <w:lang w:val="en-US"/>
        </w:rPr>
        <w:t xml:space="preserve"> development.</w:t>
      </w:r>
    </w:p>
    <w:p w14:paraId="0BB05135" w14:textId="582A54BB" w:rsidR="00EE60DA" w:rsidRPr="00AB7D1E" w:rsidRDefault="00EE60DA" w:rsidP="00772F92">
      <w:pPr>
        <w:pStyle w:val="Heading2"/>
        <w:rPr>
          <w:lang w:val="en-US"/>
        </w:rPr>
      </w:pPr>
      <w:bookmarkStart w:id="142" w:name="_Toc56954063"/>
      <w:r w:rsidRPr="00AB7D1E">
        <w:rPr>
          <w:lang w:val="en-US"/>
        </w:rPr>
        <w:t>ESS2</w:t>
      </w:r>
      <w:r w:rsidR="00772F92" w:rsidRPr="00AB7D1E">
        <w:rPr>
          <w:lang w:val="en-US"/>
        </w:rPr>
        <w:t xml:space="preserve"> </w:t>
      </w:r>
      <w:r w:rsidRPr="00AB7D1E">
        <w:rPr>
          <w:lang w:val="en-US"/>
        </w:rPr>
        <w:t>Labor and Working Conditions</w:t>
      </w:r>
      <w:bookmarkEnd w:id="142"/>
    </w:p>
    <w:p w14:paraId="06282776" w14:textId="4861272F" w:rsidR="00EE60DA" w:rsidRPr="00AB7D1E" w:rsidRDefault="00772F92" w:rsidP="00EE60DA">
      <w:pPr>
        <w:rPr>
          <w:lang w:val="en-US"/>
        </w:rPr>
      </w:pPr>
      <w:r w:rsidRPr="00AB7D1E">
        <w:rPr>
          <w:noProof/>
          <w:lang w:val="en-US" w:eastAsia="hr-HR"/>
        </w:rPr>
        <w:drawing>
          <wp:anchor distT="0" distB="0" distL="114300" distR="114300" simplePos="0" relativeHeight="251663360" behindDoc="0" locked="0" layoutInCell="1" allowOverlap="1" wp14:anchorId="2A246AAF" wp14:editId="4027CCEF">
            <wp:simplePos x="0" y="0"/>
            <wp:positionH relativeFrom="margin">
              <wp:align>right</wp:align>
            </wp:positionH>
            <wp:positionV relativeFrom="paragraph">
              <wp:posOffset>222250</wp:posOffset>
            </wp:positionV>
            <wp:extent cx="1681200" cy="939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1200" cy="939600"/>
                    </a:xfrm>
                    <a:prstGeom prst="rect">
                      <a:avLst/>
                    </a:prstGeom>
                    <a:noFill/>
                  </pic:spPr>
                </pic:pic>
              </a:graphicData>
            </a:graphic>
            <wp14:sizeRelH relativeFrom="page">
              <wp14:pctWidth>0</wp14:pctWidth>
            </wp14:sizeRelH>
            <wp14:sizeRelV relativeFrom="page">
              <wp14:pctHeight>0</wp14:pctHeight>
            </wp14:sizeRelV>
          </wp:anchor>
        </w:drawing>
      </w:r>
      <w:r w:rsidR="001144E7" w:rsidRPr="00AB7D1E">
        <w:rPr>
          <w:lang w:val="en-US"/>
        </w:rPr>
        <w:t xml:space="preserve">Labor and working conditions or </w:t>
      </w:r>
      <w:r w:rsidR="00EE60DA" w:rsidRPr="00AB7D1E">
        <w:rPr>
          <w:b/>
          <w:bCs/>
          <w:lang w:val="en-US"/>
        </w:rPr>
        <w:t xml:space="preserve">ESS2 </w:t>
      </w:r>
      <w:proofErr w:type="gramStart"/>
      <w:r w:rsidR="00EE60DA" w:rsidRPr="00AB7D1E">
        <w:rPr>
          <w:lang w:val="en-US"/>
        </w:rPr>
        <w:t>recognizes</w:t>
      </w:r>
      <w:proofErr w:type="gramEnd"/>
      <w:r w:rsidR="00EE60DA" w:rsidRPr="00AB7D1E">
        <w:rPr>
          <w:lang w:val="en-US"/>
        </w:rPr>
        <w:t xml:space="preserve"> the importance of employment creation and income generation in the pursuit of poverty reduction and inclusive economic growth. Borrowers can promote sound worker management relationships and enhance the development benefits of a project by treating workers in the project fairly and providing safe and healthy working conditions.</w:t>
      </w:r>
      <w:r w:rsidRPr="00AB7D1E">
        <w:rPr>
          <w:lang w:val="en-US"/>
        </w:rPr>
        <w:t xml:space="preserve"> </w:t>
      </w:r>
    </w:p>
    <w:p w14:paraId="4D7E9F1A" w14:textId="3A620672" w:rsidR="00EE60DA" w:rsidRPr="00AB7D1E" w:rsidRDefault="00EE60DA" w:rsidP="00EE60DA">
      <w:pPr>
        <w:rPr>
          <w:lang w:val="en-US"/>
        </w:rPr>
      </w:pPr>
      <w:r w:rsidRPr="00AB7D1E">
        <w:rPr>
          <w:b/>
          <w:bCs/>
          <w:lang w:val="en-US"/>
        </w:rPr>
        <w:t xml:space="preserve">Main objectives of this standard are following: to promote safety and health at work; to promote the fair treatment, non-discrimination and equal opportunity of project workers; to protect project workers, including vulnerable workers such as women, persons with disabilities, children (working age) and migrant workers, contracted workers, community workers and primary supply workers, as appropriate; to prevent the use of all forms of forced labor and child labor; to support the principles </w:t>
      </w:r>
      <w:r w:rsidRPr="00AB7D1E">
        <w:rPr>
          <w:b/>
          <w:bCs/>
          <w:lang w:val="en-US"/>
        </w:rPr>
        <w:lastRenderedPageBreak/>
        <w:t>of freedom of association and collective bargaining of project workers in a manner consistent with national law;</w:t>
      </w:r>
      <w:r w:rsidRPr="00AB7D1E">
        <w:rPr>
          <w:lang w:val="en-US"/>
        </w:rPr>
        <w:t xml:space="preserve"> </w:t>
      </w:r>
      <w:r w:rsidRPr="00AB7D1E">
        <w:rPr>
          <w:b/>
          <w:lang w:val="en-US"/>
        </w:rPr>
        <w:t>to provide project workers with accessible means to raise workplace concerns.</w:t>
      </w:r>
      <w:r w:rsidRPr="00AB7D1E">
        <w:rPr>
          <w:lang w:val="en-US"/>
        </w:rPr>
        <w:t xml:space="preserve"> </w:t>
      </w:r>
    </w:p>
    <w:p w14:paraId="0DAA7BFE" w14:textId="77777777" w:rsidR="00EE60DA" w:rsidRPr="00AB7D1E" w:rsidRDefault="00EE60DA" w:rsidP="00EE60DA">
      <w:pPr>
        <w:rPr>
          <w:lang w:val="en-US"/>
        </w:rPr>
      </w:pPr>
      <w:r w:rsidRPr="00AB7D1E">
        <w:rPr>
          <w:lang w:val="en-US"/>
        </w:rPr>
        <w:t xml:space="preserve">Measures relating to OHS are aimed at protecting project workers from injury, illness, or impacts associated with exposure to hazards encountered in the workplace or while working. Such measures </w:t>
      </w:r>
      <w:proofErr w:type="gramStart"/>
      <w:r w:rsidRPr="00AB7D1E">
        <w:rPr>
          <w:lang w:val="en-US"/>
        </w:rPr>
        <w:t>take into account</w:t>
      </w:r>
      <w:proofErr w:type="gramEnd"/>
      <w:r w:rsidRPr="00AB7D1E">
        <w:rPr>
          <w:lang w:val="en-US"/>
        </w:rPr>
        <w:t xml:space="preserve"> the requirements of ESS2 and national law requirements on OHS and workplace conditions as they apply to the project. Appropriate OHS measures are incorporated into the design and implementation of the project to prevent and protect workers from occupational injuries and illness.</w:t>
      </w:r>
    </w:p>
    <w:p w14:paraId="52EC13FC" w14:textId="79911667" w:rsidR="001E2DEC" w:rsidRPr="00AB7D1E" w:rsidRDefault="00772F92" w:rsidP="001144E7">
      <w:pPr>
        <w:rPr>
          <w:lang w:val="en-US"/>
        </w:rPr>
      </w:pPr>
      <w:r w:rsidRPr="00AB7D1E">
        <w:rPr>
          <w:b/>
          <w:bCs/>
          <w:lang w:val="en-US"/>
        </w:rPr>
        <w:t xml:space="preserve">This Standard is relevant to the </w:t>
      </w:r>
      <w:r w:rsidR="00CB2A59">
        <w:rPr>
          <w:b/>
          <w:bCs/>
          <w:lang w:val="en-US"/>
        </w:rPr>
        <w:t>overall P</w:t>
      </w:r>
      <w:r w:rsidRPr="00AB7D1E">
        <w:rPr>
          <w:b/>
          <w:bCs/>
          <w:lang w:val="en-US"/>
        </w:rPr>
        <w:t>roject</w:t>
      </w:r>
      <w:r w:rsidR="00A70D22">
        <w:rPr>
          <w:lang w:val="en-US"/>
        </w:rPr>
        <w:t xml:space="preserve"> </w:t>
      </w:r>
      <w:r w:rsidR="00A70D22" w:rsidRPr="00A70D22">
        <w:rPr>
          <w:lang w:val="en-US"/>
        </w:rPr>
        <w:t>and for the Component 2, subject of this ESMF.</w:t>
      </w:r>
    </w:p>
    <w:p w14:paraId="15C67241" w14:textId="67E7ABAA" w:rsidR="001E2DEC" w:rsidRPr="00AB7D1E" w:rsidRDefault="001144E7" w:rsidP="001144E7">
      <w:pPr>
        <w:rPr>
          <w:lang w:val="en-US"/>
        </w:rPr>
      </w:pPr>
      <w:r w:rsidRPr="00AB7D1E">
        <w:rPr>
          <w:lang w:val="en-US"/>
        </w:rPr>
        <w:t xml:space="preserve">Under Component </w:t>
      </w:r>
      <w:r w:rsidR="000015D9" w:rsidRPr="00AB7D1E">
        <w:rPr>
          <w:lang w:val="en-US"/>
        </w:rPr>
        <w:t>2</w:t>
      </w:r>
      <w:r w:rsidRPr="00AB7D1E">
        <w:rPr>
          <w:lang w:val="en-US"/>
        </w:rPr>
        <w:t xml:space="preserve"> activities, the project footprint is relatively small and does not entail a significant amount of labor as the</w:t>
      </w:r>
      <w:r w:rsidR="004F067C" w:rsidRPr="00AB7D1E">
        <w:rPr>
          <w:lang w:val="en-US"/>
        </w:rPr>
        <w:t xml:space="preserve"> repair and</w:t>
      </w:r>
      <w:r w:rsidRPr="00AB7D1E">
        <w:rPr>
          <w:lang w:val="en-US"/>
        </w:rPr>
        <w:t xml:space="preserve"> rehabilitation works are expected to be small to medium scale. </w:t>
      </w:r>
    </w:p>
    <w:p w14:paraId="20584262" w14:textId="4E1566BA" w:rsidR="001144E7" w:rsidRPr="00AB7D1E" w:rsidRDefault="001144E7" w:rsidP="001144E7">
      <w:pPr>
        <w:rPr>
          <w:lang w:val="en-US"/>
        </w:rPr>
      </w:pPr>
      <w:r w:rsidRPr="00AB7D1E">
        <w:rPr>
          <w:lang w:val="en-US"/>
        </w:rPr>
        <w:t xml:space="preserve">Project workers will include direct workers including </w:t>
      </w:r>
      <w:proofErr w:type="spellStart"/>
      <w:r w:rsidR="000015D9" w:rsidRPr="00AB7D1E">
        <w:rPr>
          <w:lang w:val="en-US"/>
        </w:rPr>
        <w:t>MoH</w:t>
      </w:r>
      <w:proofErr w:type="spellEnd"/>
      <w:r w:rsidRPr="00AB7D1E">
        <w:rPr>
          <w:lang w:val="en-US"/>
        </w:rPr>
        <w:t xml:space="preserve"> </w:t>
      </w:r>
      <w:r w:rsidR="009927A3" w:rsidRPr="00AB7D1E">
        <w:rPr>
          <w:lang w:val="en-US"/>
        </w:rPr>
        <w:t xml:space="preserve">and </w:t>
      </w:r>
      <w:proofErr w:type="spellStart"/>
      <w:r w:rsidR="00A41B38" w:rsidRPr="00AB7D1E">
        <w:rPr>
          <w:lang w:val="en-US"/>
        </w:rPr>
        <w:t>MoPP</w:t>
      </w:r>
      <w:r w:rsidR="009927A3" w:rsidRPr="00AB7D1E">
        <w:rPr>
          <w:lang w:val="en-US"/>
        </w:rPr>
        <w:t>C</w:t>
      </w:r>
      <w:r w:rsidR="00A41B38" w:rsidRPr="00AB7D1E">
        <w:rPr>
          <w:lang w:val="en-US"/>
        </w:rPr>
        <w:t>S</w:t>
      </w:r>
      <w:r w:rsidR="002E7597">
        <w:rPr>
          <w:lang w:val="en-US"/>
        </w:rPr>
        <w:t>A</w:t>
      </w:r>
      <w:proofErr w:type="spellEnd"/>
      <w:r w:rsidR="00A41B38" w:rsidRPr="00AB7D1E">
        <w:rPr>
          <w:lang w:val="en-US"/>
        </w:rPr>
        <w:t xml:space="preserve"> </w:t>
      </w:r>
      <w:r w:rsidRPr="00AB7D1E">
        <w:rPr>
          <w:lang w:val="en-US"/>
        </w:rPr>
        <w:t xml:space="preserve">staff who will be a mix of civil servants and consultants and contracted workers including employees of the contractors and their subcontractors. </w:t>
      </w:r>
    </w:p>
    <w:p w14:paraId="516A446C" w14:textId="5C8BBD7C" w:rsidR="0046332B" w:rsidRPr="00AB7D1E" w:rsidRDefault="0046332B" w:rsidP="001144E7">
      <w:pPr>
        <w:rPr>
          <w:lang w:val="en-US"/>
        </w:rPr>
      </w:pPr>
      <w:r w:rsidRPr="00AB7D1E">
        <w:rPr>
          <w:lang w:val="en-US"/>
        </w:rPr>
        <w:t>Primary supply workers are those that work for companies involved in the provision of medical supplies</w:t>
      </w:r>
      <w:r w:rsidR="00D94442" w:rsidRPr="00AB7D1E">
        <w:rPr>
          <w:lang w:val="en-US"/>
        </w:rPr>
        <w:t xml:space="preserve"> and </w:t>
      </w:r>
      <w:r w:rsidR="004F067C" w:rsidRPr="00AB7D1E">
        <w:rPr>
          <w:lang w:val="en-US"/>
        </w:rPr>
        <w:t>equipment</w:t>
      </w:r>
      <w:r w:rsidRPr="00AB7D1E">
        <w:rPr>
          <w:lang w:val="en-US"/>
        </w:rPr>
        <w:t>, PPE, chemicals, reagents etc. Workers in health care facilities, including those managing medical waste are particularly vulnerable to contagions like COVID-19.</w:t>
      </w:r>
    </w:p>
    <w:p w14:paraId="74F766E4" w14:textId="4621A16D" w:rsidR="001144E7" w:rsidRPr="00AB7D1E" w:rsidRDefault="001144E7" w:rsidP="001144E7">
      <w:pPr>
        <w:rPr>
          <w:lang w:val="en-US"/>
        </w:rPr>
      </w:pPr>
      <w:r w:rsidRPr="00AB7D1E">
        <w:rPr>
          <w:lang w:val="en-US"/>
        </w:rPr>
        <w:t>Project activities will not require hiring of community workers. Most of the labor will be locally hired so there will be no labor camps or foreign labor.</w:t>
      </w:r>
    </w:p>
    <w:p w14:paraId="133AAB04" w14:textId="4876CC8B" w:rsidR="0046332B" w:rsidRPr="00AB7D1E" w:rsidRDefault="0046332B" w:rsidP="0046332B">
      <w:pPr>
        <w:rPr>
          <w:lang w:val="en-US"/>
        </w:rPr>
      </w:pPr>
      <w:r w:rsidRPr="00AB7D1E">
        <w:rPr>
          <w:lang w:val="en-US"/>
        </w:rPr>
        <w:t xml:space="preserve">The project design incorporates measures to strengthen the protection of health care workers from risks of COVID-19 infection through training on appropriate use of PPE, improved medical waste management, surveillance and prevention of the spread of infections within healthcare facilities, and distribution of PPE according to </w:t>
      </w:r>
      <w:r w:rsidR="004F067C" w:rsidRPr="00AB7D1E">
        <w:rPr>
          <w:lang w:val="en-US"/>
        </w:rPr>
        <w:t xml:space="preserve">WB, </w:t>
      </w:r>
      <w:r w:rsidRPr="00AB7D1E">
        <w:rPr>
          <w:lang w:val="en-US"/>
        </w:rPr>
        <w:t xml:space="preserve">WHO </w:t>
      </w:r>
      <w:r w:rsidR="004F067C" w:rsidRPr="00AB7D1E">
        <w:rPr>
          <w:lang w:val="en-US"/>
        </w:rPr>
        <w:t xml:space="preserve">and national </w:t>
      </w:r>
      <w:r w:rsidRPr="00AB7D1E">
        <w:rPr>
          <w:lang w:val="en-US"/>
        </w:rPr>
        <w:t>guidelines.</w:t>
      </w:r>
    </w:p>
    <w:p w14:paraId="3AE7756D" w14:textId="603D9C20" w:rsidR="00A27278" w:rsidRPr="00AB7D1E" w:rsidRDefault="0046332B" w:rsidP="001144E7">
      <w:pPr>
        <w:rPr>
          <w:bCs/>
          <w:lang w:val="en-US"/>
        </w:rPr>
      </w:pPr>
      <w:r w:rsidRPr="00AB7D1E">
        <w:rPr>
          <w:lang w:val="en-US"/>
        </w:rPr>
        <w:t>ESMF</w:t>
      </w:r>
      <w:r w:rsidR="009927A3" w:rsidRPr="00AB7D1E">
        <w:rPr>
          <w:lang w:val="en-US"/>
        </w:rPr>
        <w:t xml:space="preserve"> </w:t>
      </w:r>
      <w:r w:rsidRPr="00AB7D1E">
        <w:rPr>
          <w:lang w:val="en-US"/>
        </w:rPr>
        <w:t>include</w:t>
      </w:r>
      <w:r w:rsidR="009927A3" w:rsidRPr="00AB7D1E">
        <w:rPr>
          <w:lang w:val="en-US"/>
        </w:rPr>
        <w:t>s</w:t>
      </w:r>
      <w:r w:rsidRPr="00AB7D1E">
        <w:rPr>
          <w:lang w:val="en-US"/>
        </w:rPr>
        <w:t xml:space="preserve"> a template for the ICWMP.</w:t>
      </w:r>
    </w:p>
    <w:p w14:paraId="096B7DFF" w14:textId="311DE06E" w:rsidR="00EE60DA" w:rsidRPr="00AB7D1E" w:rsidRDefault="00EE60DA" w:rsidP="00772F92">
      <w:pPr>
        <w:pStyle w:val="Heading2"/>
        <w:rPr>
          <w:lang w:val="en-US"/>
        </w:rPr>
      </w:pPr>
      <w:bookmarkStart w:id="143" w:name="_Toc56954064"/>
      <w:r w:rsidRPr="00AB7D1E">
        <w:rPr>
          <w:lang w:val="en-US"/>
        </w:rPr>
        <w:t>ESS3</w:t>
      </w:r>
      <w:r w:rsidR="00772F92" w:rsidRPr="00AB7D1E">
        <w:rPr>
          <w:lang w:val="en-US"/>
        </w:rPr>
        <w:t xml:space="preserve"> </w:t>
      </w:r>
      <w:r w:rsidRPr="00AB7D1E">
        <w:rPr>
          <w:lang w:val="en-US"/>
        </w:rPr>
        <w:t>Resource Efficiency and Pollution Prevention and Management</w:t>
      </w:r>
      <w:bookmarkEnd w:id="143"/>
    </w:p>
    <w:p w14:paraId="7BCD604C" w14:textId="64A74FD3" w:rsidR="00EE60DA" w:rsidRPr="00AB7D1E" w:rsidRDefault="001144E7" w:rsidP="001144E7">
      <w:pPr>
        <w:rPr>
          <w:lang w:val="en-US"/>
        </w:rPr>
      </w:pPr>
      <w:r w:rsidRPr="00AB7D1E">
        <w:rPr>
          <w:b/>
          <w:bCs/>
          <w:noProof/>
          <w:lang w:val="en-US" w:eastAsia="hr-HR"/>
        </w:rPr>
        <w:drawing>
          <wp:anchor distT="0" distB="0" distL="114300" distR="114300" simplePos="0" relativeHeight="251662336" behindDoc="0" locked="0" layoutInCell="1" allowOverlap="1" wp14:anchorId="1FEF2D14" wp14:editId="5CB58320">
            <wp:simplePos x="0" y="0"/>
            <wp:positionH relativeFrom="margin">
              <wp:align>right</wp:align>
            </wp:positionH>
            <wp:positionV relativeFrom="paragraph">
              <wp:posOffset>80010</wp:posOffset>
            </wp:positionV>
            <wp:extent cx="1681200" cy="946800"/>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1200" cy="946800"/>
                    </a:xfrm>
                    <a:prstGeom prst="rect">
                      <a:avLst/>
                    </a:prstGeom>
                    <a:noFill/>
                  </pic:spPr>
                </pic:pic>
              </a:graphicData>
            </a:graphic>
            <wp14:sizeRelH relativeFrom="page">
              <wp14:pctWidth>0</wp14:pctWidth>
            </wp14:sizeRelH>
            <wp14:sizeRelV relativeFrom="page">
              <wp14:pctHeight>0</wp14:pctHeight>
            </wp14:sizeRelV>
          </wp:anchor>
        </w:drawing>
      </w:r>
      <w:r w:rsidR="00EE60DA" w:rsidRPr="00AB7D1E">
        <w:rPr>
          <w:b/>
          <w:bCs/>
          <w:lang w:val="en-US"/>
        </w:rPr>
        <w:t xml:space="preserve">ESS3 </w:t>
      </w:r>
      <w:r w:rsidR="00EE60DA" w:rsidRPr="00AB7D1E">
        <w:rPr>
          <w:lang w:val="en-US"/>
        </w:rPr>
        <w:t>recognizes that economic activity and urbanization often generate pollution</w:t>
      </w:r>
      <w:r w:rsidR="00EE60DA" w:rsidRPr="00AB7D1E">
        <w:rPr>
          <w:vertAlign w:val="superscript"/>
          <w:lang w:val="en-US"/>
        </w:rPr>
        <w:footnoteReference w:id="103"/>
      </w:r>
      <w:r w:rsidR="00EE60DA" w:rsidRPr="00AB7D1E">
        <w:rPr>
          <w:lang w:val="en-US"/>
        </w:rPr>
        <w:t xml:space="preserve"> to air, water, and land, and consume finite resources that may threaten people, ecosystem services and the environment at the local, regional, and global levels. It sets out the requirements to address resource efficiency and pollution prevention and management throughout the project life cycle. </w:t>
      </w:r>
    </w:p>
    <w:p w14:paraId="10F43A73" w14:textId="77777777" w:rsidR="00EE60DA" w:rsidRPr="00AB7D1E" w:rsidRDefault="00EE60DA" w:rsidP="001144E7">
      <w:pPr>
        <w:rPr>
          <w:lang w:val="en-US"/>
        </w:rPr>
      </w:pPr>
      <w:r w:rsidRPr="00AB7D1E">
        <w:rPr>
          <w:lang w:val="en-US"/>
        </w:rPr>
        <w:t>In this ESS, “pollution management” includes measures designed to avoid or minimize emissions of pollutants, including short- and long-lived climate pollutants, measures which tend to encourage reduction in energy and raw material use, as well as emissions of local pollutants.</w:t>
      </w:r>
    </w:p>
    <w:p w14:paraId="0473048E" w14:textId="77777777" w:rsidR="00EE60DA" w:rsidRPr="00AB7D1E" w:rsidRDefault="00EE60DA" w:rsidP="00EE60DA">
      <w:pPr>
        <w:rPr>
          <w:b/>
          <w:bCs/>
          <w:lang w:val="en-US"/>
        </w:rPr>
      </w:pPr>
      <w:r w:rsidRPr="00AB7D1E">
        <w:rPr>
          <w:b/>
          <w:bCs/>
          <w:lang w:val="en-US"/>
        </w:rPr>
        <w:t xml:space="preserve">Main objectives of this standard are: </w:t>
      </w:r>
      <w:r w:rsidRPr="00AB7D1E">
        <w:rPr>
          <w:b/>
          <w:lang w:val="en-US"/>
        </w:rPr>
        <w:t>to promote the sustainable use of resources, including energy, water and raw materials</w:t>
      </w:r>
      <w:r w:rsidRPr="00AB7D1E">
        <w:rPr>
          <w:lang w:val="en-US"/>
        </w:rPr>
        <w:t xml:space="preserve">; </w:t>
      </w:r>
      <w:r w:rsidRPr="00AB7D1E">
        <w:rPr>
          <w:b/>
          <w:lang w:val="en-US"/>
        </w:rPr>
        <w:t>to avoid or minimize adverse impacts on human health and the environment by avoiding or minimizing pollution from project activities</w:t>
      </w:r>
      <w:r w:rsidRPr="00AB7D1E">
        <w:rPr>
          <w:lang w:val="en-US"/>
        </w:rPr>
        <w:t xml:space="preserve">; </w:t>
      </w:r>
      <w:r w:rsidRPr="00AB7D1E">
        <w:rPr>
          <w:b/>
          <w:lang w:val="en-US"/>
        </w:rPr>
        <w:t>to</w:t>
      </w:r>
      <w:r w:rsidRPr="00AB7D1E">
        <w:rPr>
          <w:lang w:val="en-US"/>
        </w:rPr>
        <w:t xml:space="preserve"> </w:t>
      </w:r>
      <w:r w:rsidRPr="00AB7D1E">
        <w:rPr>
          <w:b/>
          <w:lang w:val="en-US"/>
        </w:rPr>
        <w:t>avoid or minimize project-related emissions of short and long-lived climate pollutants</w:t>
      </w:r>
      <w:r w:rsidRPr="00AB7D1E">
        <w:rPr>
          <w:lang w:val="en-US"/>
        </w:rPr>
        <w:t xml:space="preserve">; </w:t>
      </w:r>
      <w:r w:rsidRPr="00AB7D1E">
        <w:rPr>
          <w:b/>
          <w:lang w:val="en-US"/>
        </w:rPr>
        <w:t xml:space="preserve">to avoid or minimize generation </w:t>
      </w:r>
      <w:r w:rsidRPr="00AB7D1E">
        <w:rPr>
          <w:b/>
          <w:lang w:val="en-US"/>
        </w:rPr>
        <w:lastRenderedPageBreak/>
        <w:t>of hazardous and non-hazardous waste;</w:t>
      </w:r>
      <w:r w:rsidRPr="00AB7D1E">
        <w:rPr>
          <w:lang w:val="en-US"/>
        </w:rPr>
        <w:t xml:space="preserve"> </w:t>
      </w:r>
      <w:r w:rsidRPr="00AB7D1E">
        <w:rPr>
          <w:b/>
          <w:bCs/>
          <w:lang w:val="en-US"/>
        </w:rPr>
        <w:t xml:space="preserve">to minimize and manage the risks and impacts associated with pesticide use. </w:t>
      </w:r>
    </w:p>
    <w:p w14:paraId="4B826698" w14:textId="7B1005B1" w:rsidR="00EE60DA" w:rsidRPr="00AB7D1E" w:rsidRDefault="00EE60DA" w:rsidP="00EE60DA">
      <w:pPr>
        <w:rPr>
          <w:lang w:val="en-US"/>
        </w:rPr>
      </w:pPr>
      <w:r w:rsidRPr="00AB7D1E">
        <w:rPr>
          <w:lang w:val="en-US"/>
        </w:rPr>
        <w:t>To meet the above mentioned objectives the Borrower should conduct management procedures and implement measures regarding: resource efficiency, energy use, water use, raw material use, pollution prevention and management, management of air pollution, management of hazardous and non-hazardous wastes, management of chemicals and hazardous materials according to the requirements and conditions of ESS3.</w:t>
      </w:r>
    </w:p>
    <w:p w14:paraId="3C458AE3" w14:textId="39EBD3A5" w:rsidR="00A8023B" w:rsidRPr="00AB7D1E" w:rsidRDefault="00066CA2" w:rsidP="00066CA2">
      <w:pPr>
        <w:spacing w:before="0" w:after="160" w:line="256" w:lineRule="auto"/>
        <w:rPr>
          <w:b/>
          <w:bCs/>
          <w:lang w:val="en-US"/>
        </w:rPr>
      </w:pPr>
      <w:r w:rsidRPr="00AB7D1E">
        <w:rPr>
          <w:b/>
          <w:bCs/>
          <w:lang w:val="en-US"/>
        </w:rPr>
        <w:t>This Standard is relevant to the</w:t>
      </w:r>
      <w:r w:rsidR="00CB2A59">
        <w:rPr>
          <w:b/>
          <w:bCs/>
          <w:lang w:val="en-US"/>
        </w:rPr>
        <w:t xml:space="preserve"> overall</w:t>
      </w:r>
      <w:r w:rsidRPr="00AB7D1E">
        <w:rPr>
          <w:b/>
          <w:bCs/>
          <w:lang w:val="en-US"/>
        </w:rPr>
        <w:t xml:space="preserve"> </w:t>
      </w:r>
      <w:r w:rsidR="00CB2A59">
        <w:rPr>
          <w:b/>
          <w:bCs/>
          <w:lang w:val="en-US"/>
        </w:rPr>
        <w:t>P</w:t>
      </w:r>
      <w:r w:rsidRPr="00AB7D1E">
        <w:rPr>
          <w:b/>
          <w:bCs/>
          <w:lang w:val="en-US"/>
        </w:rPr>
        <w:t>roject</w:t>
      </w:r>
      <w:r w:rsidR="00A70D22">
        <w:rPr>
          <w:b/>
          <w:bCs/>
          <w:lang w:val="en-US"/>
        </w:rPr>
        <w:t xml:space="preserve"> </w:t>
      </w:r>
      <w:r w:rsidR="00A70D22" w:rsidRPr="00A70D22">
        <w:rPr>
          <w:b/>
          <w:bCs/>
          <w:lang w:val="en-US"/>
        </w:rPr>
        <w:t>and for the Component 2, subject of this ESMF.</w:t>
      </w:r>
    </w:p>
    <w:p w14:paraId="02BEF78C" w14:textId="1CE1AFB1" w:rsidR="00066CA2" w:rsidRPr="00AB7D1E" w:rsidRDefault="00066CA2" w:rsidP="00066CA2">
      <w:pPr>
        <w:spacing w:before="0" w:after="160" w:line="256" w:lineRule="auto"/>
        <w:rPr>
          <w:lang w:val="en-US"/>
        </w:rPr>
      </w:pPr>
      <w:r w:rsidRPr="00AB7D1E">
        <w:rPr>
          <w:lang w:val="en-US"/>
        </w:rPr>
        <w:t xml:space="preserve">Project activities will contribute to better resource efficiency as the </w:t>
      </w:r>
      <w:r w:rsidR="00567EA7" w:rsidRPr="00AB7D1E">
        <w:rPr>
          <w:lang w:val="en-US"/>
        </w:rPr>
        <w:t xml:space="preserve">repair and </w:t>
      </w:r>
      <w:r w:rsidRPr="00AB7D1E">
        <w:rPr>
          <w:lang w:val="en-US"/>
        </w:rPr>
        <w:t xml:space="preserve">rehabilitation of </w:t>
      </w:r>
      <w:r w:rsidR="00567EA7" w:rsidRPr="00AB7D1E">
        <w:rPr>
          <w:lang w:val="en-US"/>
        </w:rPr>
        <w:t xml:space="preserve">public </w:t>
      </w:r>
      <w:r w:rsidRPr="00AB7D1E">
        <w:rPr>
          <w:lang w:val="en-US"/>
        </w:rPr>
        <w:t xml:space="preserve">health </w:t>
      </w:r>
      <w:r w:rsidR="00567EA7" w:rsidRPr="00AB7D1E">
        <w:rPr>
          <w:lang w:val="en-US"/>
        </w:rPr>
        <w:t xml:space="preserve">laboratories </w:t>
      </w:r>
      <w:r w:rsidRPr="00AB7D1E">
        <w:rPr>
          <w:lang w:val="en-US"/>
        </w:rPr>
        <w:t>will include energy efficiency measures like improved insulation and heating efficiency. The project is not significant user of water or material resources.</w:t>
      </w:r>
    </w:p>
    <w:p w14:paraId="732B5660" w14:textId="77777777" w:rsidR="00066CA2" w:rsidRPr="00AB7D1E" w:rsidRDefault="00066CA2" w:rsidP="00066CA2">
      <w:pPr>
        <w:spacing w:before="0" w:after="160" w:line="256" w:lineRule="auto"/>
        <w:rPr>
          <w:lang w:val="en-US"/>
        </w:rPr>
      </w:pPr>
      <w:r w:rsidRPr="00AB7D1E">
        <w:rPr>
          <w:lang w:val="en-US"/>
        </w:rPr>
        <w:t>Regarding pollution prevention and management, releases of pollutants to air, water and land due to routine, non-routine, and accidental circumstances as well as unorganized noise management, waste management and management of hazardous substances are recognized as potential threat to environment. Those environmental impacts are expected to be of manageable, temporary and of local impact as they are related to the general construction activities on already existing location.</w:t>
      </w:r>
    </w:p>
    <w:p w14:paraId="609D9AA2" w14:textId="33CDDBF4" w:rsidR="00066CA2" w:rsidRPr="00AB7D1E" w:rsidRDefault="00066CA2" w:rsidP="00066CA2">
      <w:pPr>
        <w:spacing w:before="0" w:after="160" w:line="256" w:lineRule="auto"/>
        <w:rPr>
          <w:lang w:val="en-US"/>
        </w:rPr>
      </w:pPr>
      <w:r w:rsidRPr="00AB7D1E">
        <w:rPr>
          <w:lang w:val="en-US"/>
        </w:rPr>
        <w:t>Large quantities of construction and demolition waste are expected. Also, proper waste management will need to be safely and correctly collected, stored, transported, and disposed.</w:t>
      </w:r>
    </w:p>
    <w:p w14:paraId="7A15EF7D" w14:textId="61B66234" w:rsidR="00FC6E06" w:rsidRDefault="00FC6E06" w:rsidP="00066CA2">
      <w:pPr>
        <w:spacing w:before="0" w:after="160" w:line="256" w:lineRule="auto"/>
        <w:rPr>
          <w:lang w:val="en-US"/>
        </w:rPr>
      </w:pPr>
      <w:r w:rsidRPr="00FC6E06">
        <w:rPr>
          <w:lang w:val="en-US"/>
        </w:rPr>
        <w:t>During the everyday work of public health facilities generation of medical waste occurs. Significant environmental and social risks are not expected and by application of environmental and social measures impacts will be eliminated and/or mitigated.</w:t>
      </w:r>
    </w:p>
    <w:p w14:paraId="19423011" w14:textId="27232EF2" w:rsidR="00066CA2" w:rsidRPr="00AB7D1E" w:rsidRDefault="00066CA2" w:rsidP="00066CA2">
      <w:pPr>
        <w:spacing w:before="0" w:after="160" w:line="256" w:lineRule="auto"/>
        <w:rPr>
          <w:lang w:val="en-US"/>
        </w:rPr>
      </w:pPr>
      <w:r w:rsidRPr="00AB7D1E">
        <w:rPr>
          <w:lang w:val="en-US"/>
        </w:rPr>
        <w:t xml:space="preserve">Through the implementation of procedures and measures stated in </w:t>
      </w:r>
      <w:r w:rsidR="008D6AFD" w:rsidRPr="00AB7D1E">
        <w:rPr>
          <w:lang w:val="en-US"/>
        </w:rPr>
        <w:t xml:space="preserve">this </w:t>
      </w:r>
      <w:r w:rsidRPr="00AB7D1E">
        <w:rPr>
          <w:lang w:val="en-US"/>
        </w:rPr>
        <w:t>ESMF, site-specific ESMPs and</w:t>
      </w:r>
      <w:r w:rsidR="008D6AFD" w:rsidRPr="00AB7D1E">
        <w:rPr>
          <w:lang w:val="en-US"/>
        </w:rPr>
        <w:t>/or</w:t>
      </w:r>
      <w:r w:rsidRPr="00AB7D1E">
        <w:rPr>
          <w:lang w:val="en-US"/>
        </w:rPr>
        <w:t xml:space="preserve"> ESMP checklist </w:t>
      </w:r>
      <w:r w:rsidR="00D843C8">
        <w:rPr>
          <w:lang w:val="en-US"/>
        </w:rPr>
        <w:t xml:space="preserve">as well as the project design, </w:t>
      </w:r>
      <w:r w:rsidRPr="00AB7D1E">
        <w:rPr>
          <w:lang w:val="en-US"/>
        </w:rPr>
        <w:t xml:space="preserve">negative </w:t>
      </w:r>
      <w:r w:rsidR="00FC6E06">
        <w:rPr>
          <w:lang w:val="en-US"/>
        </w:rPr>
        <w:t xml:space="preserve">social and environmental </w:t>
      </w:r>
      <w:r w:rsidRPr="00AB7D1E">
        <w:rPr>
          <w:lang w:val="en-US"/>
        </w:rPr>
        <w:t>impact</w:t>
      </w:r>
      <w:r w:rsidR="00FC6E06">
        <w:rPr>
          <w:lang w:val="en-US"/>
        </w:rPr>
        <w:t>s</w:t>
      </w:r>
      <w:r w:rsidRPr="00AB7D1E">
        <w:rPr>
          <w:lang w:val="en-US"/>
        </w:rPr>
        <w:t xml:space="preserve"> of project will be minimized and/or avoided.</w:t>
      </w:r>
      <w:r w:rsidR="00567EA7" w:rsidRPr="00AB7D1E">
        <w:rPr>
          <w:lang w:val="en-US"/>
        </w:rPr>
        <w:t xml:space="preserve"> ICWMP will be prepared before beginning the relevant Project activities</w:t>
      </w:r>
      <w:r w:rsidR="00EC0875" w:rsidRPr="00AB7D1E">
        <w:rPr>
          <w:lang w:val="en-US"/>
        </w:rPr>
        <w:t>.</w:t>
      </w:r>
    </w:p>
    <w:p w14:paraId="64A6B919" w14:textId="5684B57F" w:rsidR="00EE60DA" w:rsidRPr="00AB7D1E" w:rsidRDefault="00EE60DA" w:rsidP="001670C9">
      <w:pPr>
        <w:pStyle w:val="Heading2"/>
        <w:rPr>
          <w:lang w:val="en-US"/>
        </w:rPr>
      </w:pPr>
      <w:bookmarkStart w:id="144" w:name="_Toc56954065"/>
      <w:r w:rsidRPr="00AB7D1E">
        <w:rPr>
          <w:lang w:val="en-US"/>
        </w:rPr>
        <w:t>ESS4 Community Health and Safety</w:t>
      </w:r>
      <w:bookmarkEnd w:id="144"/>
    </w:p>
    <w:p w14:paraId="6B17D2CA" w14:textId="50FEAF48" w:rsidR="00EE60DA" w:rsidRPr="00AB7D1E" w:rsidRDefault="008F1A78" w:rsidP="00EE60DA">
      <w:pPr>
        <w:rPr>
          <w:lang w:val="en-US"/>
        </w:rPr>
      </w:pPr>
      <w:r w:rsidRPr="00AB7D1E">
        <w:rPr>
          <w:noProof/>
          <w:lang w:val="en-US" w:eastAsia="hr-HR"/>
        </w:rPr>
        <w:drawing>
          <wp:anchor distT="0" distB="0" distL="114300" distR="114300" simplePos="0" relativeHeight="251664384" behindDoc="0" locked="0" layoutInCell="1" allowOverlap="1" wp14:anchorId="2BD4C7D4" wp14:editId="274AAD9C">
            <wp:simplePos x="0" y="0"/>
            <wp:positionH relativeFrom="margin">
              <wp:align>right</wp:align>
            </wp:positionH>
            <wp:positionV relativeFrom="paragraph">
              <wp:posOffset>182880</wp:posOffset>
            </wp:positionV>
            <wp:extent cx="1681200" cy="939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1200" cy="939600"/>
                    </a:xfrm>
                    <a:prstGeom prst="rect">
                      <a:avLst/>
                    </a:prstGeom>
                    <a:noFill/>
                  </pic:spPr>
                </pic:pic>
              </a:graphicData>
            </a:graphic>
            <wp14:sizeRelH relativeFrom="page">
              <wp14:pctWidth>0</wp14:pctWidth>
            </wp14:sizeRelH>
            <wp14:sizeRelV relativeFrom="page">
              <wp14:pctHeight>0</wp14:pctHeight>
            </wp14:sizeRelV>
          </wp:anchor>
        </w:drawing>
      </w:r>
      <w:r w:rsidR="00EE60DA" w:rsidRPr="00AB7D1E">
        <w:rPr>
          <w:lang w:val="en-US"/>
        </w:rPr>
        <w:t xml:space="preserve">ESS4 addresses the health, safety, and security risks and impacts on project-affected communities and the corresponding responsibility of Borrowers to avoid or minimize such risks and impacts, with </w:t>
      </w:r>
      <w:proofErr w:type="gramStart"/>
      <w:r w:rsidR="00EE60DA" w:rsidRPr="00AB7D1E">
        <w:rPr>
          <w:lang w:val="en-US"/>
        </w:rPr>
        <w:t>particular attention</w:t>
      </w:r>
      <w:proofErr w:type="gramEnd"/>
      <w:r w:rsidR="00EE60DA" w:rsidRPr="00AB7D1E">
        <w:rPr>
          <w:lang w:val="en-US"/>
        </w:rPr>
        <w:t xml:space="preserve"> to people who, because of their particular circumstances, may be vulnerable.</w:t>
      </w:r>
    </w:p>
    <w:p w14:paraId="0BFE8001" w14:textId="716C6D16" w:rsidR="00EE60DA" w:rsidRPr="00AB7D1E" w:rsidRDefault="00EE60DA" w:rsidP="00EE60DA">
      <w:pPr>
        <w:rPr>
          <w:b/>
          <w:bCs/>
          <w:lang w:val="en-US"/>
        </w:rPr>
      </w:pPr>
      <w:r w:rsidRPr="00AB7D1E">
        <w:rPr>
          <w:b/>
          <w:bCs/>
          <w:lang w:val="en-US"/>
        </w:rPr>
        <w:t xml:space="preserve">Main objectives of this standard are: to anticipate and avoid adverse impacts on the health and safety of project-affected communities during the project life cycle from both routine and nonroutine circumstances; to promote quality and safety, and </w:t>
      </w:r>
      <w:r w:rsidRPr="00AB7D1E">
        <w:rPr>
          <w:b/>
          <w:lang w:val="en-US"/>
        </w:rPr>
        <w:t>considerations relating to climate change</w:t>
      </w:r>
      <w:r w:rsidRPr="00AB7D1E">
        <w:rPr>
          <w:lang w:val="en-US"/>
        </w:rPr>
        <w:t xml:space="preserve">, </w:t>
      </w:r>
      <w:r w:rsidRPr="00AB7D1E">
        <w:rPr>
          <w:b/>
          <w:lang w:val="en-US"/>
        </w:rPr>
        <w:t>in the design and construction of infrastructure</w:t>
      </w:r>
      <w:r w:rsidRPr="00AB7D1E">
        <w:rPr>
          <w:lang w:val="en-US"/>
        </w:rPr>
        <w:t xml:space="preserve">, </w:t>
      </w:r>
      <w:r w:rsidRPr="00AB7D1E">
        <w:rPr>
          <w:b/>
          <w:bCs/>
          <w:lang w:val="en-US"/>
        </w:rPr>
        <w:t>including dams,</w:t>
      </w:r>
      <w:r w:rsidRPr="00AB7D1E">
        <w:rPr>
          <w:lang w:val="en-US"/>
        </w:rPr>
        <w:t xml:space="preserve"> </w:t>
      </w:r>
      <w:r w:rsidRPr="00AB7D1E">
        <w:rPr>
          <w:b/>
          <w:lang w:val="en-US"/>
        </w:rPr>
        <w:t xml:space="preserve">to avoid or minimize community exposure to project-related traffic and road safety risks, diseases and hazardous materials, to have in place effective measures to address emergency events; </w:t>
      </w:r>
      <w:r w:rsidRPr="00AB7D1E">
        <w:rPr>
          <w:b/>
          <w:bCs/>
          <w:lang w:val="en-US"/>
        </w:rPr>
        <w:t xml:space="preserve">to ensure that the safeguarding of personnel and property is carried out in a manner that avoids or minimizes risks to the project-affected communities. </w:t>
      </w:r>
    </w:p>
    <w:p w14:paraId="5CAF0B79" w14:textId="074AFDF7" w:rsidR="008F1A78" w:rsidRPr="00AB7D1E" w:rsidRDefault="008F1A78" w:rsidP="008F1A78">
      <w:pPr>
        <w:spacing w:before="0" w:after="160" w:line="256" w:lineRule="auto"/>
        <w:rPr>
          <w:b/>
          <w:bCs/>
          <w:lang w:val="en-US"/>
        </w:rPr>
      </w:pPr>
      <w:bookmarkStart w:id="145" w:name="_Hlk46328420"/>
      <w:r w:rsidRPr="00AB7D1E">
        <w:rPr>
          <w:b/>
          <w:bCs/>
          <w:lang w:val="en-US"/>
        </w:rPr>
        <w:t xml:space="preserve">This Standard is relevant to the </w:t>
      </w:r>
      <w:r w:rsidR="00CB2A59">
        <w:rPr>
          <w:b/>
          <w:bCs/>
          <w:lang w:val="en-US"/>
        </w:rPr>
        <w:t>overall P</w:t>
      </w:r>
      <w:r w:rsidRPr="00AB7D1E">
        <w:rPr>
          <w:b/>
          <w:bCs/>
          <w:lang w:val="en-US"/>
        </w:rPr>
        <w:t>roject</w:t>
      </w:r>
      <w:r w:rsidR="00A70D22">
        <w:rPr>
          <w:b/>
          <w:bCs/>
          <w:lang w:val="en-US"/>
        </w:rPr>
        <w:t xml:space="preserve"> </w:t>
      </w:r>
      <w:r w:rsidR="00A70D22" w:rsidRPr="00A70D22">
        <w:rPr>
          <w:b/>
          <w:bCs/>
          <w:lang w:val="en-US"/>
        </w:rPr>
        <w:t>and for the Component 2, subject of this ESMF.</w:t>
      </w:r>
    </w:p>
    <w:bookmarkEnd w:id="145"/>
    <w:p w14:paraId="4257F759" w14:textId="7E6401AF" w:rsidR="008F1A78" w:rsidRPr="00AB7D1E" w:rsidRDefault="008F1A78" w:rsidP="008F1A78">
      <w:pPr>
        <w:spacing w:before="0" w:after="160" w:line="256" w:lineRule="auto"/>
        <w:rPr>
          <w:lang w:val="en-US"/>
        </w:rPr>
      </w:pPr>
      <w:r w:rsidRPr="00AB7D1E">
        <w:rPr>
          <w:lang w:val="en-US"/>
        </w:rPr>
        <w:t xml:space="preserve">Civil works will be undertaken in or around </w:t>
      </w:r>
      <w:r w:rsidR="00902315" w:rsidRPr="00AB7D1E">
        <w:rPr>
          <w:lang w:val="en-US"/>
        </w:rPr>
        <w:t xml:space="preserve">public health </w:t>
      </w:r>
      <w:proofErr w:type="gramStart"/>
      <w:r w:rsidR="00902315" w:rsidRPr="00AB7D1E">
        <w:rPr>
          <w:lang w:val="en-US"/>
        </w:rPr>
        <w:t>laboratories</w:t>
      </w:r>
      <w:r w:rsidRPr="00AB7D1E">
        <w:rPr>
          <w:lang w:val="en-US"/>
        </w:rPr>
        <w:t>, and</w:t>
      </w:r>
      <w:proofErr w:type="gramEnd"/>
      <w:r w:rsidRPr="00AB7D1E">
        <w:rPr>
          <w:lang w:val="en-US"/>
        </w:rPr>
        <w:t xml:space="preserve"> maintaining the health and safety of employees and visitors, and nearby communities, throughout the construction phase is critical. Movement of heavy goods vehicles can lead to accidents. </w:t>
      </w:r>
    </w:p>
    <w:p w14:paraId="43B8FBBB" w14:textId="5F4BA24C" w:rsidR="008F1A78" w:rsidRDefault="008F1A78" w:rsidP="008F1A78">
      <w:pPr>
        <w:spacing w:before="0" w:after="160" w:line="256" w:lineRule="auto"/>
        <w:rPr>
          <w:lang w:val="en-US"/>
        </w:rPr>
      </w:pPr>
      <w:r w:rsidRPr="00AB7D1E">
        <w:rPr>
          <w:lang w:val="en-US"/>
        </w:rPr>
        <w:lastRenderedPageBreak/>
        <w:t xml:space="preserve">Given the small </w:t>
      </w:r>
      <w:r w:rsidR="00567158" w:rsidRPr="00AB7D1E">
        <w:rPr>
          <w:lang w:val="en-US"/>
        </w:rPr>
        <w:t xml:space="preserve">to medium </w:t>
      </w:r>
      <w:r w:rsidRPr="00AB7D1E">
        <w:rPr>
          <w:lang w:val="en-US"/>
        </w:rPr>
        <w:t xml:space="preserve">scale nature of civil works primarily focused on </w:t>
      </w:r>
      <w:r w:rsidR="00EC0875" w:rsidRPr="00AB7D1E">
        <w:rPr>
          <w:lang w:val="en-US"/>
        </w:rPr>
        <w:t xml:space="preserve">repair and </w:t>
      </w:r>
      <w:r w:rsidRPr="00AB7D1E">
        <w:rPr>
          <w:lang w:val="en-US"/>
        </w:rPr>
        <w:t xml:space="preserve">rehabilitation of buildings, the impact and risk on community’s health and safety is expected to be minor and manageable. No risks related to labor influx, gender-based violence (GBV) or security forces are expected under the project activities because the scale of civil works is very </w:t>
      </w:r>
      <w:proofErr w:type="gramStart"/>
      <w:r w:rsidRPr="00AB7D1E">
        <w:rPr>
          <w:lang w:val="en-US"/>
        </w:rPr>
        <w:t>small</w:t>
      </w:r>
      <w:proofErr w:type="gramEnd"/>
      <w:r w:rsidRPr="00AB7D1E">
        <w:rPr>
          <w:lang w:val="en-US"/>
        </w:rPr>
        <w:t xml:space="preserve"> and most workers will be hired locally.</w:t>
      </w:r>
    </w:p>
    <w:p w14:paraId="739E3711" w14:textId="79EC6BB1" w:rsidR="00FC6E06" w:rsidRPr="00AB7D1E" w:rsidRDefault="00FC6E06" w:rsidP="008F1A78">
      <w:pPr>
        <w:spacing w:before="0" w:after="160" w:line="256" w:lineRule="auto"/>
        <w:rPr>
          <w:lang w:val="en-US"/>
        </w:rPr>
      </w:pPr>
      <w:r w:rsidRPr="00FC6E06">
        <w:rPr>
          <w:lang w:val="en-US"/>
        </w:rPr>
        <w:t xml:space="preserve">During the everyday work of public health </w:t>
      </w:r>
      <w:r>
        <w:rPr>
          <w:lang w:val="en-US"/>
        </w:rPr>
        <w:t>facilities</w:t>
      </w:r>
      <w:r w:rsidRPr="00FC6E06">
        <w:rPr>
          <w:lang w:val="en-US"/>
        </w:rPr>
        <w:t xml:space="preserve"> generation of medical waste occurs. Significant environmental and social risks are not expected and by application of </w:t>
      </w:r>
      <w:r>
        <w:rPr>
          <w:lang w:val="en-US"/>
        </w:rPr>
        <w:t xml:space="preserve">environmental and social </w:t>
      </w:r>
      <w:r w:rsidRPr="00FC6E06">
        <w:rPr>
          <w:lang w:val="en-US"/>
        </w:rPr>
        <w:t>measures impact</w:t>
      </w:r>
      <w:r>
        <w:rPr>
          <w:lang w:val="en-US"/>
        </w:rPr>
        <w:t>s</w:t>
      </w:r>
      <w:r w:rsidRPr="00FC6E06">
        <w:rPr>
          <w:lang w:val="en-US"/>
        </w:rPr>
        <w:t xml:space="preserve"> will be eliminated and/or mitigated.</w:t>
      </w:r>
    </w:p>
    <w:p w14:paraId="6F008E1D" w14:textId="52ABA5A8" w:rsidR="008378D5" w:rsidRPr="00AB7D1E" w:rsidRDefault="008F1A78" w:rsidP="008F1A78">
      <w:pPr>
        <w:spacing w:before="0" w:after="160" w:line="256" w:lineRule="auto"/>
        <w:rPr>
          <w:lang w:val="en-US"/>
        </w:rPr>
      </w:pPr>
      <w:r w:rsidRPr="00AB7D1E">
        <w:rPr>
          <w:lang w:val="en-US"/>
        </w:rPr>
        <w:t>The project will ensure safety of staff and other visitors during the construction works</w:t>
      </w:r>
      <w:r w:rsidR="00FC6E06">
        <w:rPr>
          <w:lang w:val="en-US"/>
        </w:rPr>
        <w:t xml:space="preserve"> and during operational phase of public health facilities</w:t>
      </w:r>
      <w:r w:rsidRPr="00AB7D1E">
        <w:rPr>
          <w:lang w:val="en-US"/>
        </w:rPr>
        <w:t xml:space="preserve"> by site-specific </w:t>
      </w:r>
      <w:r w:rsidR="00DA1415" w:rsidRPr="00AB7D1E">
        <w:rPr>
          <w:lang w:val="en-US"/>
        </w:rPr>
        <w:t xml:space="preserve">ESMP and/or </w:t>
      </w:r>
      <w:r w:rsidRPr="00AB7D1E">
        <w:rPr>
          <w:lang w:val="en-US"/>
        </w:rPr>
        <w:t>ESMPs/Checklists</w:t>
      </w:r>
      <w:r w:rsidR="00752055" w:rsidRPr="00AB7D1E">
        <w:rPr>
          <w:lang w:val="en-US"/>
        </w:rPr>
        <w:t xml:space="preserve"> and ICWMP.</w:t>
      </w:r>
    </w:p>
    <w:p w14:paraId="63355D4F" w14:textId="4E4491C5" w:rsidR="008F1A78" w:rsidRPr="00AB7D1E" w:rsidRDefault="008F1A78" w:rsidP="008F1A78">
      <w:pPr>
        <w:pStyle w:val="Heading2"/>
        <w:rPr>
          <w:lang w:val="en-US"/>
        </w:rPr>
      </w:pPr>
      <w:bookmarkStart w:id="146" w:name="_Toc56954066"/>
      <w:r w:rsidRPr="00AB7D1E">
        <w:rPr>
          <w:lang w:val="en-US"/>
        </w:rPr>
        <w:t>ESS5 Land Acquisition, Restrictions on Land Use and Involuntary Resettlement</w:t>
      </w:r>
      <w:bookmarkEnd w:id="146"/>
    </w:p>
    <w:p w14:paraId="4C6AB49B" w14:textId="2004107C" w:rsidR="008F1A78" w:rsidRPr="00AB7D1E" w:rsidRDefault="008F1A78" w:rsidP="008F1A78">
      <w:pPr>
        <w:rPr>
          <w:lang w:val="en-US"/>
        </w:rPr>
      </w:pPr>
      <w:r w:rsidRPr="00AB7D1E">
        <w:rPr>
          <w:i/>
          <w:iCs/>
          <w:noProof/>
          <w:lang w:val="en-US" w:eastAsia="hr-HR"/>
        </w:rPr>
        <w:drawing>
          <wp:anchor distT="0" distB="0" distL="114300" distR="114300" simplePos="0" relativeHeight="251666432" behindDoc="0" locked="0" layoutInCell="1" allowOverlap="1" wp14:anchorId="349F8590" wp14:editId="569E2A94">
            <wp:simplePos x="0" y="0"/>
            <wp:positionH relativeFrom="margin">
              <wp:align>right</wp:align>
            </wp:positionH>
            <wp:positionV relativeFrom="paragraph">
              <wp:posOffset>3175</wp:posOffset>
            </wp:positionV>
            <wp:extent cx="1681200" cy="939600"/>
            <wp:effectExtent l="0" t="0" r="0" b="0"/>
            <wp:wrapThrough wrapText="bothSides">
              <wp:wrapPolygon edited="0">
                <wp:start x="0" y="0"/>
                <wp:lineTo x="0" y="21030"/>
                <wp:lineTo x="21298" y="21030"/>
                <wp:lineTo x="21298"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1200" cy="939600"/>
                    </a:xfrm>
                    <a:prstGeom prst="rect">
                      <a:avLst/>
                    </a:prstGeom>
                    <a:noFill/>
                  </pic:spPr>
                </pic:pic>
              </a:graphicData>
            </a:graphic>
            <wp14:sizeRelH relativeFrom="page">
              <wp14:pctWidth>0</wp14:pctWidth>
            </wp14:sizeRelH>
            <wp14:sizeRelV relativeFrom="page">
              <wp14:pctHeight>0</wp14:pctHeight>
            </wp14:sizeRelV>
          </wp:anchor>
        </w:drawing>
      </w:r>
      <w:r w:rsidRPr="00AB7D1E">
        <w:rPr>
          <w:b/>
          <w:bCs/>
          <w:i/>
          <w:iCs/>
          <w:lang w:val="en-US"/>
        </w:rPr>
        <w:t>This Standard is not recognized as relevant</w:t>
      </w:r>
      <w:r w:rsidR="00A70D22">
        <w:rPr>
          <w:b/>
          <w:bCs/>
          <w:i/>
          <w:iCs/>
          <w:lang w:val="en-US"/>
        </w:rPr>
        <w:t xml:space="preserve"> for the overall Project nor the Component 2</w:t>
      </w:r>
      <w:r w:rsidRPr="00AB7D1E">
        <w:rPr>
          <w:b/>
          <w:bCs/>
          <w:i/>
          <w:iCs/>
          <w:lang w:val="en-US"/>
        </w:rPr>
        <w:t>.</w:t>
      </w:r>
      <w:r w:rsidRPr="00AB7D1E">
        <w:rPr>
          <w:i/>
          <w:iCs/>
          <w:lang w:val="en-US"/>
        </w:rPr>
        <w:t xml:space="preserve"> </w:t>
      </w:r>
      <w:r w:rsidRPr="00AB7D1E">
        <w:rPr>
          <w:lang w:val="en-US"/>
        </w:rPr>
        <w:t>Any reconstruction activities that might cause land acquisition or involuntary resettlement will not be eligible for financing. All construction activities will be within footprints of the existing buildings. There will be no temporary resettlement impacts from the project as all civil works will be conducted in public buildings.</w:t>
      </w:r>
    </w:p>
    <w:p w14:paraId="02EFECD0" w14:textId="77777777" w:rsidR="008F1A78" w:rsidRPr="00AB7D1E" w:rsidRDefault="008F1A78" w:rsidP="008F1A78">
      <w:pPr>
        <w:pStyle w:val="Heading2"/>
        <w:rPr>
          <w:lang w:val="en-US"/>
        </w:rPr>
      </w:pPr>
      <w:bookmarkStart w:id="147" w:name="_Toc56954067"/>
      <w:r w:rsidRPr="00AB7D1E">
        <w:rPr>
          <w:lang w:val="en-US"/>
        </w:rPr>
        <w:t>ESS6 Biodiversity Conservation and Sustainable Management of Living Natural Resources</w:t>
      </w:r>
      <w:bookmarkEnd w:id="147"/>
    </w:p>
    <w:p w14:paraId="495CAB09" w14:textId="3FDF9BF9" w:rsidR="008F1A78" w:rsidRPr="00AB7D1E" w:rsidRDefault="008F1A78" w:rsidP="008F1A78">
      <w:pPr>
        <w:pBdr>
          <w:top w:val="nil"/>
          <w:left w:val="nil"/>
          <w:bottom w:val="nil"/>
          <w:right w:val="nil"/>
          <w:between w:val="nil"/>
          <w:bar w:val="nil"/>
        </w:pBdr>
        <w:suppressAutoHyphens w:val="0"/>
        <w:autoSpaceDN/>
        <w:spacing w:before="0" w:line="276" w:lineRule="auto"/>
        <w:textAlignment w:val="auto"/>
        <w:rPr>
          <w:rFonts w:ascii="Calibri" w:hAnsi="Calibri" w:cs="Calibri"/>
          <w:lang w:val="en-US"/>
        </w:rPr>
      </w:pPr>
      <w:r w:rsidRPr="00AB7D1E">
        <w:rPr>
          <w:b/>
          <w:bCs/>
          <w:noProof/>
          <w:lang w:val="en-US" w:eastAsia="hr-HR"/>
        </w:rPr>
        <w:drawing>
          <wp:anchor distT="0" distB="0" distL="114300" distR="114300" simplePos="0" relativeHeight="251668480" behindDoc="0" locked="0" layoutInCell="1" allowOverlap="1" wp14:anchorId="7146B13F" wp14:editId="7B8D3C95">
            <wp:simplePos x="0" y="0"/>
            <wp:positionH relativeFrom="column">
              <wp:posOffset>4061460</wp:posOffset>
            </wp:positionH>
            <wp:positionV relativeFrom="paragraph">
              <wp:posOffset>13335</wp:posOffset>
            </wp:positionV>
            <wp:extent cx="1681200" cy="946800"/>
            <wp:effectExtent l="0" t="0" r="0" b="57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81200" cy="946800"/>
                    </a:xfrm>
                    <a:prstGeom prst="rect">
                      <a:avLst/>
                    </a:prstGeom>
                  </pic:spPr>
                </pic:pic>
              </a:graphicData>
            </a:graphic>
            <wp14:sizeRelH relativeFrom="page">
              <wp14:pctWidth>0</wp14:pctWidth>
            </wp14:sizeRelH>
            <wp14:sizeRelV relativeFrom="page">
              <wp14:pctHeight>0</wp14:pctHeight>
            </wp14:sizeRelV>
          </wp:anchor>
        </w:drawing>
      </w:r>
      <w:r w:rsidR="001F33E1" w:rsidRPr="00AB7D1E">
        <w:rPr>
          <w:rFonts w:ascii="Calibri" w:hAnsi="Calibri" w:cs="Calibri"/>
          <w:b/>
          <w:bCs/>
          <w:lang w:val="en-US"/>
        </w:rPr>
        <w:t xml:space="preserve">ESS6 </w:t>
      </w:r>
      <w:r w:rsidRPr="00AB7D1E">
        <w:rPr>
          <w:rFonts w:ascii="Calibri" w:hAnsi="Calibri" w:cs="Calibri"/>
          <w:lang w:val="en-US"/>
        </w:rPr>
        <w:t xml:space="preserve">recognizes the importance of maintaining core ecological functions of habitats, including forests, and the biodiversity they support. Habitat is defined as a terrestrial, freshwater, or marine geo-graphical unit or airway that supports assemblages of living organisms and their interactions with the </w:t>
      </w:r>
      <w:r w:rsidR="003F7580" w:rsidRPr="00AB7D1E">
        <w:rPr>
          <w:rFonts w:ascii="Calibri" w:hAnsi="Calibri" w:cs="Calibri"/>
          <w:lang w:val="en-US"/>
        </w:rPr>
        <w:t>non-living</w:t>
      </w:r>
      <w:r w:rsidRPr="00AB7D1E">
        <w:rPr>
          <w:rFonts w:ascii="Calibri" w:hAnsi="Calibri" w:cs="Calibri"/>
          <w:lang w:val="en-US"/>
        </w:rPr>
        <w:t xml:space="preserve"> environment. All habitats support complexities of living</w:t>
      </w:r>
      <w:r w:rsidRPr="00AB7D1E">
        <w:rPr>
          <w:lang w:val="en-US"/>
        </w:rPr>
        <w:t xml:space="preserve"> </w:t>
      </w:r>
      <w:r w:rsidRPr="00AB7D1E">
        <w:rPr>
          <w:rFonts w:ascii="Calibri" w:hAnsi="Calibri" w:cs="Calibri"/>
          <w:lang w:val="en-US"/>
        </w:rPr>
        <w:t>organisms and vary in terms of species diversity, abundance and importance. This ESS also addresses sustainable management of primary production and harvesting3 of living natural resources.</w:t>
      </w:r>
    </w:p>
    <w:p w14:paraId="031A54B3" w14:textId="71085F8F" w:rsidR="008F1A78" w:rsidRPr="00AB7D1E" w:rsidRDefault="008F1A78" w:rsidP="008F1A78">
      <w:pPr>
        <w:pBdr>
          <w:top w:val="nil"/>
          <w:left w:val="nil"/>
          <w:bottom w:val="nil"/>
          <w:right w:val="nil"/>
          <w:between w:val="nil"/>
          <w:bar w:val="nil"/>
        </w:pBdr>
        <w:suppressAutoHyphens w:val="0"/>
        <w:autoSpaceDN/>
        <w:spacing w:before="0" w:line="276" w:lineRule="auto"/>
        <w:textAlignment w:val="auto"/>
        <w:rPr>
          <w:rFonts w:ascii="Calibri" w:hAnsi="Calibri" w:cs="Calibri"/>
          <w:b/>
          <w:bCs/>
          <w:lang w:val="en-US"/>
        </w:rPr>
      </w:pPr>
      <w:r w:rsidRPr="00AB7D1E">
        <w:rPr>
          <w:rFonts w:ascii="Calibri" w:hAnsi="Calibri" w:cs="Calibri"/>
          <w:b/>
          <w:bCs/>
          <w:lang w:val="en-US"/>
        </w:rPr>
        <w:t>Objectives of the ESS6: to protect and conserve biodiversity and habitats; to apply the mitigation hierarchy and the precautionary approach in the design and implementation of projects that could have an impact on biodiversity and to promote the sustainable management of living natural resources.</w:t>
      </w:r>
    </w:p>
    <w:p w14:paraId="5E3FDDB6" w14:textId="07F14FE7" w:rsidR="001F33E1" w:rsidRPr="00AB7D1E" w:rsidRDefault="001F33E1" w:rsidP="001F33E1">
      <w:pPr>
        <w:spacing w:before="0" w:after="160" w:line="256" w:lineRule="auto"/>
        <w:rPr>
          <w:b/>
          <w:bCs/>
          <w:lang w:val="en-US"/>
        </w:rPr>
      </w:pPr>
      <w:r w:rsidRPr="00AB7D1E">
        <w:rPr>
          <w:b/>
          <w:bCs/>
          <w:lang w:val="en-US"/>
        </w:rPr>
        <w:t xml:space="preserve">This Standard is relevant to the </w:t>
      </w:r>
      <w:r w:rsidR="00CB2A59">
        <w:rPr>
          <w:b/>
          <w:bCs/>
          <w:lang w:val="en-US"/>
        </w:rPr>
        <w:t>overall P</w:t>
      </w:r>
      <w:r w:rsidRPr="00AB7D1E">
        <w:rPr>
          <w:b/>
          <w:bCs/>
          <w:lang w:val="en-US"/>
        </w:rPr>
        <w:t>roject</w:t>
      </w:r>
      <w:r w:rsidR="00982550">
        <w:rPr>
          <w:b/>
          <w:bCs/>
          <w:lang w:val="en-US"/>
        </w:rPr>
        <w:t>.</w:t>
      </w:r>
      <w:r w:rsidR="00A70D22">
        <w:rPr>
          <w:b/>
          <w:bCs/>
          <w:lang w:val="en-US"/>
        </w:rPr>
        <w:t xml:space="preserve"> </w:t>
      </w:r>
      <w:r w:rsidR="00A70D22" w:rsidRPr="00A70D22">
        <w:rPr>
          <w:b/>
          <w:bCs/>
          <w:lang w:val="en-US"/>
        </w:rPr>
        <w:t>and for the Component 2, subject of this ESMF.</w:t>
      </w:r>
    </w:p>
    <w:p w14:paraId="2EBB5403" w14:textId="54023B76" w:rsidR="007917B3" w:rsidRPr="00AB7D1E" w:rsidRDefault="007917B3" w:rsidP="007917B3">
      <w:pPr>
        <w:pBdr>
          <w:top w:val="nil"/>
          <w:left w:val="nil"/>
          <w:bottom w:val="nil"/>
          <w:right w:val="nil"/>
          <w:between w:val="nil"/>
          <w:bar w:val="nil"/>
        </w:pBdr>
        <w:suppressAutoHyphens w:val="0"/>
        <w:autoSpaceDN/>
        <w:spacing w:before="0" w:line="276" w:lineRule="auto"/>
        <w:textAlignment w:val="auto"/>
        <w:rPr>
          <w:rFonts w:ascii="Calibri" w:hAnsi="Calibri" w:cs="Calibri"/>
          <w:lang w:val="en-US"/>
        </w:rPr>
      </w:pPr>
      <w:r w:rsidRPr="00AB7D1E">
        <w:rPr>
          <w:rFonts w:ascii="Calibri" w:hAnsi="Calibri" w:cs="Calibri"/>
          <w:lang w:val="en-US"/>
        </w:rPr>
        <w:t>Given that all works will be carried out within the limited intervention scope (</w:t>
      </w:r>
      <w:r w:rsidR="00184DF0" w:rsidRPr="00AB7D1E">
        <w:rPr>
          <w:rFonts w:ascii="Calibri" w:hAnsi="Calibri" w:cs="Calibri"/>
          <w:lang w:val="en-US"/>
        </w:rPr>
        <w:t xml:space="preserve">repair and </w:t>
      </w:r>
      <w:r w:rsidRPr="00AB7D1E">
        <w:rPr>
          <w:rFonts w:ascii="Calibri" w:hAnsi="Calibri" w:cs="Calibri"/>
          <w:lang w:val="en-US"/>
        </w:rPr>
        <w:t>rehabilitation within the existing footprint of buildings) in urbanized areas, low to moderate and only temporary and predictable impacts to protected areas are likely. The related risks will be addressed through site-specific ESMPs</w:t>
      </w:r>
      <w:r w:rsidR="00EC0875" w:rsidRPr="00AB7D1E">
        <w:rPr>
          <w:rFonts w:ascii="Calibri" w:hAnsi="Calibri" w:cs="Calibri"/>
          <w:lang w:val="en-US"/>
        </w:rPr>
        <w:t xml:space="preserve"> and/or </w:t>
      </w:r>
      <w:r w:rsidR="003F7580" w:rsidRPr="00AB7D1E">
        <w:rPr>
          <w:rFonts w:ascii="Calibri" w:hAnsi="Calibri" w:cs="Calibri"/>
          <w:lang w:val="en-US"/>
        </w:rPr>
        <w:t xml:space="preserve">ESMP </w:t>
      </w:r>
      <w:r w:rsidR="00EC0875" w:rsidRPr="00AB7D1E">
        <w:rPr>
          <w:rFonts w:ascii="Calibri" w:hAnsi="Calibri" w:cs="Calibri"/>
          <w:lang w:val="en-US"/>
        </w:rPr>
        <w:t>Checklists</w:t>
      </w:r>
      <w:r w:rsidR="003F7580" w:rsidRPr="00AB7D1E">
        <w:rPr>
          <w:rFonts w:ascii="Calibri" w:hAnsi="Calibri" w:cs="Calibri"/>
          <w:lang w:val="en-US"/>
        </w:rPr>
        <w:t>.</w:t>
      </w:r>
    </w:p>
    <w:p w14:paraId="3E86466C" w14:textId="3B7A36CF" w:rsidR="008F1A78" w:rsidRPr="00AB7D1E" w:rsidRDefault="008F1A78" w:rsidP="003F7580">
      <w:pPr>
        <w:pStyle w:val="Heading2"/>
        <w:rPr>
          <w:lang w:val="en-US"/>
        </w:rPr>
      </w:pPr>
      <w:bookmarkStart w:id="148" w:name="_Toc56954068"/>
      <w:r w:rsidRPr="00AB7D1E">
        <w:rPr>
          <w:noProof/>
          <w:lang w:val="en-US" w:eastAsia="hr-HR"/>
        </w:rPr>
        <w:lastRenderedPageBreak/>
        <w:drawing>
          <wp:anchor distT="0" distB="0" distL="114300" distR="114300" simplePos="0" relativeHeight="251669504" behindDoc="0" locked="0" layoutInCell="1" allowOverlap="1" wp14:anchorId="736E153D" wp14:editId="73D0E947">
            <wp:simplePos x="0" y="0"/>
            <wp:positionH relativeFrom="margin">
              <wp:align>right</wp:align>
            </wp:positionH>
            <wp:positionV relativeFrom="paragraph">
              <wp:posOffset>189865</wp:posOffset>
            </wp:positionV>
            <wp:extent cx="1681200" cy="968400"/>
            <wp:effectExtent l="0" t="0" r="0" b="3175"/>
            <wp:wrapThrough wrapText="bothSides">
              <wp:wrapPolygon edited="0">
                <wp:start x="0" y="0"/>
                <wp:lineTo x="0" y="21246"/>
                <wp:lineTo x="21298" y="21246"/>
                <wp:lineTo x="21298"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681200" cy="968400"/>
                    </a:xfrm>
                    <a:prstGeom prst="rect">
                      <a:avLst/>
                    </a:prstGeom>
                  </pic:spPr>
                </pic:pic>
              </a:graphicData>
            </a:graphic>
            <wp14:sizeRelH relativeFrom="page">
              <wp14:pctWidth>0</wp14:pctWidth>
            </wp14:sizeRelH>
            <wp14:sizeRelV relativeFrom="page">
              <wp14:pctHeight>0</wp14:pctHeight>
            </wp14:sizeRelV>
          </wp:anchor>
        </w:drawing>
      </w:r>
      <w:r w:rsidRPr="00AB7D1E">
        <w:rPr>
          <w:lang w:val="en-US"/>
        </w:rPr>
        <w:t>ESS7 Indigenous Peoples / Sub-Saharan African Historically Underserved Traditional Local Communities</w:t>
      </w:r>
      <w:bookmarkEnd w:id="148"/>
      <w:r w:rsidRPr="00AB7D1E">
        <w:rPr>
          <w:lang w:val="en-US"/>
        </w:rPr>
        <w:t xml:space="preserve"> </w:t>
      </w:r>
    </w:p>
    <w:p w14:paraId="4C58203B" w14:textId="172DE628" w:rsidR="008F1A78" w:rsidRPr="00AB7D1E" w:rsidRDefault="008F1A78" w:rsidP="008F1A78">
      <w:pPr>
        <w:rPr>
          <w:lang w:val="en-US"/>
        </w:rPr>
      </w:pPr>
      <w:r w:rsidRPr="00AB7D1E">
        <w:rPr>
          <w:lang w:val="en-US"/>
        </w:rPr>
        <w:t xml:space="preserve">Croatia does not have distinct ethnic, social and/or cultural groups as covered by ESS7. </w:t>
      </w:r>
      <w:r w:rsidRPr="00AB7D1E">
        <w:rPr>
          <w:b/>
          <w:bCs/>
          <w:lang w:val="en-US"/>
        </w:rPr>
        <w:t>Thus, this standard is not relevant</w:t>
      </w:r>
      <w:r w:rsidR="00A70D22">
        <w:rPr>
          <w:b/>
          <w:bCs/>
          <w:lang w:val="en-US"/>
        </w:rPr>
        <w:t xml:space="preserve"> for the overall </w:t>
      </w:r>
      <w:r w:rsidR="006674D0">
        <w:rPr>
          <w:b/>
          <w:bCs/>
          <w:lang w:val="en-US"/>
        </w:rPr>
        <w:t>p</w:t>
      </w:r>
      <w:r w:rsidR="00A70D22">
        <w:rPr>
          <w:b/>
          <w:bCs/>
          <w:lang w:val="en-US"/>
        </w:rPr>
        <w:t>roject no</w:t>
      </w:r>
      <w:r w:rsidR="00CB2A59">
        <w:rPr>
          <w:b/>
          <w:bCs/>
          <w:lang w:val="en-US"/>
        </w:rPr>
        <w:t>r</w:t>
      </w:r>
      <w:r w:rsidR="00A70D22">
        <w:rPr>
          <w:b/>
          <w:bCs/>
          <w:lang w:val="en-US"/>
        </w:rPr>
        <w:t xml:space="preserve"> for Component </w:t>
      </w:r>
      <w:r w:rsidR="00CB2A59">
        <w:rPr>
          <w:b/>
          <w:bCs/>
          <w:lang w:val="en-US"/>
        </w:rPr>
        <w:t>2</w:t>
      </w:r>
      <w:r w:rsidR="00A70D22">
        <w:rPr>
          <w:b/>
          <w:bCs/>
          <w:lang w:val="en-US"/>
        </w:rPr>
        <w:t>.</w:t>
      </w:r>
      <w:r w:rsidRPr="00AB7D1E">
        <w:rPr>
          <w:lang w:val="en-US"/>
        </w:rPr>
        <w:t xml:space="preserve"> </w:t>
      </w:r>
    </w:p>
    <w:p w14:paraId="3D815A24" w14:textId="5BA5304D" w:rsidR="00EE60DA" w:rsidRPr="00AB7D1E" w:rsidRDefault="00EE60DA" w:rsidP="008F1A78">
      <w:pPr>
        <w:pStyle w:val="Heading2"/>
        <w:rPr>
          <w:lang w:val="en-US"/>
        </w:rPr>
      </w:pPr>
      <w:bookmarkStart w:id="149" w:name="_Toc56954069"/>
      <w:r w:rsidRPr="00AB7D1E">
        <w:rPr>
          <w:lang w:val="en-US"/>
        </w:rPr>
        <w:t>ESS8 Cultural Heritage;</w:t>
      </w:r>
      <w:bookmarkEnd w:id="149"/>
    </w:p>
    <w:p w14:paraId="266BDE43" w14:textId="2EABA8F7" w:rsidR="00EE60DA" w:rsidRPr="00AB7D1E" w:rsidRDefault="009947D2" w:rsidP="00EE60DA">
      <w:pPr>
        <w:rPr>
          <w:lang w:val="en-US"/>
        </w:rPr>
      </w:pPr>
      <w:r w:rsidRPr="00AB7D1E">
        <w:rPr>
          <w:b/>
          <w:bCs/>
          <w:noProof/>
          <w:lang w:val="en-US" w:eastAsia="hr-HR"/>
        </w:rPr>
        <w:drawing>
          <wp:anchor distT="0" distB="0" distL="114300" distR="114300" simplePos="0" relativeHeight="251670528" behindDoc="0" locked="0" layoutInCell="1" allowOverlap="1" wp14:anchorId="22BACB90" wp14:editId="656DF82D">
            <wp:simplePos x="0" y="0"/>
            <wp:positionH relativeFrom="margin">
              <wp:align>right</wp:align>
            </wp:positionH>
            <wp:positionV relativeFrom="paragraph">
              <wp:posOffset>5715</wp:posOffset>
            </wp:positionV>
            <wp:extent cx="1681200" cy="9540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1200" cy="954000"/>
                    </a:xfrm>
                    <a:prstGeom prst="rect">
                      <a:avLst/>
                    </a:prstGeom>
                    <a:noFill/>
                  </pic:spPr>
                </pic:pic>
              </a:graphicData>
            </a:graphic>
            <wp14:sizeRelH relativeFrom="page">
              <wp14:pctWidth>0</wp14:pctWidth>
            </wp14:sizeRelH>
            <wp14:sizeRelV relativeFrom="page">
              <wp14:pctHeight>0</wp14:pctHeight>
            </wp14:sizeRelV>
          </wp:anchor>
        </w:drawing>
      </w:r>
      <w:r w:rsidR="00EE60DA" w:rsidRPr="00AB7D1E">
        <w:rPr>
          <w:b/>
          <w:bCs/>
          <w:lang w:val="en-US"/>
        </w:rPr>
        <w:t>ESS8</w:t>
      </w:r>
      <w:r w:rsidR="00EE60DA" w:rsidRPr="00AB7D1E">
        <w:rPr>
          <w:lang w:val="en-US"/>
        </w:rPr>
        <w:t xml:space="preserve"> recognizes that cultural heritage provides continuity in tangible and intangible forms between the past, present and future. It sets out measures designed to protect cultural heritage throughout the project </w:t>
      </w:r>
      <w:proofErr w:type="gramStart"/>
      <w:r w:rsidR="00EE60DA" w:rsidRPr="00AB7D1E">
        <w:rPr>
          <w:lang w:val="en-US"/>
        </w:rPr>
        <w:t>life-cycle</w:t>
      </w:r>
      <w:proofErr w:type="gramEnd"/>
      <w:r w:rsidR="00EE60DA" w:rsidRPr="00AB7D1E">
        <w:rPr>
          <w:lang w:val="en-US"/>
        </w:rPr>
        <w:t>.</w:t>
      </w:r>
    </w:p>
    <w:p w14:paraId="133A7940" w14:textId="77777777" w:rsidR="00EE60DA" w:rsidRPr="00AB7D1E" w:rsidRDefault="00EE60DA" w:rsidP="00EE60DA">
      <w:pPr>
        <w:rPr>
          <w:b/>
          <w:bCs/>
          <w:lang w:val="en-US"/>
        </w:rPr>
      </w:pPr>
      <w:r w:rsidRPr="00AB7D1E">
        <w:rPr>
          <w:b/>
          <w:bCs/>
          <w:lang w:val="en-US"/>
        </w:rPr>
        <w:t>General objectives are as follows: to protect cultural heritage from the adverse impacts of project activities and support its preservation, to address cultural heritage as an integral aspect of sustainable development, to promote meaningful consultation with stakeholders regarding cultural heritage, to promote the equitable sharing of benefits from the use of cultural heritage</w:t>
      </w:r>
      <w:r w:rsidRPr="00AB7D1E">
        <w:rPr>
          <w:b/>
          <w:bCs/>
          <w:vertAlign w:val="superscript"/>
          <w:lang w:val="en-US"/>
        </w:rPr>
        <w:footnoteReference w:id="104"/>
      </w:r>
      <w:r w:rsidRPr="00AB7D1E">
        <w:rPr>
          <w:b/>
          <w:bCs/>
          <w:lang w:val="en-US"/>
        </w:rPr>
        <w:t>.</w:t>
      </w:r>
    </w:p>
    <w:p w14:paraId="22CB0E51" w14:textId="77777777" w:rsidR="00EE60DA" w:rsidRPr="00AB7D1E" w:rsidRDefault="00EE60DA" w:rsidP="00EE60DA">
      <w:pPr>
        <w:rPr>
          <w:lang w:val="en-US"/>
        </w:rPr>
      </w:pPr>
      <w:r w:rsidRPr="00AB7D1E">
        <w:rPr>
          <w:b/>
          <w:lang w:val="en-US"/>
        </w:rPr>
        <w:t xml:space="preserve">The requirements of ESS 8 apply to cultural heritage regardless of </w:t>
      </w:r>
      <w:proofErr w:type="gramStart"/>
      <w:r w:rsidRPr="00AB7D1E">
        <w:rPr>
          <w:b/>
          <w:lang w:val="en-US"/>
        </w:rPr>
        <w:t>whether or not</w:t>
      </w:r>
      <w:proofErr w:type="gramEnd"/>
      <w:r w:rsidRPr="00AB7D1E">
        <w:rPr>
          <w:b/>
          <w:lang w:val="en-US"/>
        </w:rPr>
        <w:t xml:space="preserve"> it has been legally protected or previously identified or disturbed.</w:t>
      </w:r>
      <w:r w:rsidRPr="00AB7D1E">
        <w:rPr>
          <w:lang w:val="en-US"/>
        </w:rPr>
        <w:t xml:space="preserve"> </w:t>
      </w:r>
    </w:p>
    <w:p w14:paraId="62F10C5F" w14:textId="77777777" w:rsidR="00EE60DA" w:rsidRPr="00AB7D1E" w:rsidRDefault="00EE60DA" w:rsidP="00EE60DA">
      <w:pPr>
        <w:rPr>
          <w:lang w:val="en-US"/>
        </w:rPr>
      </w:pPr>
      <w:r w:rsidRPr="00AB7D1E">
        <w:rPr>
          <w:lang w:val="en-US"/>
        </w:rPr>
        <w:t xml:space="preserve">If previously unknown cultural heritage is encountered during project activities, a chance finds procedure should be followed. It </w:t>
      </w:r>
      <w:proofErr w:type="gramStart"/>
      <w:r w:rsidRPr="00AB7D1E">
        <w:rPr>
          <w:lang w:val="en-US"/>
        </w:rPr>
        <w:t>has to</w:t>
      </w:r>
      <w:proofErr w:type="gramEnd"/>
      <w:r w:rsidRPr="00AB7D1E">
        <w:rPr>
          <w:lang w:val="en-US"/>
        </w:rPr>
        <w:t xml:space="preserve"> be included in all contracts relating to construction of the project, including excavations, demolition, movement of earth, etc. The chance finds procedure sets out how chance finds associated with the project </w:t>
      </w:r>
      <w:proofErr w:type="gramStart"/>
      <w:r w:rsidRPr="00AB7D1E">
        <w:rPr>
          <w:lang w:val="en-US"/>
        </w:rPr>
        <w:t>has to</w:t>
      </w:r>
      <w:proofErr w:type="gramEnd"/>
      <w:r w:rsidRPr="00AB7D1E">
        <w:rPr>
          <w:lang w:val="en-US"/>
        </w:rPr>
        <w:t xml:space="preserve"> be managed. </w:t>
      </w:r>
    </w:p>
    <w:p w14:paraId="54747546" w14:textId="77777777" w:rsidR="00EE60DA" w:rsidRPr="00AB7D1E" w:rsidRDefault="00EE60DA" w:rsidP="00EE60DA">
      <w:pPr>
        <w:rPr>
          <w:lang w:val="en-US"/>
        </w:rPr>
      </w:pPr>
      <w:r w:rsidRPr="00AB7D1E">
        <w:rPr>
          <w:lang w:val="en-US"/>
        </w:rPr>
        <w:t>A chance finds procedure is included in relevant procurement documents and instructions to contractors. A chance finds procedure is not a substitute for preconstruction surveys and analyses.</w:t>
      </w:r>
    </w:p>
    <w:p w14:paraId="4EAE6AB7" w14:textId="156896EB" w:rsidR="007B0AB2" w:rsidRDefault="007B0AB2" w:rsidP="00C56F4A">
      <w:pPr>
        <w:widowControl w:val="0"/>
        <w:autoSpaceDE w:val="0"/>
        <w:adjustRightInd w:val="0"/>
        <w:spacing w:after="0" w:line="240" w:lineRule="auto"/>
        <w:ind w:right="62"/>
        <w:rPr>
          <w:b/>
          <w:bCs/>
          <w:lang w:val="en-US"/>
        </w:rPr>
      </w:pPr>
      <w:r w:rsidRPr="007B0AB2">
        <w:rPr>
          <w:b/>
          <w:bCs/>
          <w:lang w:val="en-US"/>
        </w:rPr>
        <w:t xml:space="preserve">This Standard is relevant to the overall project and for Component </w:t>
      </w:r>
      <w:r>
        <w:rPr>
          <w:b/>
          <w:bCs/>
          <w:lang w:val="en-US"/>
        </w:rPr>
        <w:t>2</w:t>
      </w:r>
      <w:r w:rsidRPr="007B0AB2">
        <w:rPr>
          <w:b/>
          <w:bCs/>
          <w:lang w:val="en-US"/>
        </w:rPr>
        <w:t>, subject of this ESMF.</w:t>
      </w:r>
    </w:p>
    <w:p w14:paraId="25CA0616" w14:textId="0248DDEB" w:rsidR="00C56F4A" w:rsidRDefault="00C56F4A" w:rsidP="00C56F4A">
      <w:pPr>
        <w:widowControl w:val="0"/>
        <w:autoSpaceDE w:val="0"/>
        <w:adjustRightInd w:val="0"/>
        <w:spacing w:after="0" w:line="240" w:lineRule="auto"/>
        <w:ind w:right="62"/>
        <w:rPr>
          <w:lang w:val="en-US"/>
        </w:rPr>
      </w:pPr>
      <w:r w:rsidRPr="00AB7D1E">
        <w:rPr>
          <w:lang w:val="en-US"/>
        </w:rPr>
        <w:t>The buildings designated and protected as cultural heritage will not be eligible for financing</w:t>
      </w:r>
      <w:r w:rsidR="007B0AB2">
        <w:rPr>
          <w:lang w:val="en-US"/>
        </w:rPr>
        <w:t xml:space="preserve"> </w:t>
      </w:r>
      <w:r w:rsidR="007B0AB2" w:rsidRPr="007B0AB2">
        <w:rPr>
          <w:lang w:val="en-US"/>
        </w:rPr>
        <w:t>yet certain sub-projects are in the area of protected cultural and historical entity. Cultural heritage related risks will be addressed through this ESMF and the development of Cultural Heritage Management Plan (CHMP)</w:t>
      </w:r>
      <w:r w:rsidR="007B0AB2">
        <w:rPr>
          <w:lang w:val="en-US"/>
        </w:rPr>
        <w:t xml:space="preserve"> as a part of ESMP/ESMP Checklist.</w:t>
      </w:r>
    </w:p>
    <w:p w14:paraId="428D1863" w14:textId="39ED6089" w:rsidR="007B0AB2" w:rsidRDefault="007B0AB2" w:rsidP="00C56F4A">
      <w:pPr>
        <w:widowControl w:val="0"/>
        <w:autoSpaceDE w:val="0"/>
        <w:adjustRightInd w:val="0"/>
        <w:spacing w:after="0" w:line="240" w:lineRule="auto"/>
        <w:ind w:right="62"/>
        <w:rPr>
          <w:lang w:val="en-US"/>
        </w:rPr>
      </w:pPr>
    </w:p>
    <w:p w14:paraId="629D480D" w14:textId="77777777" w:rsidR="007B0AB2" w:rsidRPr="00AB7D1E" w:rsidRDefault="007B0AB2" w:rsidP="00C56F4A">
      <w:pPr>
        <w:widowControl w:val="0"/>
        <w:autoSpaceDE w:val="0"/>
        <w:adjustRightInd w:val="0"/>
        <w:spacing w:after="0" w:line="240" w:lineRule="auto"/>
        <w:ind w:right="62"/>
        <w:rPr>
          <w:lang w:val="en-US"/>
        </w:rPr>
      </w:pPr>
    </w:p>
    <w:p w14:paraId="46796B74" w14:textId="09F21F7C" w:rsidR="00C56F4A" w:rsidRPr="00AB7D1E" w:rsidRDefault="00C56F4A" w:rsidP="00C56F4A">
      <w:pPr>
        <w:pStyle w:val="Heading2"/>
        <w:rPr>
          <w:lang w:val="en-US"/>
        </w:rPr>
      </w:pPr>
      <w:bookmarkStart w:id="150" w:name="_Toc56954070"/>
      <w:r w:rsidRPr="00AB7D1E">
        <w:rPr>
          <w:noProof/>
          <w:lang w:val="en-US" w:eastAsia="hr-HR"/>
        </w:rPr>
        <w:lastRenderedPageBreak/>
        <w:drawing>
          <wp:anchor distT="0" distB="0" distL="114300" distR="114300" simplePos="0" relativeHeight="251672576" behindDoc="1" locked="0" layoutInCell="1" allowOverlap="1" wp14:anchorId="6D3BE175" wp14:editId="4FA51829">
            <wp:simplePos x="0" y="0"/>
            <wp:positionH relativeFrom="margin">
              <wp:align>right</wp:align>
            </wp:positionH>
            <wp:positionV relativeFrom="paragraph">
              <wp:posOffset>86995</wp:posOffset>
            </wp:positionV>
            <wp:extent cx="1681200" cy="1195200"/>
            <wp:effectExtent l="0" t="0" r="0" b="5080"/>
            <wp:wrapTight wrapText="bothSides">
              <wp:wrapPolygon edited="0">
                <wp:start x="0" y="0"/>
                <wp:lineTo x="0" y="21348"/>
                <wp:lineTo x="21298" y="21348"/>
                <wp:lineTo x="2129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1200" cy="1195200"/>
                    </a:xfrm>
                    <a:prstGeom prst="rect">
                      <a:avLst/>
                    </a:prstGeom>
                    <a:noFill/>
                  </pic:spPr>
                </pic:pic>
              </a:graphicData>
            </a:graphic>
            <wp14:sizeRelH relativeFrom="page">
              <wp14:pctWidth>0</wp14:pctWidth>
            </wp14:sizeRelH>
            <wp14:sizeRelV relativeFrom="page">
              <wp14:pctHeight>0</wp14:pctHeight>
            </wp14:sizeRelV>
          </wp:anchor>
        </w:drawing>
      </w:r>
      <w:r w:rsidRPr="00AB7D1E">
        <w:rPr>
          <w:lang w:val="en-US"/>
        </w:rPr>
        <w:t>ESS10 Stakeholder Engagement and Information Disclosure</w:t>
      </w:r>
      <w:bookmarkEnd w:id="150"/>
    </w:p>
    <w:p w14:paraId="3B1C22D9" w14:textId="1532BF03" w:rsidR="00C56F4A" w:rsidRPr="00AB7D1E" w:rsidRDefault="00C56F4A" w:rsidP="00C56F4A">
      <w:pPr>
        <w:pBdr>
          <w:top w:val="nil"/>
          <w:left w:val="nil"/>
          <w:bottom w:val="nil"/>
          <w:right w:val="nil"/>
          <w:between w:val="nil"/>
          <w:bar w:val="nil"/>
        </w:pBd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Stakeholder engagement is most effective when initiated at an early stage of the project development </w:t>
      </w:r>
      <w:proofErr w:type="gramStart"/>
      <w:r w:rsidRPr="00AB7D1E">
        <w:rPr>
          <w:rFonts w:ascii="Calibri" w:hAnsi="Calibri" w:cs="Calibri"/>
          <w:lang w:val="en-US"/>
        </w:rPr>
        <w:t>process, and</w:t>
      </w:r>
      <w:proofErr w:type="gramEnd"/>
      <w:r w:rsidRPr="00AB7D1E">
        <w:rPr>
          <w:rFonts w:ascii="Calibri" w:hAnsi="Calibri" w:cs="Calibri"/>
          <w:lang w:val="en-US"/>
        </w:rPr>
        <w:t xml:space="preserve"> is an integral part of early project decisions and the assessment, management and monitoring of the project’s environmental and social risks and impacts.</w:t>
      </w:r>
    </w:p>
    <w:p w14:paraId="4171B347" w14:textId="34E2C0BA" w:rsidR="00C56F4A" w:rsidRPr="00AB7D1E" w:rsidRDefault="00C56F4A" w:rsidP="00C56F4A">
      <w:pPr>
        <w:pBdr>
          <w:top w:val="nil"/>
          <w:left w:val="nil"/>
          <w:bottom w:val="nil"/>
          <w:right w:val="nil"/>
          <w:between w:val="nil"/>
          <w:bar w:val="nil"/>
        </w:pBd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This ESS must be read in conjunction with ESS1. Requirements regarding engagement with workers are found in ESS2. Special provisions on emergency preparedness and response are covered in ESS2 and ESS4. In the case of projects </w:t>
      </w:r>
      <w:r w:rsidR="00F820FC" w:rsidRPr="00AB7D1E">
        <w:rPr>
          <w:rFonts w:ascii="Calibri" w:hAnsi="Calibri" w:cs="Calibri"/>
          <w:lang w:val="en-US"/>
        </w:rPr>
        <w:t>involving involuntary</w:t>
      </w:r>
      <w:r w:rsidRPr="00AB7D1E">
        <w:rPr>
          <w:rFonts w:ascii="Calibri" w:hAnsi="Calibri" w:cs="Calibri"/>
          <w:lang w:val="en-US"/>
        </w:rPr>
        <w:t xml:space="preserve"> resettlement, Indigenous People</w:t>
      </w:r>
      <w:r w:rsidR="00C40CA9" w:rsidRPr="00AB7D1E">
        <w:rPr>
          <w:rFonts w:ascii="Calibri" w:hAnsi="Calibri" w:cs="Calibri"/>
          <w:lang w:val="en-US"/>
        </w:rPr>
        <w:t>s</w:t>
      </w:r>
      <w:r w:rsidRPr="00AB7D1E">
        <w:rPr>
          <w:rFonts w:ascii="Calibri" w:hAnsi="Calibri" w:cs="Calibri"/>
          <w:lang w:val="en-US"/>
        </w:rPr>
        <w:t xml:space="preserve"> or </w:t>
      </w:r>
      <w:r w:rsidR="00F820FC" w:rsidRPr="00AB7D1E">
        <w:rPr>
          <w:rFonts w:ascii="Calibri" w:hAnsi="Calibri" w:cs="Calibri"/>
          <w:lang w:val="en-US"/>
        </w:rPr>
        <w:t>cultural heritage</w:t>
      </w:r>
      <w:r w:rsidRPr="00AB7D1E">
        <w:rPr>
          <w:rFonts w:ascii="Calibri" w:hAnsi="Calibri" w:cs="Calibri"/>
          <w:lang w:val="en-US"/>
        </w:rPr>
        <w:t>, the Proponent will also apply the special disclosure and consultation requirements set out in ESS5, ESS7 and ESS8.</w:t>
      </w:r>
    </w:p>
    <w:p w14:paraId="41F77978" w14:textId="77777777" w:rsidR="00C56F4A" w:rsidRPr="00AB7D1E" w:rsidRDefault="00C56F4A" w:rsidP="00C56F4A">
      <w:pPr>
        <w:pBdr>
          <w:top w:val="nil"/>
          <w:left w:val="nil"/>
          <w:bottom w:val="nil"/>
          <w:right w:val="nil"/>
          <w:between w:val="nil"/>
          <w:bar w:val="nil"/>
        </w:pBdr>
        <w:suppressAutoHyphens w:val="0"/>
        <w:autoSpaceDN/>
        <w:spacing w:before="0" w:line="276" w:lineRule="auto"/>
        <w:textAlignment w:val="auto"/>
        <w:rPr>
          <w:rFonts w:ascii="Calibri" w:hAnsi="Calibri" w:cs="Calibri"/>
          <w:b/>
          <w:bCs/>
          <w:lang w:val="en-US"/>
        </w:rPr>
      </w:pPr>
      <w:r w:rsidRPr="00AB7D1E">
        <w:rPr>
          <w:rFonts w:ascii="Calibri" w:hAnsi="Calibri" w:cs="Calibri"/>
          <w:b/>
          <w:bCs/>
          <w:lang w:val="en-US"/>
        </w:rPr>
        <w:t xml:space="preserve">Objectives of the ESS10 are: to establish a systematic approach to stakeholder engagement that will help Borrowers to identify stakeholders and build and maintain a constructive relationship with them, in particular project-affected parties; to assess the level of stakeholder interest and support for the project and to enable stakeholders’ views to be taken into account in project design and environmental and social performance, etc. </w:t>
      </w:r>
    </w:p>
    <w:p w14:paraId="7E48DE47" w14:textId="619F1529" w:rsidR="006B4FAE" w:rsidRPr="00AB7D1E" w:rsidRDefault="00C56F4A" w:rsidP="00C56F4A">
      <w:pPr>
        <w:widowControl w:val="0"/>
        <w:autoSpaceDE w:val="0"/>
        <w:adjustRightInd w:val="0"/>
        <w:spacing w:before="0" w:after="0" w:line="240" w:lineRule="auto"/>
        <w:ind w:right="62"/>
        <w:rPr>
          <w:b/>
          <w:bCs/>
          <w:lang w:val="en-US"/>
        </w:rPr>
      </w:pPr>
      <w:r w:rsidRPr="00AB7D1E">
        <w:rPr>
          <w:b/>
          <w:bCs/>
          <w:lang w:val="en-US"/>
        </w:rPr>
        <w:t xml:space="preserve">This Standard is relevant to the </w:t>
      </w:r>
      <w:r w:rsidR="00B07CBE">
        <w:rPr>
          <w:b/>
          <w:bCs/>
          <w:lang w:val="en-US"/>
        </w:rPr>
        <w:t xml:space="preserve">overall </w:t>
      </w:r>
      <w:r w:rsidR="009C4B1E">
        <w:rPr>
          <w:b/>
          <w:bCs/>
          <w:lang w:val="en-US"/>
        </w:rPr>
        <w:t>p</w:t>
      </w:r>
      <w:r w:rsidRPr="00AB7D1E">
        <w:rPr>
          <w:b/>
          <w:bCs/>
          <w:lang w:val="en-US"/>
        </w:rPr>
        <w:t>roject</w:t>
      </w:r>
      <w:r w:rsidR="00A70D22">
        <w:rPr>
          <w:b/>
          <w:bCs/>
          <w:lang w:val="en-US"/>
        </w:rPr>
        <w:t xml:space="preserve"> </w:t>
      </w:r>
      <w:r w:rsidR="00A70D22" w:rsidRPr="00A70D22">
        <w:rPr>
          <w:b/>
          <w:bCs/>
          <w:lang w:val="en-US"/>
        </w:rPr>
        <w:t>and for the Component 2, subject of this ESMF.</w:t>
      </w:r>
    </w:p>
    <w:p w14:paraId="1A469CBD" w14:textId="2EFBB444" w:rsidR="00192E1D" w:rsidRPr="00AB7D1E" w:rsidRDefault="00C56F4A" w:rsidP="00192E1D">
      <w:pPr>
        <w:rPr>
          <w:rFonts w:ascii="Calibri" w:hAnsi="Calibri" w:cs="Calibri"/>
          <w:lang w:val="en-US"/>
        </w:rPr>
      </w:pPr>
      <w:bookmarkStart w:id="151" w:name="_Hlk47980233"/>
      <w:r w:rsidRPr="00AB7D1E">
        <w:rPr>
          <w:rFonts w:ascii="Calibri" w:hAnsi="Calibri" w:cs="Calibri"/>
          <w:lang w:val="en-US"/>
        </w:rPr>
        <w:t xml:space="preserve">The Initial Stakeholder Engagement Plan (SEP) is prepared as early as possible, before project appraisal, and was disclosed on the </w:t>
      </w:r>
      <w:proofErr w:type="spellStart"/>
      <w:r w:rsidR="004A086E" w:rsidRPr="00AB7D1E">
        <w:rPr>
          <w:rFonts w:ascii="Calibri" w:hAnsi="Calibri" w:cs="Calibri"/>
          <w:lang w:val="en-US"/>
        </w:rPr>
        <w:t>MoPPCS</w:t>
      </w:r>
      <w:r w:rsidR="00AC59DB">
        <w:rPr>
          <w:rFonts w:ascii="Calibri" w:hAnsi="Calibri" w:cs="Calibri"/>
          <w:lang w:val="en-US"/>
        </w:rPr>
        <w:t>A</w:t>
      </w:r>
      <w:proofErr w:type="spellEnd"/>
      <w:r w:rsidRPr="00AB7D1E">
        <w:rPr>
          <w:rFonts w:ascii="Calibri" w:hAnsi="Calibri" w:cs="Calibri"/>
          <w:lang w:val="en-US"/>
        </w:rPr>
        <w:t xml:space="preserve"> and WB website on May 6, 2020. </w:t>
      </w:r>
      <w:r w:rsidR="003F7580" w:rsidRPr="00AB7D1E">
        <w:rPr>
          <w:b/>
          <w:bCs/>
          <w:lang w:val="en-US"/>
        </w:rPr>
        <w:t>It will be updated periodically as necessary.</w:t>
      </w:r>
    </w:p>
    <w:bookmarkEnd w:id="151"/>
    <w:p w14:paraId="4DFBBFCB" w14:textId="652336E1" w:rsidR="00C56F4A" w:rsidRPr="00AB7D1E" w:rsidRDefault="00C56F4A" w:rsidP="00192E1D">
      <w:pPr>
        <w:rPr>
          <w:rFonts w:ascii="Calibri" w:hAnsi="Calibri" w:cs="Calibri"/>
          <w:lang w:val="en-US"/>
        </w:rPr>
      </w:pPr>
      <w:r w:rsidRPr="00AB7D1E">
        <w:rPr>
          <w:rFonts w:ascii="Calibri" w:hAnsi="Calibri" w:cs="Calibri"/>
          <w:lang w:val="en-US"/>
        </w:rPr>
        <w:t>The SEP defines a program for stakeholder engagement, including planned public information disclosure and ways in which the project team will communicate with stakeholders throughout the project cycle. The SEP includes a grievance mechanism allowing citizens to raise concerns, provide feedback, or make complaints about any project related activities, whereby multiple channels for grievance uptake exist and citizens' project-related inputs are aggregated and followed-up on by a focal point in PIU. The grievance mechanism will also cater to the interests and concerns of direct and contracted workers.</w:t>
      </w:r>
    </w:p>
    <w:p w14:paraId="0D41905F" w14:textId="77777777" w:rsidR="006F24E8" w:rsidRPr="00AB7D1E" w:rsidRDefault="006F24E8" w:rsidP="006F24E8">
      <w:pPr>
        <w:rPr>
          <w:lang w:val="en-US"/>
        </w:rPr>
      </w:pPr>
      <w:r w:rsidRPr="00AB7D1E">
        <w:rPr>
          <w:lang w:val="en-US"/>
        </w:rPr>
        <w:t xml:space="preserve">With the evolving situation, as the Croatian Government has taken measures to impose strict restrictions on public gatherings, meetings and people’s movement, the general public has also become increasingly concerned about the risks of transmission, particularly through social interactions. Hence alternative ways will be adopted to manage consultations and stakeholder engagement in accordance with the local laws, policies and new social norms in effect to mitigate prevention of the virus transmission. </w:t>
      </w:r>
      <w:r w:rsidRPr="00AB7D1E">
        <w:rPr>
          <w:rFonts w:ascii="Calibri" w:hAnsi="Calibri" w:cs="Calibri"/>
          <w:lang w:val="en-US"/>
        </w:rPr>
        <w:t xml:space="preserve">These alternate approaches that will be practiced for stakeholder engagement will include: having consultations in small groups if smaller meetings are permitted, else making reasonable efforts to conduct meetings through online channels (e.g. </w:t>
      </w:r>
      <w:proofErr w:type="spellStart"/>
      <w:r w:rsidRPr="00AB7D1E">
        <w:rPr>
          <w:rFonts w:ascii="Calibri" w:hAnsi="Calibri" w:cs="Calibri"/>
          <w:lang w:val="en-US"/>
        </w:rPr>
        <w:t>webex</w:t>
      </w:r>
      <w:proofErr w:type="spellEnd"/>
      <w:r w:rsidRPr="00AB7D1E">
        <w:rPr>
          <w:rFonts w:ascii="Calibri" w:hAnsi="Calibri" w:cs="Calibri"/>
          <w:lang w:val="en-US"/>
        </w:rPr>
        <w:t xml:space="preserve">, zoom, skype etc.); diversifying means of communication and relying more on social media, chat groups, dedicated online platforms &amp; mobile Apps (e.g. Facebook, Twitter, WhatsApp groups, project weblinks/websites etc.); and employing traditional channels of communications such TV, radio, dedicated phone-lines, </w:t>
      </w:r>
      <w:r w:rsidRPr="00AB7D1E">
        <w:rPr>
          <w:rFonts w:ascii="Calibri" w:hAnsi="Calibri" w:cs="Calibri"/>
          <w:lang w:val="en-US"/>
        </w:rPr>
        <w:lastRenderedPageBreak/>
        <w:t>SMS broadcasting, public announcements when stakeholders do not have access to online channels or do not use them frequently.</w:t>
      </w:r>
    </w:p>
    <w:p w14:paraId="06E8204C" w14:textId="7CC9224C" w:rsidR="00D138FC" w:rsidRPr="00AB7D1E" w:rsidRDefault="00C56F4A" w:rsidP="00D138FC">
      <w:pPr>
        <w:rPr>
          <w:lang w:val="en-US"/>
        </w:rPr>
      </w:pPr>
      <w:r w:rsidRPr="00AB7D1E">
        <w:rPr>
          <w:b/>
          <w:bCs/>
          <w:i/>
          <w:iCs/>
          <w:lang w:val="en-US"/>
        </w:rPr>
        <w:t>The affected parties</w:t>
      </w:r>
      <w:r w:rsidR="005A7F93" w:rsidRPr="00AB7D1E">
        <w:rPr>
          <w:rStyle w:val="FootnoteReference"/>
          <w:lang w:val="en-US"/>
        </w:rPr>
        <w:footnoteReference w:id="105"/>
      </w:r>
      <w:r w:rsidRPr="00AB7D1E">
        <w:rPr>
          <w:lang w:val="en-US"/>
        </w:rPr>
        <w:t xml:space="preserve"> </w:t>
      </w:r>
      <w:r w:rsidR="005A7F93" w:rsidRPr="00AB7D1E">
        <w:rPr>
          <w:lang w:val="en-US"/>
        </w:rPr>
        <w:t xml:space="preserve">under this project component </w:t>
      </w:r>
      <w:r w:rsidRPr="00AB7D1E">
        <w:rPr>
          <w:lang w:val="en-US"/>
        </w:rPr>
        <w:t xml:space="preserve">include: </w:t>
      </w:r>
      <w:r w:rsidR="00D138FC" w:rsidRPr="00AB7D1E">
        <w:rPr>
          <w:lang w:val="en-US"/>
        </w:rPr>
        <w:t>staff of the public health laboratories; primary health care workers of the facilities to be rehabilitated/equipped for the delivery of critical medical services; medical staff and patients of the hospitals selected for the establishment of flexible and specialized intensive care units; health facilities staff and front-line workers (doctors, nurses, public health inspectors, midwives, laboratory technicians/staff); general public impacted by the implementation of “social distancing measures” and targeted by public health communication campaigns, Ministry of Health government officials; the Civil Protection Headquarters of the Republic of Croatia and county, local civil protection teams; the Civil Protection Headquarters of the City of Zagreb.</w:t>
      </w:r>
    </w:p>
    <w:p w14:paraId="4FEBC9C9" w14:textId="0A7872D5" w:rsidR="00F87E50" w:rsidRPr="00AB7D1E" w:rsidRDefault="003555B9" w:rsidP="00960D87">
      <w:pPr>
        <w:rPr>
          <w:lang w:val="en-US"/>
        </w:rPr>
      </w:pPr>
      <w:r w:rsidRPr="00AB7D1E">
        <w:rPr>
          <w:b/>
          <w:bCs/>
          <w:i/>
          <w:iCs/>
          <w:lang w:val="en-US"/>
        </w:rPr>
        <w:t>Other Interested Parties</w:t>
      </w:r>
      <w:r w:rsidR="00F87E50" w:rsidRPr="00AB7D1E">
        <w:rPr>
          <w:rStyle w:val="FootnoteReference"/>
          <w:lang w:val="en-US"/>
        </w:rPr>
        <w:footnoteReference w:id="106"/>
      </w:r>
      <w:r w:rsidR="00F87E50" w:rsidRPr="00AB7D1E">
        <w:rPr>
          <w:lang w:val="en-US"/>
        </w:rPr>
        <w:t xml:space="preserve"> under this project component include: </w:t>
      </w:r>
      <w:r w:rsidR="00F87E50" w:rsidRPr="00AB7D1E">
        <w:rPr>
          <w:i/>
          <w:iCs/>
          <w:lang w:val="en-US"/>
        </w:rPr>
        <w:t>public sector stakeholders</w:t>
      </w:r>
      <w:r w:rsidR="00F87E50" w:rsidRPr="00AB7D1E">
        <w:rPr>
          <w:lang w:val="en-US"/>
        </w:rPr>
        <w:t xml:space="preserve">  - </w:t>
      </w:r>
      <w:r w:rsidR="00D138FC" w:rsidRPr="00AB7D1E">
        <w:rPr>
          <w:lang w:val="en-US"/>
        </w:rPr>
        <w:t xml:space="preserve">Croatian Institute of Public Health; Andrija </w:t>
      </w:r>
      <w:proofErr w:type="spellStart"/>
      <w:r w:rsidR="00024588" w:rsidRPr="00AB7D1E">
        <w:rPr>
          <w:lang w:val="en-US"/>
        </w:rPr>
        <w:t>Š</w:t>
      </w:r>
      <w:r w:rsidR="00D138FC" w:rsidRPr="00AB7D1E">
        <w:rPr>
          <w:lang w:val="en-US"/>
        </w:rPr>
        <w:t>tampar</w:t>
      </w:r>
      <w:proofErr w:type="spellEnd"/>
      <w:r w:rsidR="00D138FC" w:rsidRPr="00AB7D1E">
        <w:rPr>
          <w:lang w:val="en-US"/>
        </w:rPr>
        <w:t xml:space="preserve"> Teaching Institute of Public Health; University Hospital for Infectious Diseases Dr. Fran </w:t>
      </w:r>
      <w:proofErr w:type="spellStart"/>
      <w:r w:rsidR="00D138FC" w:rsidRPr="00AB7D1E">
        <w:rPr>
          <w:lang w:val="en-US"/>
        </w:rPr>
        <w:t>Mihaljevic</w:t>
      </w:r>
      <w:proofErr w:type="spellEnd"/>
      <w:r w:rsidR="00D138FC" w:rsidRPr="00AB7D1E">
        <w:rPr>
          <w:lang w:val="en-US"/>
        </w:rPr>
        <w:t xml:space="preserve">; Regional Public Health Institutes; Civil Protection Headquarters in 20 counties and City of Zagreb; </w:t>
      </w:r>
      <w:r w:rsidR="00F87E50" w:rsidRPr="00AB7D1E">
        <w:rPr>
          <w:i/>
          <w:iCs/>
          <w:lang w:val="en-US"/>
        </w:rPr>
        <w:t xml:space="preserve">private sector stakeholders - </w:t>
      </w:r>
      <w:r w:rsidR="00D138FC" w:rsidRPr="00AB7D1E">
        <w:rPr>
          <w:lang w:val="en-US"/>
        </w:rPr>
        <w:t>Potential suppliers of goods and service providers involved in the project</w:t>
      </w:r>
      <w:r w:rsidR="00F87E50" w:rsidRPr="00AB7D1E">
        <w:rPr>
          <w:lang w:val="en-US"/>
        </w:rPr>
        <w:t xml:space="preserve">; </w:t>
      </w:r>
      <w:r w:rsidR="00F87E50" w:rsidRPr="00AB7D1E">
        <w:rPr>
          <w:i/>
          <w:iCs/>
          <w:lang w:val="en-US"/>
        </w:rPr>
        <w:t xml:space="preserve">Non-governmental organizations </w:t>
      </w:r>
      <w:r w:rsidR="00D138FC" w:rsidRPr="00AB7D1E">
        <w:rPr>
          <w:lang w:val="en-US"/>
        </w:rPr>
        <w:t>–</w:t>
      </w:r>
      <w:r w:rsidR="00F87E50" w:rsidRPr="00AB7D1E">
        <w:rPr>
          <w:lang w:val="en-US"/>
        </w:rPr>
        <w:t xml:space="preserve"> </w:t>
      </w:r>
      <w:r w:rsidR="00D138FC" w:rsidRPr="00AB7D1E">
        <w:rPr>
          <w:lang w:val="en-US"/>
        </w:rPr>
        <w:t>Zagreb City Red Cross Society, which coordinates a network of COVID-19 volunteers helping the elderly, infirm and chronic patients</w:t>
      </w:r>
      <w:r w:rsidR="00D138FC" w:rsidRPr="00AB7D1E">
        <w:rPr>
          <w:rStyle w:val="FootnoteReference"/>
          <w:lang w:val="en-US"/>
        </w:rPr>
        <w:footnoteReference w:id="107"/>
      </w:r>
      <w:r w:rsidR="00D138FC" w:rsidRPr="00AB7D1E">
        <w:rPr>
          <w:lang w:val="en-US"/>
        </w:rPr>
        <w:t xml:space="preserve">; Faith-based communities (e.g. Caritas); Croatian Association of Innovative Pharmaceutical Companies; Roma associations, including Roma women’s organizations7, councils and representatives; </w:t>
      </w:r>
      <w:r w:rsidR="00D138FC" w:rsidRPr="00AB7D1E">
        <w:rPr>
          <w:i/>
          <w:iCs/>
          <w:lang w:val="en-US"/>
        </w:rPr>
        <w:t xml:space="preserve">Public Sector Stakeholders - </w:t>
      </w:r>
      <w:r w:rsidR="00D138FC" w:rsidRPr="00AB7D1E">
        <w:rPr>
          <w:lang w:val="en-US"/>
        </w:rPr>
        <w:t>Ministry of Regional Development and EU Funds; Ministry of Finance</w:t>
      </w:r>
      <w:r w:rsidR="0009236E" w:rsidRPr="00AB7D1E">
        <w:rPr>
          <w:lang w:val="en-US"/>
        </w:rPr>
        <w:t xml:space="preserve">; </w:t>
      </w:r>
      <w:r w:rsidR="009F5CA5" w:rsidRPr="00AB7D1E">
        <w:rPr>
          <w:rFonts w:ascii="Calibri-Italic" w:hAnsi="Calibri-Italic" w:cs="Calibri-Italic"/>
          <w:i/>
          <w:iCs/>
          <w:lang w:val="en-US"/>
        </w:rPr>
        <w:t>media –</w:t>
      </w:r>
      <w:r w:rsidR="009F5CA5" w:rsidRPr="00AB7D1E">
        <w:rPr>
          <w:rFonts w:ascii="Calibri-Italic" w:hAnsi="Calibri-Italic" w:cs="Calibri-Italic"/>
          <w:lang w:val="en-US"/>
        </w:rPr>
        <w:t xml:space="preserve"> television</w:t>
      </w:r>
      <w:r w:rsidR="009F5CA5" w:rsidRPr="00AB7D1E">
        <w:rPr>
          <w:rFonts w:ascii="Calibri-Italic" w:hAnsi="Calibri-Italic" w:cs="Calibri-Italic"/>
          <w:i/>
          <w:iCs/>
          <w:lang w:val="en-US"/>
        </w:rPr>
        <w:t xml:space="preserve">, </w:t>
      </w:r>
      <w:r w:rsidR="009F5CA5" w:rsidRPr="00AB7D1E">
        <w:rPr>
          <w:rFonts w:ascii="Calibri" w:hAnsi="Calibri" w:cs="Calibri"/>
          <w:lang w:val="en-US"/>
        </w:rPr>
        <w:t xml:space="preserve">radio stations, </w:t>
      </w:r>
      <w:r w:rsidR="003F7580" w:rsidRPr="00AB7D1E">
        <w:rPr>
          <w:rFonts w:ascii="Calibri" w:hAnsi="Calibri" w:cs="Calibri"/>
          <w:lang w:val="en-US"/>
        </w:rPr>
        <w:t>online</w:t>
      </w:r>
      <w:r w:rsidR="009F5CA5" w:rsidRPr="00AB7D1E">
        <w:rPr>
          <w:rFonts w:ascii="Calibri" w:hAnsi="Calibri" w:cs="Calibri"/>
          <w:lang w:val="en-US"/>
        </w:rPr>
        <w:t xml:space="preserve"> and print newspapers, Croatian </w:t>
      </w:r>
      <w:r w:rsidR="004A086E" w:rsidRPr="00AB7D1E">
        <w:rPr>
          <w:rFonts w:ascii="Calibri" w:hAnsi="Calibri" w:cs="Calibri"/>
          <w:lang w:val="en-US"/>
        </w:rPr>
        <w:t>N</w:t>
      </w:r>
      <w:r w:rsidR="009F5CA5" w:rsidRPr="00AB7D1E">
        <w:rPr>
          <w:rFonts w:ascii="Calibri" w:hAnsi="Calibri" w:cs="Calibri"/>
          <w:lang w:val="en-US"/>
        </w:rPr>
        <w:t xml:space="preserve">ational </w:t>
      </w:r>
      <w:r w:rsidR="004A086E" w:rsidRPr="00AB7D1E">
        <w:rPr>
          <w:rFonts w:ascii="Calibri" w:hAnsi="Calibri" w:cs="Calibri"/>
          <w:lang w:val="en-US"/>
        </w:rPr>
        <w:t>N</w:t>
      </w:r>
      <w:r w:rsidR="009F5CA5" w:rsidRPr="00AB7D1E">
        <w:rPr>
          <w:rFonts w:ascii="Calibri" w:hAnsi="Calibri" w:cs="Calibri"/>
          <w:lang w:val="en-US"/>
        </w:rPr>
        <w:t xml:space="preserve">ews </w:t>
      </w:r>
      <w:r w:rsidR="004A086E" w:rsidRPr="00AB7D1E">
        <w:rPr>
          <w:rFonts w:ascii="Calibri" w:hAnsi="Calibri" w:cs="Calibri"/>
          <w:lang w:val="en-US"/>
        </w:rPr>
        <w:t>A</w:t>
      </w:r>
      <w:r w:rsidR="009F5CA5" w:rsidRPr="00AB7D1E">
        <w:rPr>
          <w:rFonts w:ascii="Calibri" w:hAnsi="Calibri" w:cs="Calibri"/>
          <w:lang w:val="en-US"/>
        </w:rPr>
        <w:t>gency HINA, social media sites and discussion groups;</w:t>
      </w:r>
      <w:r w:rsidR="009F5CA5" w:rsidRPr="00AB7D1E">
        <w:rPr>
          <w:rFonts w:ascii="Calibri-Italic" w:hAnsi="Calibri-Italic" w:cs="Calibri-Italic"/>
          <w:i/>
          <w:iCs/>
          <w:lang w:val="en-US"/>
        </w:rPr>
        <w:t xml:space="preserve"> International partners - </w:t>
      </w:r>
      <w:r w:rsidR="009F5CA5" w:rsidRPr="00AB7D1E">
        <w:rPr>
          <w:rFonts w:ascii="Calibri-Italic" w:hAnsi="Calibri-Italic" w:cs="Calibri-Italic"/>
          <w:lang w:val="en-US"/>
        </w:rPr>
        <w:t>WHO Country Office, EU, UNICEF, Norway</w:t>
      </w:r>
      <w:r w:rsidR="009F5CA5" w:rsidRPr="00AB7D1E">
        <w:rPr>
          <w:rFonts w:ascii="Calibri-Italic" w:hAnsi="Calibri-Italic" w:cs="Calibri-Italic"/>
          <w:i/>
          <w:iCs/>
          <w:lang w:val="en-US"/>
        </w:rPr>
        <w:t>.</w:t>
      </w:r>
    </w:p>
    <w:p w14:paraId="2794B936" w14:textId="02EFA74C" w:rsidR="00EC48D9" w:rsidRDefault="00201E90" w:rsidP="00C570A6">
      <w:pPr>
        <w:rPr>
          <w:lang w:val="en-US"/>
        </w:rPr>
      </w:pPr>
      <w:r w:rsidRPr="00AB7D1E">
        <w:rPr>
          <w:b/>
          <w:bCs/>
          <w:i/>
          <w:iCs/>
          <w:lang w:val="en-US"/>
        </w:rPr>
        <w:t>Disadvantaged / vulnerable individuals or groups</w:t>
      </w:r>
      <w:r w:rsidRPr="00AB7D1E">
        <w:rPr>
          <w:rStyle w:val="FootnoteReference"/>
          <w:b/>
          <w:bCs/>
          <w:i/>
          <w:iCs/>
          <w:lang w:val="en-US"/>
        </w:rPr>
        <w:footnoteReference w:id="108"/>
      </w:r>
      <w:r w:rsidRPr="00AB7D1E">
        <w:rPr>
          <w:lang w:val="en-US"/>
        </w:rPr>
        <w:t xml:space="preserve"> </w:t>
      </w:r>
      <w:r w:rsidR="00C0669B" w:rsidRPr="00AB7D1E">
        <w:rPr>
          <w:lang w:val="en-US"/>
        </w:rPr>
        <w:t xml:space="preserve">include and not limited to the following </w:t>
      </w:r>
      <w:r w:rsidRPr="00AB7D1E">
        <w:rPr>
          <w:lang w:val="en-US"/>
        </w:rPr>
        <w:t>-</w:t>
      </w:r>
      <w:r w:rsidR="00C0669B" w:rsidRPr="00AB7D1E">
        <w:rPr>
          <w:lang w:val="en-US"/>
        </w:rPr>
        <w:t xml:space="preserve"> Persons over 65 years of age</w:t>
      </w:r>
      <w:r w:rsidR="00A66D06" w:rsidRPr="00AB7D1E">
        <w:rPr>
          <w:rStyle w:val="FootnoteReference"/>
          <w:lang w:val="en-US"/>
        </w:rPr>
        <w:footnoteReference w:id="109"/>
      </w:r>
      <w:r w:rsidR="00C0669B" w:rsidRPr="00AB7D1E">
        <w:rPr>
          <w:lang w:val="en-US"/>
        </w:rPr>
        <w:t>; Individuals with chronic diseases and pre-existing medical conditions</w:t>
      </w:r>
      <w:r w:rsidR="00A66D06" w:rsidRPr="00AB7D1E">
        <w:rPr>
          <w:rStyle w:val="FootnoteReference"/>
          <w:lang w:val="en-US"/>
        </w:rPr>
        <w:footnoteReference w:id="110"/>
      </w:r>
      <w:r w:rsidR="00C0669B" w:rsidRPr="00AB7D1E">
        <w:rPr>
          <w:lang w:val="en-US"/>
        </w:rPr>
        <w:t>; Pregnant women</w:t>
      </w:r>
      <w:r w:rsidR="00A66D06" w:rsidRPr="00AB7D1E">
        <w:rPr>
          <w:lang w:val="en-US"/>
        </w:rPr>
        <w:t xml:space="preserve">; </w:t>
      </w:r>
      <w:r w:rsidR="00C570A6" w:rsidRPr="00AB7D1E">
        <w:rPr>
          <w:lang w:val="en-US"/>
        </w:rPr>
        <w:t>People in institutional settings, including homes for the elderly and infirm, nursing homes, residential care settings, prisons</w:t>
      </w:r>
      <w:r w:rsidR="00C570A6" w:rsidRPr="00AB7D1E">
        <w:rPr>
          <w:rStyle w:val="FootnoteReference"/>
          <w:lang w:val="en-US"/>
        </w:rPr>
        <w:footnoteReference w:id="111"/>
      </w:r>
      <w:r w:rsidR="00C570A6" w:rsidRPr="00AB7D1E">
        <w:rPr>
          <w:lang w:val="en-US"/>
        </w:rPr>
        <w:t xml:space="preserve"> , refugee centers, or shelters for victims of domestic </w:t>
      </w:r>
      <w:r w:rsidR="00C570A6" w:rsidRPr="00AB7D1E">
        <w:rPr>
          <w:lang w:val="en-US"/>
        </w:rPr>
        <w:lastRenderedPageBreak/>
        <w:t>violence; Homeless people</w:t>
      </w:r>
      <w:r w:rsidR="00C570A6" w:rsidRPr="00AB7D1E">
        <w:rPr>
          <w:rStyle w:val="FootnoteReference"/>
          <w:lang w:val="en-US"/>
        </w:rPr>
        <w:footnoteReference w:id="112"/>
      </w:r>
      <w:r w:rsidR="00C570A6" w:rsidRPr="00AB7D1E">
        <w:rPr>
          <w:lang w:val="en-US"/>
        </w:rPr>
        <w:t>; Socially vulnerable groups; People with disabilities; Residents of rural areas and Residents of isolated settlements; Roma</w:t>
      </w:r>
      <w:r w:rsidR="000D4FD6" w:rsidRPr="00AB7D1E">
        <w:rPr>
          <w:lang w:val="en-US"/>
        </w:rPr>
        <w:t>; Women at risk of GBV.</w:t>
      </w:r>
    </w:p>
    <w:p w14:paraId="63A2F7A7" w14:textId="49D9FA05" w:rsidR="008910FF" w:rsidRPr="00AB7D1E" w:rsidRDefault="008910FF" w:rsidP="008910FF">
      <w:pPr>
        <w:pStyle w:val="Heading2"/>
        <w:rPr>
          <w:lang w:val="en-US"/>
        </w:rPr>
      </w:pPr>
      <w:bookmarkStart w:id="152" w:name="_Toc56954071"/>
      <w:r w:rsidRPr="00AB7D1E">
        <w:rPr>
          <w:lang w:val="en-US"/>
        </w:rPr>
        <w:t xml:space="preserve">Results of </w:t>
      </w:r>
      <w:r w:rsidR="00D333F6" w:rsidRPr="00AB7D1E">
        <w:rPr>
          <w:lang w:val="en-US"/>
        </w:rPr>
        <w:t xml:space="preserve">the </w:t>
      </w:r>
      <w:r w:rsidRPr="00AB7D1E">
        <w:rPr>
          <w:lang w:val="en-US"/>
        </w:rPr>
        <w:t>preliminary assessment of Environmental and Social Standards (ESS)</w:t>
      </w:r>
      <w:bookmarkEnd w:id="152"/>
    </w:p>
    <w:p w14:paraId="182EF105" w14:textId="26FDDD85" w:rsidR="008910FF" w:rsidRPr="00AB7D1E" w:rsidRDefault="008910FF" w:rsidP="007D1E1B">
      <w:pPr>
        <w:pStyle w:val="Style1"/>
      </w:pPr>
      <w:bookmarkStart w:id="153" w:name="_Toc56952713"/>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13</w:t>
      </w:r>
      <w:r w:rsidR="00DF4A34" w:rsidRPr="00AB7D1E">
        <w:fldChar w:fldCharType="end"/>
      </w:r>
      <w:r w:rsidRPr="00AB7D1E">
        <w:t xml:space="preserve">. </w:t>
      </w:r>
      <w:r w:rsidR="00BA239A" w:rsidRPr="00AB7D1E">
        <w:t>Preliminary assessment of ESS</w:t>
      </w:r>
      <w:bookmarkEnd w:id="153"/>
      <w:r w:rsidR="00BA239A" w:rsidRPr="00AB7D1E">
        <w:t xml:space="preserve"> </w:t>
      </w:r>
    </w:p>
    <w:tbl>
      <w:tblPr>
        <w:tblStyle w:val="GridTable4-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840"/>
        <w:gridCol w:w="846"/>
        <w:gridCol w:w="5035"/>
      </w:tblGrid>
      <w:tr w:rsidR="008910FF" w:rsidRPr="00AB7D1E" w14:paraId="39E44D07" w14:textId="77777777" w:rsidTr="009C4B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vMerge w:val="restart"/>
            <w:tcBorders>
              <w:top w:val="none" w:sz="0" w:space="0" w:color="auto"/>
              <w:left w:val="none" w:sz="0" w:space="0" w:color="auto"/>
              <w:bottom w:val="none" w:sz="0" w:space="0" w:color="auto"/>
              <w:right w:val="none" w:sz="0" w:space="0" w:color="auto"/>
            </w:tcBorders>
            <w:shd w:val="clear" w:color="auto" w:fill="CEDBE6" w:themeFill="background2"/>
            <w:vAlign w:val="center"/>
          </w:tcPr>
          <w:p w14:paraId="5BE114F9" w14:textId="77777777" w:rsidR="008910FF" w:rsidRPr="009C4B1E" w:rsidRDefault="008910FF" w:rsidP="00DE5067">
            <w:pPr>
              <w:suppressAutoHyphens w:val="0"/>
              <w:spacing w:before="0" w:after="0" w:line="240" w:lineRule="auto"/>
              <w:jc w:val="center"/>
              <w:rPr>
                <w:rFonts w:ascii="Calibri" w:eastAsia="Arial Unicode MS" w:hAnsi="Calibri" w:cs="Calibri"/>
                <w:color w:val="auto"/>
                <w:bdr w:val="nil"/>
              </w:rPr>
            </w:pPr>
            <w:r w:rsidRPr="009C4B1E">
              <w:rPr>
                <w:rFonts w:ascii="Calibri" w:eastAsia="Arial Unicode MS" w:hAnsi="Calibri" w:cs="Calibri"/>
                <w:color w:val="auto"/>
                <w:bdr w:val="nil"/>
              </w:rPr>
              <w:t>Environmental and Social Standards (ESS)</w:t>
            </w:r>
          </w:p>
        </w:tc>
        <w:tc>
          <w:tcPr>
            <w:tcW w:w="935" w:type="pct"/>
            <w:gridSpan w:val="2"/>
            <w:tcBorders>
              <w:top w:val="none" w:sz="0" w:space="0" w:color="auto"/>
              <w:left w:val="none" w:sz="0" w:space="0" w:color="auto"/>
              <w:bottom w:val="none" w:sz="0" w:space="0" w:color="auto"/>
              <w:right w:val="none" w:sz="0" w:space="0" w:color="auto"/>
            </w:tcBorders>
            <w:shd w:val="clear" w:color="auto" w:fill="CEDBE6" w:themeFill="background2"/>
            <w:vAlign w:val="center"/>
          </w:tcPr>
          <w:p w14:paraId="64EE6B39"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Relevant to the Project</w:t>
            </w:r>
          </w:p>
        </w:tc>
        <w:tc>
          <w:tcPr>
            <w:tcW w:w="2792" w:type="pct"/>
            <w:tcBorders>
              <w:top w:val="none" w:sz="0" w:space="0" w:color="auto"/>
              <w:left w:val="none" w:sz="0" w:space="0" w:color="auto"/>
              <w:bottom w:val="none" w:sz="0" w:space="0" w:color="auto"/>
              <w:right w:val="none" w:sz="0" w:space="0" w:color="auto"/>
            </w:tcBorders>
            <w:shd w:val="clear" w:color="auto" w:fill="CEDBE6" w:themeFill="background2"/>
            <w:vAlign w:val="center"/>
          </w:tcPr>
          <w:p w14:paraId="29945096"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 xml:space="preserve">Preliminary assessment </w:t>
            </w:r>
          </w:p>
        </w:tc>
      </w:tr>
      <w:tr w:rsidR="008910FF" w:rsidRPr="00AB7D1E" w14:paraId="0208DBAB" w14:textId="77777777" w:rsidTr="009C4B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3" w:type="pct"/>
            <w:vMerge/>
            <w:tcBorders>
              <w:top w:val="none" w:sz="0" w:space="0" w:color="auto"/>
              <w:left w:val="none" w:sz="0" w:space="0" w:color="auto"/>
              <w:bottom w:val="none" w:sz="0" w:space="0" w:color="auto"/>
              <w:right w:val="none" w:sz="0" w:space="0" w:color="auto"/>
            </w:tcBorders>
            <w:shd w:val="clear" w:color="auto" w:fill="CEDBE6" w:themeFill="background2"/>
            <w:vAlign w:val="center"/>
          </w:tcPr>
          <w:p w14:paraId="066BEAC6" w14:textId="77777777" w:rsidR="008910FF" w:rsidRPr="009C4B1E" w:rsidRDefault="008910FF" w:rsidP="00DE5067">
            <w:pPr>
              <w:suppressAutoHyphens w:val="0"/>
              <w:spacing w:before="0" w:after="0" w:line="240" w:lineRule="auto"/>
              <w:rPr>
                <w:rFonts w:ascii="Calibri" w:eastAsia="Arial Unicode MS" w:hAnsi="Calibri" w:cs="Calibri"/>
                <w:color w:val="auto"/>
                <w:bdr w:val="nil"/>
              </w:rPr>
            </w:pPr>
          </w:p>
        </w:tc>
        <w:tc>
          <w:tcPr>
            <w:tcW w:w="466" w:type="pct"/>
            <w:tcBorders>
              <w:top w:val="none" w:sz="0" w:space="0" w:color="auto"/>
              <w:left w:val="none" w:sz="0" w:space="0" w:color="auto"/>
              <w:bottom w:val="none" w:sz="0" w:space="0" w:color="auto"/>
              <w:right w:val="none" w:sz="0" w:space="0" w:color="auto"/>
            </w:tcBorders>
            <w:shd w:val="clear" w:color="auto" w:fill="CEDBE6" w:themeFill="background2"/>
            <w:vAlign w:val="center"/>
          </w:tcPr>
          <w:p w14:paraId="751A709D"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Yes</w:t>
            </w:r>
          </w:p>
        </w:tc>
        <w:tc>
          <w:tcPr>
            <w:tcW w:w="469" w:type="pct"/>
            <w:tcBorders>
              <w:top w:val="none" w:sz="0" w:space="0" w:color="auto"/>
              <w:left w:val="none" w:sz="0" w:space="0" w:color="auto"/>
              <w:bottom w:val="none" w:sz="0" w:space="0" w:color="auto"/>
              <w:right w:val="none" w:sz="0" w:space="0" w:color="auto"/>
            </w:tcBorders>
            <w:shd w:val="clear" w:color="auto" w:fill="CEDBE6" w:themeFill="background2"/>
            <w:vAlign w:val="center"/>
          </w:tcPr>
          <w:p w14:paraId="125F2A34"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No</w:t>
            </w:r>
          </w:p>
        </w:tc>
        <w:tc>
          <w:tcPr>
            <w:tcW w:w="2792" w:type="pct"/>
            <w:tcBorders>
              <w:top w:val="none" w:sz="0" w:space="0" w:color="auto"/>
              <w:left w:val="none" w:sz="0" w:space="0" w:color="auto"/>
              <w:bottom w:val="none" w:sz="0" w:space="0" w:color="auto"/>
              <w:right w:val="none" w:sz="0" w:space="0" w:color="auto"/>
            </w:tcBorders>
            <w:shd w:val="clear" w:color="auto" w:fill="CEDBE6" w:themeFill="background2"/>
            <w:vAlign w:val="center"/>
          </w:tcPr>
          <w:p w14:paraId="67E2C768" w14:textId="77777777" w:rsidR="008910FF" w:rsidRPr="009C4B1E" w:rsidRDefault="008910FF" w:rsidP="00DE506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p>
        </w:tc>
      </w:tr>
      <w:tr w:rsidR="008910FF" w:rsidRPr="00AB7D1E" w14:paraId="1A2CA424"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28DFDE67"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ESS1 Assessment and Management of Environmental and Social Risks and Impacts</w:t>
            </w:r>
          </w:p>
        </w:tc>
        <w:tc>
          <w:tcPr>
            <w:tcW w:w="466" w:type="pct"/>
            <w:vAlign w:val="center"/>
          </w:tcPr>
          <w:p w14:paraId="2F63E080"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25A85921"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2792" w:type="pct"/>
          </w:tcPr>
          <w:p w14:paraId="69A0A60A" w14:textId="391B4064" w:rsidR="0076659C" w:rsidRPr="00AB7D1E" w:rsidRDefault="008B712A"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Environmental and social</w:t>
            </w:r>
            <w:r w:rsidR="0076659C" w:rsidRPr="00AB7D1E">
              <w:rPr>
                <w:rFonts w:ascii="Calibri" w:eastAsia="Arial Unicode MS" w:hAnsi="Calibri" w:cs="Calibri"/>
                <w:bdr w:val="nil"/>
              </w:rPr>
              <w:t xml:space="preserve"> risks and impacts have been preliminary identified.</w:t>
            </w:r>
          </w:p>
          <w:p w14:paraId="46701D88" w14:textId="264128CD" w:rsidR="008910FF"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dr w:val="nil"/>
              </w:rPr>
              <w:t xml:space="preserve">As an instrument that details the measures to be taken during the implementation and operation of a project to eliminate or offset adverse environmental and social impacts, or to reduce them to acceptable levels; and the actions needed to implement these measures the templates for </w:t>
            </w:r>
            <w:r w:rsidRPr="00AB7D1E">
              <w:rPr>
                <w:rFonts w:ascii="Calibri" w:eastAsia="Arial Unicode MS" w:hAnsi="Calibri" w:cs="Calibri"/>
                <w:bCs/>
                <w:bdr w:val="nil"/>
              </w:rPr>
              <w:t>ESMPs and</w:t>
            </w:r>
            <w:r w:rsidR="008B712A" w:rsidRPr="00AB7D1E">
              <w:rPr>
                <w:rFonts w:ascii="Calibri" w:eastAsia="Arial Unicode MS" w:hAnsi="Calibri" w:cs="Calibri"/>
                <w:bCs/>
                <w:bdr w:val="nil"/>
              </w:rPr>
              <w:t>/or</w:t>
            </w:r>
            <w:r w:rsidRPr="00AB7D1E">
              <w:rPr>
                <w:rFonts w:ascii="Calibri" w:eastAsia="Arial Unicode MS" w:hAnsi="Calibri" w:cs="Calibri"/>
                <w:bCs/>
                <w:bdr w:val="nil"/>
              </w:rPr>
              <w:t xml:space="preserve"> ESMP Checklists will be prepared. </w:t>
            </w:r>
            <w:r w:rsidR="00690938" w:rsidRPr="00AB7D1E">
              <w:rPr>
                <w:rFonts w:ascii="Calibri" w:eastAsia="Arial Unicode MS" w:hAnsi="Calibri" w:cs="Calibri"/>
                <w:bCs/>
                <w:bdr w:val="nil"/>
              </w:rPr>
              <w:t>Infection Prevention and Control and Waste Management Plan</w:t>
            </w:r>
            <w:r w:rsidR="000A50AD">
              <w:rPr>
                <w:rFonts w:ascii="Calibri" w:eastAsia="Arial Unicode MS" w:hAnsi="Calibri" w:cs="Calibri"/>
                <w:bCs/>
                <w:bdr w:val="nil"/>
              </w:rPr>
              <w:t xml:space="preserve"> (I</w:t>
            </w:r>
            <w:r w:rsidR="00CE2109">
              <w:rPr>
                <w:rFonts w:ascii="Calibri" w:eastAsia="Arial Unicode MS" w:hAnsi="Calibri" w:cs="Calibri"/>
                <w:bCs/>
                <w:bdr w:val="nil"/>
              </w:rPr>
              <w:t>CWMP</w:t>
            </w:r>
            <w:r w:rsidR="000A50AD">
              <w:rPr>
                <w:rFonts w:ascii="Calibri" w:eastAsia="Arial Unicode MS" w:hAnsi="Calibri" w:cs="Calibri"/>
                <w:bCs/>
                <w:bdr w:val="nil"/>
              </w:rPr>
              <w:t>)</w:t>
            </w:r>
            <w:r w:rsidR="00690938" w:rsidRPr="00AB7D1E">
              <w:rPr>
                <w:rFonts w:ascii="Calibri" w:eastAsia="Arial Unicode MS" w:hAnsi="Calibri" w:cs="Calibri"/>
                <w:bCs/>
                <w:bdr w:val="nil"/>
              </w:rPr>
              <w:t xml:space="preserve"> will be prepared.</w:t>
            </w:r>
          </w:p>
          <w:p w14:paraId="5629BC60" w14:textId="10F9F7E6" w:rsidR="00690938"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Cs/>
                <w:bdr w:val="nil"/>
              </w:rPr>
              <w:t xml:space="preserve">Further development of already drafted ESCP will be conducted. </w:t>
            </w:r>
          </w:p>
        </w:tc>
      </w:tr>
      <w:tr w:rsidR="008910FF" w:rsidRPr="00AB7D1E" w14:paraId="329851EC"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3DA1B6D2"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ESS2 Labor and Working Conditions</w:t>
            </w:r>
          </w:p>
        </w:tc>
        <w:tc>
          <w:tcPr>
            <w:tcW w:w="466" w:type="pct"/>
            <w:vAlign w:val="center"/>
          </w:tcPr>
          <w:p w14:paraId="7FEF6389"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1DCA8964"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1D24A350" w14:textId="6115AB6C" w:rsidR="00690938" w:rsidRPr="00AB7D1E" w:rsidRDefault="00690938" w:rsidP="00690938">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Cs/>
                <w:bdr w:val="nil"/>
              </w:rPr>
              <w:t xml:space="preserve">Occupational Health and Safety (OHS) measures to ensure the health and safety of workers </w:t>
            </w:r>
            <w:r w:rsidR="006D4112" w:rsidRPr="00AB7D1E">
              <w:rPr>
                <w:rFonts w:ascii="Calibri" w:eastAsia="Arial Unicode MS" w:hAnsi="Calibri" w:cs="Calibri"/>
                <w:bCs/>
                <w:bdr w:val="nil"/>
              </w:rPr>
              <w:t>will be</w:t>
            </w:r>
            <w:r w:rsidRPr="00AB7D1E">
              <w:rPr>
                <w:rFonts w:ascii="Calibri" w:eastAsia="Arial Unicode MS" w:hAnsi="Calibri" w:cs="Calibri"/>
                <w:bCs/>
                <w:bdr w:val="nil"/>
              </w:rPr>
              <w:t xml:space="preserve"> given adequate attention in line with the ESMF, </w:t>
            </w:r>
            <w:r w:rsidR="006A3BB1">
              <w:rPr>
                <w:rFonts w:ascii="Calibri" w:eastAsia="Arial Unicode MS" w:hAnsi="Calibri" w:cs="Calibri"/>
                <w:bCs/>
                <w:bdr w:val="nil"/>
              </w:rPr>
              <w:t xml:space="preserve">in ESMPs and </w:t>
            </w:r>
            <w:r w:rsidRPr="00AB7D1E">
              <w:rPr>
                <w:rFonts w:ascii="Calibri" w:eastAsia="Arial Unicode MS" w:hAnsi="Calibri" w:cs="Calibri"/>
                <w:bCs/>
                <w:bdr w:val="nil"/>
              </w:rPr>
              <w:t xml:space="preserve">ICWMP. </w:t>
            </w:r>
            <w:r w:rsidR="006D4112" w:rsidRPr="00AB7D1E">
              <w:rPr>
                <w:rFonts w:ascii="Calibri" w:eastAsia="Arial Unicode MS" w:hAnsi="Calibri" w:cs="Calibri"/>
                <w:bCs/>
                <w:bdr w:val="nil"/>
              </w:rPr>
              <w:t>G</w:t>
            </w:r>
            <w:r w:rsidRPr="00AB7D1E">
              <w:rPr>
                <w:rFonts w:ascii="Calibri" w:eastAsia="Arial Unicode MS" w:hAnsi="Calibri" w:cs="Calibri"/>
                <w:bCs/>
                <w:bdr w:val="nil"/>
              </w:rPr>
              <w:t>uidelines on COVID19 shall be established and complied during project implementation.</w:t>
            </w:r>
          </w:p>
          <w:p w14:paraId="2C81BAB2" w14:textId="77777777" w:rsidR="00690938" w:rsidRPr="00AB7D1E" w:rsidRDefault="00690938"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p>
          <w:p w14:paraId="7E05764D" w14:textId="18D8B922" w:rsidR="008910FF" w:rsidRPr="00AB7D1E" w:rsidRDefault="00B0352D"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Cs/>
                <w:bdr w:val="nil"/>
              </w:rPr>
              <w:t>A Grievance Redress Mechanism for workers and the roles and responsibilities for monitoring such workers shall be established.</w:t>
            </w:r>
          </w:p>
        </w:tc>
      </w:tr>
      <w:tr w:rsidR="008910FF" w:rsidRPr="00AB7D1E" w14:paraId="6B298230"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188B9E95"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ESS3 Resource Efficiency and Pollution Prevention and Management</w:t>
            </w:r>
          </w:p>
        </w:tc>
        <w:tc>
          <w:tcPr>
            <w:tcW w:w="466" w:type="pct"/>
            <w:vAlign w:val="center"/>
          </w:tcPr>
          <w:p w14:paraId="3F4F776C"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66A53409"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2792" w:type="pct"/>
          </w:tcPr>
          <w:p w14:paraId="01FFAC72" w14:textId="60A7F59D" w:rsidR="006C1487" w:rsidRPr="00AB7D1E" w:rsidRDefault="006C1487"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ICWMP will be prepared before beginning the relevant Project activities</w:t>
            </w:r>
          </w:p>
          <w:p w14:paraId="08483D8E" w14:textId="77777777" w:rsidR="006C1487" w:rsidRPr="00AB7D1E" w:rsidRDefault="006C1487"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p w14:paraId="6ACA3A3F" w14:textId="66C1AB1E" w:rsidR="008910FF" w:rsidRPr="00AB7D1E" w:rsidRDefault="006C1487"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Site ESMPs</w:t>
            </w:r>
            <w:r w:rsidR="006D4112" w:rsidRPr="00AB7D1E">
              <w:rPr>
                <w:rFonts w:ascii="Calibri" w:eastAsia="Arial Unicode MS" w:hAnsi="Calibri" w:cs="Calibri"/>
                <w:bdr w:val="nil"/>
              </w:rPr>
              <w:t xml:space="preserve"> and/or </w:t>
            </w:r>
            <w:r w:rsidRPr="00AB7D1E">
              <w:rPr>
                <w:rFonts w:ascii="Calibri" w:eastAsia="Arial Unicode MS" w:hAnsi="Calibri" w:cs="Calibri"/>
                <w:bdr w:val="nil"/>
              </w:rPr>
              <w:t xml:space="preserve">ESMP Check list will be required for </w:t>
            </w:r>
            <w:r w:rsidR="006D4112" w:rsidRPr="00AB7D1E">
              <w:rPr>
                <w:rFonts w:ascii="Calibri" w:eastAsia="Arial Unicode MS" w:hAnsi="Calibri" w:cs="Calibri"/>
                <w:bdr w:val="nil"/>
              </w:rPr>
              <w:t xml:space="preserve">repair and </w:t>
            </w:r>
            <w:r w:rsidRPr="00AB7D1E">
              <w:rPr>
                <w:rFonts w:ascii="Calibri" w:eastAsia="Arial Unicode MS" w:hAnsi="Calibri" w:cs="Calibri"/>
                <w:bdr w:val="nil"/>
              </w:rPr>
              <w:t>rehabilitation of public health laboratories by contractors.</w:t>
            </w:r>
          </w:p>
        </w:tc>
      </w:tr>
      <w:tr w:rsidR="008910FF" w:rsidRPr="00AB7D1E" w14:paraId="24D339FE"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32745CA8"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ESS4: Community Health and Safety</w:t>
            </w:r>
          </w:p>
        </w:tc>
        <w:tc>
          <w:tcPr>
            <w:tcW w:w="466" w:type="pct"/>
            <w:vAlign w:val="center"/>
          </w:tcPr>
          <w:p w14:paraId="35135E31"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43114A61"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7D343905" w14:textId="67AF820B" w:rsidR="00B20DDD" w:rsidRPr="00AB7D1E" w:rsidRDefault="00B20DDD"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Precaution</w:t>
            </w:r>
            <w:r w:rsidR="00FA2F6A">
              <w:rPr>
                <w:rFonts w:ascii="Calibri" w:eastAsia="Arial Unicode MS" w:hAnsi="Calibri" w:cs="Calibri"/>
                <w:bdr w:val="nil"/>
              </w:rPr>
              <w:t>ary</w:t>
            </w:r>
            <w:r w:rsidRPr="00AB7D1E">
              <w:rPr>
                <w:rFonts w:ascii="Calibri" w:eastAsia="Arial Unicode MS" w:hAnsi="Calibri" w:cs="Calibri"/>
                <w:bdr w:val="nil"/>
              </w:rPr>
              <w:t xml:space="preserve"> measures in line with the ESMF, ICWMP and WHO</w:t>
            </w:r>
            <w:r w:rsidR="006D4112" w:rsidRPr="00AB7D1E">
              <w:rPr>
                <w:rFonts w:ascii="Calibri" w:eastAsia="Arial Unicode MS" w:hAnsi="Calibri" w:cs="Calibri"/>
                <w:bdr w:val="nil"/>
              </w:rPr>
              <w:t>/WB/national</w:t>
            </w:r>
            <w:r w:rsidRPr="00AB7D1E">
              <w:rPr>
                <w:rFonts w:ascii="Calibri" w:eastAsia="Arial Unicode MS" w:hAnsi="Calibri" w:cs="Calibri"/>
                <w:bdr w:val="nil"/>
              </w:rPr>
              <w:t xml:space="preserve"> guidelines on COVID19 shall be put in place to prevent or minimize the spread of the infectious disease/COVID-19 from laboratories, quarantine and isolation centers and screening posts to the community.</w:t>
            </w:r>
          </w:p>
          <w:p w14:paraId="7D391F00" w14:textId="77777777" w:rsidR="000A387C" w:rsidRPr="00AB7D1E" w:rsidRDefault="000A387C"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p w14:paraId="095F3725" w14:textId="2D7BB0C4" w:rsidR="008910FF" w:rsidRPr="00AB7D1E" w:rsidRDefault="008910FF"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To ensure safety of staff during works, </w:t>
            </w:r>
            <w:r w:rsidR="003A7038" w:rsidRPr="00AB7D1E">
              <w:rPr>
                <w:rFonts w:ascii="Calibri" w:eastAsia="Arial Unicode MS" w:hAnsi="Calibri" w:cs="Calibri"/>
                <w:bdr w:val="nil"/>
              </w:rPr>
              <w:t xml:space="preserve">mitigation measures </w:t>
            </w:r>
            <w:r w:rsidR="00C539BE" w:rsidRPr="00AB7D1E">
              <w:rPr>
                <w:rFonts w:ascii="Calibri" w:eastAsia="Arial Unicode MS" w:hAnsi="Calibri" w:cs="Calibri"/>
                <w:bdr w:val="nil"/>
              </w:rPr>
              <w:t xml:space="preserve">to address environmental impacts </w:t>
            </w:r>
            <w:r w:rsidR="003A7038" w:rsidRPr="00AB7D1E">
              <w:rPr>
                <w:rFonts w:ascii="Calibri" w:eastAsia="Arial Unicode MS" w:hAnsi="Calibri" w:cs="Calibri"/>
                <w:bdr w:val="nil"/>
              </w:rPr>
              <w:t xml:space="preserve">will be prepared as well as </w:t>
            </w:r>
            <w:r w:rsidR="001B524E" w:rsidRPr="00AB7D1E">
              <w:rPr>
                <w:rFonts w:ascii="Calibri" w:eastAsia="Arial Unicode MS" w:hAnsi="Calibri" w:cs="Calibri"/>
                <w:bdr w:val="nil"/>
              </w:rPr>
              <w:t xml:space="preserve">templates for </w:t>
            </w:r>
            <w:r w:rsidR="003A7038" w:rsidRPr="00AB7D1E">
              <w:rPr>
                <w:rFonts w:ascii="Calibri" w:eastAsia="Arial Unicode MS" w:hAnsi="Calibri" w:cs="Calibri"/>
                <w:bdr w:val="nil"/>
              </w:rPr>
              <w:t xml:space="preserve">site-specific </w:t>
            </w:r>
            <w:r w:rsidR="008B712A" w:rsidRPr="00AB7D1E">
              <w:rPr>
                <w:rFonts w:ascii="Calibri" w:eastAsia="Arial Unicode MS" w:hAnsi="Calibri" w:cs="Calibri"/>
                <w:bdr w:val="nil"/>
              </w:rPr>
              <w:t xml:space="preserve">ESMP and/or </w:t>
            </w:r>
            <w:r w:rsidR="003A7038" w:rsidRPr="00AB7D1E">
              <w:rPr>
                <w:rFonts w:ascii="Calibri" w:eastAsia="Arial Unicode MS" w:hAnsi="Calibri" w:cs="Calibri"/>
                <w:bdr w:val="nil"/>
              </w:rPr>
              <w:t>ESMPs</w:t>
            </w:r>
            <w:r w:rsidR="008B712A" w:rsidRPr="00AB7D1E">
              <w:rPr>
                <w:rFonts w:ascii="Calibri" w:eastAsia="Arial Unicode MS" w:hAnsi="Calibri" w:cs="Calibri"/>
                <w:bdr w:val="nil"/>
              </w:rPr>
              <w:t xml:space="preserve"> </w:t>
            </w:r>
            <w:r w:rsidR="003A7038" w:rsidRPr="00AB7D1E">
              <w:rPr>
                <w:rFonts w:ascii="Calibri" w:eastAsia="Arial Unicode MS" w:hAnsi="Calibri" w:cs="Calibri"/>
                <w:bdr w:val="nil"/>
              </w:rPr>
              <w:t>checklist</w:t>
            </w:r>
            <w:r w:rsidRPr="00AB7D1E">
              <w:rPr>
                <w:rFonts w:ascii="Calibri" w:eastAsia="Arial Unicode MS" w:hAnsi="Calibri" w:cs="Calibri"/>
                <w:bdr w:val="nil"/>
              </w:rPr>
              <w:t xml:space="preserve">. </w:t>
            </w:r>
          </w:p>
        </w:tc>
      </w:tr>
      <w:tr w:rsidR="008910FF" w:rsidRPr="00AB7D1E" w14:paraId="64944A57"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56649DEA"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ESS5: Land Acquisition, Restrictions on Land Use and Involuntary Resettlement</w:t>
            </w:r>
          </w:p>
        </w:tc>
        <w:tc>
          <w:tcPr>
            <w:tcW w:w="466" w:type="pct"/>
            <w:vAlign w:val="center"/>
          </w:tcPr>
          <w:p w14:paraId="6D0AEF46"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469" w:type="pct"/>
            <w:vAlign w:val="center"/>
          </w:tcPr>
          <w:p w14:paraId="578A4564"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2792" w:type="pct"/>
          </w:tcPr>
          <w:p w14:paraId="6E94FBFF" w14:textId="08F3D5BA" w:rsidR="008910FF"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All construction activities will be within footprints of the existing buildings. There will be no temporary resettlement impacts from the project as all civil works will be conducted in public buildings.</w:t>
            </w:r>
          </w:p>
        </w:tc>
      </w:tr>
      <w:tr w:rsidR="008910FF" w:rsidRPr="00AB7D1E" w14:paraId="7A131640"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27F4CA3E"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 xml:space="preserve">ESS6: Biodiversity Conservation and </w:t>
            </w:r>
            <w:r w:rsidRPr="00AB7D1E">
              <w:rPr>
                <w:rFonts w:ascii="Calibri" w:eastAsia="Arial Unicode MS" w:hAnsi="Calibri" w:cs="Calibri"/>
                <w:bdr w:val="nil"/>
              </w:rPr>
              <w:lastRenderedPageBreak/>
              <w:t>Sustainable Management of Living Natural Resources</w:t>
            </w:r>
          </w:p>
        </w:tc>
        <w:tc>
          <w:tcPr>
            <w:tcW w:w="466" w:type="pct"/>
            <w:vAlign w:val="center"/>
          </w:tcPr>
          <w:p w14:paraId="74FF6FCE"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lastRenderedPageBreak/>
              <w:sym w:font="Wingdings" w:char="F0FC"/>
            </w:r>
          </w:p>
        </w:tc>
        <w:tc>
          <w:tcPr>
            <w:tcW w:w="469" w:type="pct"/>
            <w:vAlign w:val="center"/>
          </w:tcPr>
          <w:p w14:paraId="06713663"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404033E1" w14:textId="1BCBC107" w:rsidR="008910FF" w:rsidRPr="00AB7D1E" w:rsidRDefault="008910FF"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Since the Project may produce low to moderate adverse effects for Natura 2000 and protected areas, to protect and </w:t>
            </w:r>
            <w:r w:rsidRPr="00AB7D1E">
              <w:rPr>
                <w:rFonts w:ascii="Calibri" w:eastAsia="Arial Unicode MS" w:hAnsi="Calibri" w:cs="Calibri"/>
                <w:bdr w:val="nil"/>
              </w:rPr>
              <w:lastRenderedPageBreak/>
              <w:t xml:space="preserve">conserve biodiversity and habitats, </w:t>
            </w:r>
            <w:r w:rsidR="003A7038" w:rsidRPr="00AB7D1E">
              <w:rPr>
                <w:rFonts w:ascii="Calibri" w:eastAsia="Arial Unicode MS" w:hAnsi="Calibri" w:cs="Calibri"/>
                <w:bdr w:val="nil"/>
              </w:rPr>
              <w:t>mitigation measures</w:t>
            </w:r>
            <w:r w:rsidR="00C539BE" w:rsidRPr="00AB7D1E">
              <w:t xml:space="preserve"> </w:t>
            </w:r>
            <w:r w:rsidR="00C539BE" w:rsidRPr="00AB7D1E">
              <w:rPr>
                <w:rFonts w:ascii="Calibri" w:eastAsia="Arial Unicode MS" w:hAnsi="Calibri" w:cs="Calibri"/>
                <w:bdr w:val="nil"/>
              </w:rPr>
              <w:t>to address environmental impacts</w:t>
            </w:r>
            <w:r w:rsidR="003A7038" w:rsidRPr="00AB7D1E">
              <w:rPr>
                <w:rFonts w:ascii="Calibri" w:eastAsia="Arial Unicode MS" w:hAnsi="Calibri" w:cs="Calibri"/>
                <w:bdr w:val="nil"/>
              </w:rPr>
              <w:t xml:space="preserve"> will be prepared as well as </w:t>
            </w:r>
            <w:r w:rsidR="001B524E" w:rsidRPr="00AB7D1E">
              <w:rPr>
                <w:rFonts w:ascii="Calibri" w:eastAsia="Arial Unicode MS" w:hAnsi="Calibri" w:cs="Calibri"/>
                <w:bdr w:val="nil"/>
              </w:rPr>
              <w:t xml:space="preserve">templates for </w:t>
            </w:r>
            <w:r w:rsidR="003A7038" w:rsidRPr="00AB7D1E">
              <w:rPr>
                <w:rFonts w:ascii="Calibri" w:eastAsia="Arial Unicode MS" w:hAnsi="Calibri" w:cs="Calibri"/>
                <w:bdr w:val="nil"/>
              </w:rPr>
              <w:t>site-specific</w:t>
            </w:r>
            <w:r w:rsidR="008B712A" w:rsidRPr="00AB7D1E">
              <w:rPr>
                <w:rFonts w:ascii="Calibri" w:eastAsia="Arial Unicode MS" w:hAnsi="Calibri" w:cs="Calibri"/>
                <w:bdr w:val="nil"/>
              </w:rPr>
              <w:t xml:space="preserve"> ESMP and/or</w:t>
            </w:r>
            <w:r w:rsidR="003A7038" w:rsidRPr="00AB7D1E">
              <w:rPr>
                <w:rFonts w:ascii="Calibri" w:eastAsia="Arial Unicode MS" w:hAnsi="Calibri" w:cs="Calibri"/>
                <w:bdr w:val="nil"/>
              </w:rPr>
              <w:t xml:space="preserve"> ESMPs</w:t>
            </w:r>
            <w:r w:rsidR="008B712A" w:rsidRPr="00AB7D1E">
              <w:rPr>
                <w:rFonts w:ascii="Calibri" w:eastAsia="Arial Unicode MS" w:hAnsi="Calibri" w:cs="Calibri"/>
                <w:bdr w:val="nil"/>
              </w:rPr>
              <w:t xml:space="preserve"> </w:t>
            </w:r>
            <w:r w:rsidR="003A7038" w:rsidRPr="00AB7D1E">
              <w:rPr>
                <w:rFonts w:ascii="Calibri" w:eastAsia="Arial Unicode MS" w:hAnsi="Calibri" w:cs="Calibri"/>
                <w:bdr w:val="nil"/>
              </w:rPr>
              <w:t>checklist</w:t>
            </w:r>
            <w:r w:rsidRPr="00AB7D1E">
              <w:rPr>
                <w:rFonts w:ascii="Calibri" w:eastAsia="Arial Unicode MS" w:hAnsi="Calibri" w:cs="Calibri"/>
                <w:bdr w:val="nil"/>
              </w:rPr>
              <w:t>.</w:t>
            </w:r>
          </w:p>
        </w:tc>
      </w:tr>
      <w:tr w:rsidR="008910FF" w:rsidRPr="00AB7D1E" w14:paraId="6E989C32"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49499B72"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lastRenderedPageBreak/>
              <w:t>ESS7: Indigenous Peoples/Sub-Saharan African Historically Underserved Traditional Local Communities</w:t>
            </w:r>
          </w:p>
        </w:tc>
        <w:tc>
          <w:tcPr>
            <w:tcW w:w="466" w:type="pct"/>
            <w:vAlign w:val="center"/>
          </w:tcPr>
          <w:p w14:paraId="27DD4A8B"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469" w:type="pct"/>
            <w:vAlign w:val="center"/>
          </w:tcPr>
          <w:p w14:paraId="6F818013"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2792" w:type="pct"/>
          </w:tcPr>
          <w:p w14:paraId="561B40FA" w14:textId="77777777" w:rsidR="008910FF"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Croatia does not have distinct ethnic, social and/or cultural groups as covered by ESS7. Thus, this standard is not relevant.</w:t>
            </w:r>
          </w:p>
        </w:tc>
      </w:tr>
      <w:tr w:rsidR="006F69E8" w:rsidRPr="00AB7D1E" w14:paraId="027EA6F3"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6FAD2126" w14:textId="77777777" w:rsidR="006F69E8" w:rsidRPr="00AB7D1E" w:rsidRDefault="006F69E8" w:rsidP="006F69E8">
            <w:pPr>
              <w:tabs>
                <w:tab w:val="left" w:pos="1190"/>
              </w:tabs>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ESS8: Cultural Heritage</w:t>
            </w:r>
            <w:r w:rsidRPr="00AB7D1E">
              <w:rPr>
                <w:rStyle w:val="FootnoteReference"/>
                <w:rFonts w:ascii="Calibri" w:eastAsia="Arial Unicode MS" w:hAnsi="Calibri" w:cs="Calibri"/>
                <w:bdr w:val="nil"/>
              </w:rPr>
              <w:footnoteReference w:id="113"/>
            </w:r>
          </w:p>
        </w:tc>
        <w:tc>
          <w:tcPr>
            <w:tcW w:w="466" w:type="pct"/>
            <w:vAlign w:val="center"/>
          </w:tcPr>
          <w:p w14:paraId="5FDD99BA" w14:textId="1258AC7D" w:rsidR="006F69E8" w:rsidRPr="00AB7D1E" w:rsidRDefault="006F69E8" w:rsidP="006F69E8">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535F5633" w14:textId="519D15C3" w:rsidR="006F69E8" w:rsidRPr="00AB7D1E" w:rsidRDefault="006F69E8" w:rsidP="006F69E8">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0B7AD65F" w14:textId="7D4541E0" w:rsidR="006F69E8" w:rsidRPr="00AB7D1E" w:rsidRDefault="006F69E8" w:rsidP="006F69E8">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B67D4F">
              <w:rPr>
                <w:rFonts w:ascii="Calibri" w:eastAsia="Arial Unicode MS" w:hAnsi="Calibri" w:cs="Calibri"/>
                <w:bdr w:val="nil"/>
                <w:lang w:val="en-GB"/>
              </w:rPr>
              <w:t xml:space="preserve">The buildings </w:t>
            </w:r>
            <w:r>
              <w:rPr>
                <w:rFonts w:ascii="Calibri" w:eastAsia="Arial Unicode MS" w:hAnsi="Calibri" w:cs="Calibri"/>
                <w:bdr w:val="nil"/>
                <w:lang w:val="en-GB"/>
              </w:rPr>
              <w:t>protected as an individual</w:t>
            </w:r>
            <w:r w:rsidRPr="00B67D4F">
              <w:rPr>
                <w:rFonts w:ascii="Calibri" w:eastAsia="Arial Unicode MS" w:hAnsi="Calibri" w:cs="Calibri"/>
                <w:bdr w:val="nil"/>
                <w:lang w:val="en-GB"/>
              </w:rPr>
              <w:t xml:space="preserve"> cultural heritage will not be eligible for financing,</w:t>
            </w:r>
            <w:r>
              <w:rPr>
                <w:rFonts w:ascii="Calibri" w:eastAsia="Arial Unicode MS" w:hAnsi="Calibri" w:cs="Calibri"/>
                <w:bdr w:val="nil"/>
                <w:lang w:val="en-GB"/>
              </w:rPr>
              <w:t xml:space="preserve"> but </w:t>
            </w:r>
            <w:r w:rsidRPr="00B14585">
              <w:rPr>
                <w:rFonts w:ascii="Calibri" w:eastAsia="Arial Unicode MS" w:hAnsi="Calibri" w:cs="Calibri"/>
                <w:bdr w:val="nil"/>
                <w:lang w:val="en-GB"/>
              </w:rPr>
              <w:t>certain sub-projects are in the area of protected cultural and historical entity. Cultural heritage related risks will be addressed through this ESMF and the development of Cultural Heritage Management Plan (CHMP).</w:t>
            </w:r>
          </w:p>
        </w:tc>
      </w:tr>
      <w:tr w:rsidR="008910FF" w:rsidRPr="00AB7D1E" w14:paraId="5C433F74" w14:textId="77777777" w:rsidTr="000A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pct"/>
          </w:tcPr>
          <w:p w14:paraId="4FD760BD"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ESS9: Financial Intermediaries</w:t>
            </w:r>
          </w:p>
        </w:tc>
        <w:tc>
          <w:tcPr>
            <w:tcW w:w="466" w:type="pct"/>
            <w:vAlign w:val="center"/>
          </w:tcPr>
          <w:p w14:paraId="14A70FCD"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tc>
        <w:tc>
          <w:tcPr>
            <w:tcW w:w="469" w:type="pct"/>
            <w:vAlign w:val="center"/>
          </w:tcPr>
          <w:p w14:paraId="6815ED7B" w14:textId="77777777" w:rsidR="008910FF" w:rsidRPr="00AB7D1E" w:rsidRDefault="008910FF" w:rsidP="00DE506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2792" w:type="pct"/>
          </w:tcPr>
          <w:p w14:paraId="2C4488DD" w14:textId="77777777" w:rsidR="008910FF" w:rsidRPr="00AB7D1E" w:rsidRDefault="008910FF" w:rsidP="00DE5067">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This standard is not applicable as the project does not envision involvement of financial intermediaries.</w:t>
            </w:r>
          </w:p>
        </w:tc>
      </w:tr>
      <w:tr w:rsidR="008910FF" w:rsidRPr="00AB7D1E" w14:paraId="69E97F6B" w14:textId="77777777" w:rsidTr="000A4F2C">
        <w:tc>
          <w:tcPr>
            <w:cnfStyle w:val="001000000000" w:firstRow="0" w:lastRow="0" w:firstColumn="1" w:lastColumn="0" w:oddVBand="0" w:evenVBand="0" w:oddHBand="0" w:evenHBand="0" w:firstRowFirstColumn="0" w:firstRowLastColumn="0" w:lastRowFirstColumn="0" w:lastRowLastColumn="0"/>
            <w:tcW w:w="1273" w:type="pct"/>
          </w:tcPr>
          <w:p w14:paraId="1AE635AF" w14:textId="77777777" w:rsidR="008910FF" w:rsidRPr="00AB7D1E" w:rsidRDefault="008910FF" w:rsidP="00DE5067">
            <w:pPr>
              <w:suppressAutoHyphens w:val="0"/>
              <w:spacing w:before="0" w:after="0" w:line="240" w:lineRule="auto"/>
              <w:rPr>
                <w:rFonts w:ascii="Calibri" w:eastAsia="Arial Unicode MS" w:hAnsi="Calibri" w:cs="Calibri"/>
                <w:bdr w:val="nil"/>
              </w:rPr>
            </w:pPr>
            <w:r w:rsidRPr="00AB7D1E">
              <w:rPr>
                <w:rFonts w:ascii="Calibri" w:eastAsia="Arial Unicode MS" w:hAnsi="Calibri" w:cs="Calibri"/>
                <w:bdr w:val="nil"/>
              </w:rPr>
              <w:t>ESS10: Stakeholder Engagement and Information Disclosure</w:t>
            </w:r>
          </w:p>
        </w:tc>
        <w:tc>
          <w:tcPr>
            <w:tcW w:w="466" w:type="pct"/>
            <w:vAlign w:val="center"/>
          </w:tcPr>
          <w:p w14:paraId="0CA64DAC" w14:textId="77777777" w:rsidR="008910FF" w:rsidRPr="00AB7D1E" w:rsidRDefault="008910FF" w:rsidP="00DE5067">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sym w:font="Wingdings" w:char="F0FC"/>
            </w:r>
          </w:p>
        </w:tc>
        <w:tc>
          <w:tcPr>
            <w:tcW w:w="469" w:type="pct"/>
            <w:vAlign w:val="center"/>
          </w:tcPr>
          <w:p w14:paraId="62FE83D1" w14:textId="77777777" w:rsidR="008910FF" w:rsidRPr="00AB7D1E" w:rsidRDefault="008910FF"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tc>
        <w:tc>
          <w:tcPr>
            <w:tcW w:w="2792" w:type="pct"/>
          </w:tcPr>
          <w:p w14:paraId="4777EF4A" w14:textId="469AD2F4" w:rsidR="008910FF" w:rsidRPr="00AB7D1E" w:rsidRDefault="008910FF"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r w:rsidRPr="00AB7D1E">
              <w:rPr>
                <w:rFonts w:ascii="Calibri" w:eastAsia="Arial Unicode MS" w:hAnsi="Calibri" w:cs="Calibri"/>
                <w:bCs/>
                <w:bdr w:val="nil"/>
              </w:rPr>
              <w:t xml:space="preserve">The Initial Stakeholder Engagement Plan (SEP) is prepared as early as possible, before project appraisal, and was disclosed on the </w:t>
            </w:r>
            <w:proofErr w:type="spellStart"/>
            <w:r w:rsidR="004A086E" w:rsidRPr="00AB7D1E">
              <w:rPr>
                <w:rFonts w:ascii="Calibri" w:eastAsia="Arial Unicode MS" w:hAnsi="Calibri" w:cs="Calibri"/>
                <w:bCs/>
                <w:bdr w:val="nil"/>
              </w:rPr>
              <w:t>MoPPCS</w:t>
            </w:r>
            <w:r w:rsidR="00AC59DB">
              <w:rPr>
                <w:rFonts w:ascii="Calibri" w:eastAsia="Arial Unicode MS" w:hAnsi="Calibri" w:cs="Calibri"/>
                <w:bCs/>
                <w:bdr w:val="nil"/>
              </w:rPr>
              <w:t>A</w:t>
            </w:r>
            <w:proofErr w:type="spellEnd"/>
            <w:r w:rsidRPr="00AB7D1E">
              <w:rPr>
                <w:rFonts w:ascii="Calibri" w:eastAsia="Arial Unicode MS" w:hAnsi="Calibri" w:cs="Calibri"/>
                <w:bCs/>
                <w:bdr w:val="nil"/>
              </w:rPr>
              <w:t xml:space="preserve"> and WB website on May 6, 2020. The SEP will be updated </w:t>
            </w:r>
            <w:r w:rsidR="009B198F" w:rsidRPr="00AB7D1E">
              <w:rPr>
                <w:rFonts w:ascii="Calibri" w:eastAsia="Arial Unicode MS" w:hAnsi="Calibri" w:cs="Calibri"/>
                <w:bCs/>
                <w:bdr w:val="nil"/>
              </w:rPr>
              <w:t xml:space="preserve">in parallel with the </w:t>
            </w:r>
            <w:r w:rsidR="0076659C" w:rsidRPr="00AB7D1E">
              <w:rPr>
                <w:rFonts w:ascii="Calibri" w:eastAsia="Arial Unicode MS" w:hAnsi="Calibri" w:cs="Calibri"/>
                <w:bCs/>
                <w:bdr w:val="nil"/>
              </w:rPr>
              <w:t>development</w:t>
            </w:r>
            <w:r w:rsidR="009B198F" w:rsidRPr="00AB7D1E">
              <w:rPr>
                <w:rFonts w:ascii="Calibri" w:eastAsia="Arial Unicode MS" w:hAnsi="Calibri" w:cs="Calibri"/>
                <w:bCs/>
                <w:bdr w:val="nil"/>
              </w:rPr>
              <w:t xml:space="preserve"> of ES</w:t>
            </w:r>
            <w:r w:rsidR="00BA239A" w:rsidRPr="00AB7D1E">
              <w:rPr>
                <w:rFonts w:ascii="Calibri" w:eastAsia="Arial Unicode MS" w:hAnsi="Calibri" w:cs="Calibri"/>
                <w:bCs/>
                <w:bdr w:val="nil"/>
              </w:rPr>
              <w:t>MF.</w:t>
            </w:r>
            <w:r w:rsidR="009B198F" w:rsidRPr="00AB7D1E">
              <w:rPr>
                <w:rFonts w:ascii="Calibri" w:eastAsia="Arial Unicode MS" w:hAnsi="Calibri" w:cs="Calibri"/>
                <w:bCs/>
                <w:bdr w:val="nil"/>
              </w:rPr>
              <w:t xml:space="preserve"> </w:t>
            </w:r>
          </w:p>
          <w:p w14:paraId="7C76E696" w14:textId="77777777" w:rsidR="00D574E0" w:rsidRPr="00AB7D1E" w:rsidRDefault="00D574E0"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Cs/>
                <w:bdr w:val="nil"/>
              </w:rPr>
            </w:pPr>
          </w:p>
          <w:p w14:paraId="5913DBF1" w14:textId="5F1361B9" w:rsidR="00D574E0" w:rsidRPr="00AB7D1E" w:rsidRDefault="00D574E0" w:rsidP="00DE5067">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Grievance Mechanism shall be made publicly available to receive and facilitate resolution of concerns and grievances in relation to the Project, consistent with ESS10.</w:t>
            </w:r>
          </w:p>
        </w:tc>
      </w:tr>
    </w:tbl>
    <w:p w14:paraId="3E8BD7DF" w14:textId="7516E172" w:rsidR="00484A70" w:rsidRDefault="00484A70">
      <w:pPr>
        <w:suppressAutoHyphens w:val="0"/>
        <w:spacing w:before="0" w:after="160" w:line="256" w:lineRule="auto"/>
        <w:jc w:val="left"/>
        <w:rPr>
          <w:lang w:val="en-US"/>
        </w:rPr>
      </w:pPr>
    </w:p>
    <w:p w14:paraId="09D3C9B4" w14:textId="77777777" w:rsidR="00484A70" w:rsidRDefault="00484A70">
      <w:pPr>
        <w:suppressAutoHyphens w:val="0"/>
        <w:spacing w:before="0" w:after="160" w:line="256" w:lineRule="auto"/>
        <w:jc w:val="left"/>
        <w:rPr>
          <w:lang w:val="en-US"/>
        </w:rPr>
      </w:pPr>
      <w:r>
        <w:rPr>
          <w:lang w:val="en-US"/>
        </w:rPr>
        <w:br w:type="page"/>
      </w:r>
    </w:p>
    <w:p w14:paraId="1CA6D0CE" w14:textId="0F5EEB41" w:rsidR="00C56F4A" w:rsidRPr="00AB7D1E" w:rsidRDefault="00C56F4A" w:rsidP="006B4FAE">
      <w:pPr>
        <w:pStyle w:val="Heading1"/>
        <w:rPr>
          <w:lang w:val="en-US"/>
        </w:rPr>
      </w:pPr>
      <w:bookmarkStart w:id="154" w:name="_Toc56954072"/>
      <w:r w:rsidRPr="00AB7D1E">
        <w:rPr>
          <w:lang w:val="en-US"/>
        </w:rPr>
        <w:lastRenderedPageBreak/>
        <w:t xml:space="preserve">GAP ANALYSES </w:t>
      </w:r>
      <w:r w:rsidR="00526111" w:rsidRPr="00AB7D1E">
        <w:rPr>
          <w:lang w:val="en-US"/>
        </w:rPr>
        <w:t>OF ESS AND NATIONAL LEGISLATION</w:t>
      </w:r>
      <w:r w:rsidR="008171DB" w:rsidRPr="00AB7D1E">
        <w:rPr>
          <w:lang w:val="en-US"/>
        </w:rPr>
        <w:t xml:space="preserve"> COMPLIANCE</w:t>
      </w:r>
      <w:bookmarkEnd w:id="154"/>
    </w:p>
    <w:p w14:paraId="46A52130" w14:textId="1B0C2907" w:rsidR="00C56F4A" w:rsidRPr="00AB7D1E" w:rsidRDefault="00C56F4A" w:rsidP="000F3FC0">
      <w:pPr>
        <w:rPr>
          <w:lang w:val="en-US"/>
        </w:rPr>
      </w:pPr>
      <w:r w:rsidRPr="00AB7D1E">
        <w:rPr>
          <w:lang w:val="en-US"/>
        </w:rPr>
        <w:t xml:space="preserve">As a member of the European Union, Republic of Croatia has harmonized its environmental regulations and standards in line with EU directives. A comprehensive list of the legal and institutional frameworks has been </w:t>
      </w:r>
      <w:proofErr w:type="spellStart"/>
      <w:r w:rsidRPr="00AB7D1E">
        <w:rPr>
          <w:lang w:val="en-US"/>
        </w:rPr>
        <w:t>analysed</w:t>
      </w:r>
      <w:proofErr w:type="spellEnd"/>
      <w:r w:rsidRPr="00AB7D1E">
        <w:rPr>
          <w:lang w:val="en-US"/>
        </w:rPr>
        <w:t xml:space="preserve"> during the process of developing the current ESMF with the conclusion that the environmental regulations are</w:t>
      </w:r>
      <w:r w:rsidR="000F3FC0" w:rsidRPr="00AB7D1E">
        <w:rPr>
          <w:lang w:val="en-US"/>
        </w:rPr>
        <w:t xml:space="preserve"> </w:t>
      </w:r>
      <w:r w:rsidR="00A82934" w:rsidRPr="00AB7D1E">
        <w:rPr>
          <w:lang w:val="en-US"/>
        </w:rPr>
        <w:t>in general</w:t>
      </w:r>
      <w:r w:rsidRPr="00AB7D1E">
        <w:rPr>
          <w:lang w:val="en-US"/>
        </w:rPr>
        <w:t xml:space="preserve"> in line with WB safeguards and policies. </w:t>
      </w:r>
    </w:p>
    <w:p w14:paraId="302DB115" w14:textId="7342BD8C" w:rsidR="00B74861" w:rsidRPr="00AB7D1E" w:rsidRDefault="00A82934" w:rsidP="000F3FC0">
      <w:pPr>
        <w:rPr>
          <w:lang w:val="en-US"/>
        </w:rPr>
      </w:pPr>
      <w:r w:rsidRPr="00AB7D1E">
        <w:rPr>
          <w:lang w:val="en-US"/>
        </w:rPr>
        <w:t xml:space="preserve">Several </w:t>
      </w:r>
      <w:r w:rsidR="00C56F4A" w:rsidRPr="00AB7D1E">
        <w:rPr>
          <w:lang w:val="en-US"/>
        </w:rPr>
        <w:t xml:space="preserve">minor </w:t>
      </w:r>
      <w:r w:rsidR="00D64B02">
        <w:rPr>
          <w:lang w:val="en-US"/>
        </w:rPr>
        <w:t>differences between nationa</w:t>
      </w:r>
      <w:r w:rsidR="0069684E">
        <w:rPr>
          <w:lang w:val="en-US"/>
        </w:rPr>
        <w:t>l legislation and WB ESS</w:t>
      </w:r>
      <w:r w:rsidR="00D64B02" w:rsidRPr="00AB7D1E">
        <w:rPr>
          <w:lang w:val="en-US"/>
        </w:rPr>
        <w:t xml:space="preserve"> </w:t>
      </w:r>
      <w:r w:rsidR="00C56F4A" w:rsidRPr="00AB7D1E">
        <w:rPr>
          <w:lang w:val="en-US"/>
        </w:rPr>
        <w:t>w</w:t>
      </w:r>
      <w:r w:rsidR="000F3FC0" w:rsidRPr="00AB7D1E">
        <w:rPr>
          <w:lang w:val="en-US"/>
        </w:rPr>
        <w:t xml:space="preserve">ere </w:t>
      </w:r>
      <w:r w:rsidR="00C56F4A" w:rsidRPr="00AB7D1E">
        <w:rPr>
          <w:lang w:val="en-US"/>
        </w:rPr>
        <w:t>identified</w:t>
      </w:r>
      <w:r w:rsidR="00E7671E" w:rsidRPr="00AB7D1E">
        <w:rPr>
          <w:lang w:val="en-US"/>
        </w:rPr>
        <w:t>, regarding</w:t>
      </w:r>
      <w:r w:rsidR="00C56F4A" w:rsidRPr="00AB7D1E">
        <w:rPr>
          <w:lang w:val="en-US"/>
        </w:rPr>
        <w:t xml:space="preserve"> ESS3</w:t>
      </w:r>
      <w:r w:rsidRPr="00AB7D1E">
        <w:rPr>
          <w:lang w:val="en-US"/>
        </w:rPr>
        <w:t xml:space="preserve">, </w:t>
      </w:r>
      <w:r w:rsidR="000F3FC0" w:rsidRPr="00AB7D1E">
        <w:rPr>
          <w:lang w:val="en-US"/>
        </w:rPr>
        <w:t>ESS6</w:t>
      </w:r>
      <w:r w:rsidRPr="00AB7D1E">
        <w:rPr>
          <w:lang w:val="en-US"/>
        </w:rPr>
        <w:t xml:space="preserve"> and ESS10</w:t>
      </w:r>
      <w:r w:rsidR="000F3FC0" w:rsidRPr="00AB7D1E">
        <w:rPr>
          <w:lang w:val="en-US"/>
        </w:rPr>
        <w:t xml:space="preserve">. </w:t>
      </w:r>
    </w:p>
    <w:p w14:paraId="4C86E38D" w14:textId="7CDC17BA" w:rsidR="00C56F4A" w:rsidRPr="00AB7D1E" w:rsidRDefault="00C56F4A" w:rsidP="000F3FC0">
      <w:pPr>
        <w:rPr>
          <w:lang w:val="en-US"/>
        </w:rPr>
      </w:pPr>
      <w:r w:rsidRPr="00AB7D1E">
        <w:rPr>
          <w:lang w:val="en-US"/>
        </w:rPr>
        <w:t xml:space="preserve">In relation to social impacts, the Croatian legislation is in line with WB safeguards and requirements in terms of human health and safety, public consultation or provisions for addressing the relation and impact of the project to </w:t>
      </w:r>
      <w:proofErr w:type="spellStart"/>
      <w:r w:rsidR="002E1AF0" w:rsidRPr="00AB7D1E">
        <w:rPr>
          <w:lang w:val="en-US"/>
        </w:rPr>
        <w:t>neighbouring</w:t>
      </w:r>
      <w:proofErr w:type="spellEnd"/>
      <w:r w:rsidRPr="00AB7D1E">
        <w:rPr>
          <w:lang w:val="en-US"/>
        </w:rPr>
        <w:t xml:space="preserve"> properties and communities.</w:t>
      </w:r>
    </w:p>
    <w:p w14:paraId="56317840" w14:textId="6BD563D5" w:rsidR="00864AD1" w:rsidRPr="00AB7D1E" w:rsidRDefault="008B37F0" w:rsidP="00A82934">
      <w:pPr>
        <w:rPr>
          <w:lang w:val="en-US"/>
        </w:rPr>
      </w:pPr>
      <w:r w:rsidRPr="00AB7D1E">
        <w:rPr>
          <w:lang w:val="en-US"/>
        </w:rPr>
        <w:t xml:space="preserve">National legislation is in compliant with all ESS2 prescriptions and no </w:t>
      </w:r>
      <w:r w:rsidR="00D725AF">
        <w:rPr>
          <w:lang w:val="en-US"/>
        </w:rPr>
        <w:t>differences</w:t>
      </w:r>
      <w:r w:rsidRPr="00AB7D1E">
        <w:rPr>
          <w:lang w:val="en-US"/>
        </w:rPr>
        <w:t xml:space="preserve"> have been identified. For more information on national legislation see Chapter</w:t>
      </w:r>
      <w:r w:rsidR="00A82934" w:rsidRPr="00AB7D1E">
        <w:rPr>
          <w:lang w:val="en-US"/>
        </w:rPr>
        <w:t xml:space="preserve"> </w:t>
      </w:r>
      <w:r w:rsidR="008614F7" w:rsidRPr="00AB7D1E">
        <w:rPr>
          <w:lang w:val="en-US"/>
        </w:rPr>
        <w:fldChar w:fldCharType="begin"/>
      </w:r>
      <w:r w:rsidR="008614F7" w:rsidRPr="00AB7D1E">
        <w:rPr>
          <w:lang w:val="en-US"/>
        </w:rPr>
        <w:instrText xml:space="preserve"> REF _Ref48063421 \r \h  \* MERGEFORMAT </w:instrText>
      </w:r>
      <w:r w:rsidR="008614F7" w:rsidRPr="00AB7D1E">
        <w:rPr>
          <w:lang w:val="en-US"/>
        </w:rPr>
      </w:r>
      <w:r w:rsidR="008614F7" w:rsidRPr="00AB7D1E">
        <w:rPr>
          <w:lang w:val="en-US"/>
        </w:rPr>
        <w:fldChar w:fldCharType="separate"/>
      </w:r>
      <w:r w:rsidR="007D1E1B">
        <w:rPr>
          <w:lang w:val="en-US"/>
        </w:rPr>
        <w:t>4.1</w:t>
      </w:r>
      <w:r w:rsidR="008614F7" w:rsidRPr="00AB7D1E">
        <w:rPr>
          <w:lang w:val="en-US"/>
        </w:rPr>
        <w:fldChar w:fldCharType="end"/>
      </w:r>
    </w:p>
    <w:p w14:paraId="52843685" w14:textId="0CF87B28" w:rsidR="00A82934" w:rsidRPr="00AB7D1E" w:rsidRDefault="00A82934" w:rsidP="00A82934">
      <w:pPr>
        <w:rPr>
          <w:lang w:val="en-US"/>
        </w:rPr>
      </w:pPr>
      <w:r w:rsidRPr="00AB7D1E">
        <w:rPr>
          <w:lang w:val="en-US"/>
        </w:rPr>
        <w:t xml:space="preserve">Detailed information on discrepancy between ESSs and national legislation are given below, </w:t>
      </w:r>
      <w:r w:rsidRPr="00AB7D1E">
        <w:rPr>
          <w:lang w:val="en-US"/>
        </w:rPr>
        <w:fldChar w:fldCharType="begin"/>
      </w:r>
      <w:r w:rsidRPr="00AB7D1E">
        <w:rPr>
          <w:lang w:val="en-US"/>
        </w:rPr>
        <w:instrText xml:space="preserve"> REF _Ref47467719 \h </w:instrText>
      </w:r>
      <w:r w:rsidRPr="00AB7D1E">
        <w:rPr>
          <w:lang w:val="en-US"/>
        </w:rPr>
      </w:r>
      <w:r w:rsidRPr="00AB7D1E">
        <w:rPr>
          <w:lang w:val="en-US"/>
        </w:rPr>
        <w:fldChar w:fldCharType="separate"/>
      </w:r>
      <w:r w:rsidR="007D1E1B" w:rsidRPr="00AB7D1E">
        <w:t xml:space="preserve">Table </w:t>
      </w:r>
      <w:r w:rsidR="007D1E1B">
        <w:rPr>
          <w:noProof/>
        </w:rPr>
        <w:t>14</w:t>
      </w:r>
      <w:r w:rsidRPr="00AB7D1E">
        <w:rPr>
          <w:lang w:val="en-US"/>
        </w:rPr>
        <w:fldChar w:fldCharType="end"/>
      </w:r>
      <w:r w:rsidRPr="00AB7D1E">
        <w:rPr>
          <w:lang w:val="en-US"/>
        </w:rPr>
        <w:t xml:space="preserve">. </w:t>
      </w:r>
    </w:p>
    <w:p w14:paraId="72D67577" w14:textId="2212DBC3" w:rsidR="00A82934" w:rsidRPr="00AB7D1E" w:rsidRDefault="00A82934" w:rsidP="008B37F0">
      <w:pPr>
        <w:rPr>
          <w:b/>
          <w:bCs/>
          <w:highlight w:val="yellow"/>
          <w:lang w:val="en-US"/>
        </w:rPr>
        <w:sectPr w:rsidR="00A82934" w:rsidRPr="00AB7D1E" w:rsidSect="00196BF6">
          <w:pgSz w:w="11906" w:h="16838"/>
          <w:pgMar w:top="1440" w:right="1440" w:bottom="1440" w:left="1440" w:header="720" w:footer="720" w:gutter="0"/>
          <w:cols w:space="720"/>
          <w:titlePg/>
          <w:docGrid w:linePitch="299"/>
        </w:sectPr>
      </w:pPr>
    </w:p>
    <w:p w14:paraId="0EE0DC45" w14:textId="1A7967E9" w:rsidR="00A8023B" w:rsidRPr="00AB7D1E" w:rsidRDefault="00041EFF" w:rsidP="007D1E1B">
      <w:pPr>
        <w:pStyle w:val="Style1"/>
        <w:rPr>
          <w:b/>
          <w:bCs/>
        </w:rPr>
      </w:pPr>
      <w:bookmarkStart w:id="155" w:name="_Ref47467719"/>
      <w:bookmarkStart w:id="156" w:name="_Toc56952714"/>
      <w:r w:rsidRPr="00AB7D1E">
        <w:lastRenderedPageBreak/>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14</w:t>
      </w:r>
      <w:r w:rsidR="00DF4A34" w:rsidRPr="00AB7D1E">
        <w:fldChar w:fldCharType="end"/>
      </w:r>
      <w:bookmarkEnd w:id="155"/>
      <w:r w:rsidRPr="00AB7D1E">
        <w:t xml:space="preserve">. Compliance </w:t>
      </w:r>
      <w:r w:rsidR="00CD51FE" w:rsidRPr="00AB7D1E">
        <w:t>a</w:t>
      </w:r>
      <w:r w:rsidRPr="00AB7D1E">
        <w:t>nalysis of ESS and national legislation</w:t>
      </w:r>
      <w:bookmarkEnd w:id="156"/>
    </w:p>
    <w:tbl>
      <w:tblPr>
        <w:tblStyle w:val="GridTable4-Accent31"/>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4188"/>
        <w:gridCol w:w="7007"/>
      </w:tblGrid>
      <w:tr w:rsidR="001C650B" w:rsidRPr="00AB7D1E" w14:paraId="7A63532F" w14:textId="1F332B47" w:rsidTr="0070729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69" w:type="pct"/>
            <w:tcBorders>
              <w:top w:val="single" w:sz="4" w:space="0" w:color="auto"/>
              <w:left w:val="single" w:sz="4" w:space="0" w:color="auto"/>
              <w:bottom w:val="single" w:sz="4" w:space="0" w:color="auto"/>
              <w:right w:val="single" w:sz="4" w:space="0" w:color="auto"/>
            </w:tcBorders>
            <w:shd w:val="clear" w:color="auto" w:fill="CEDBE6" w:themeFill="background2"/>
            <w:vAlign w:val="center"/>
          </w:tcPr>
          <w:p w14:paraId="1700E445" w14:textId="77777777" w:rsidR="001C650B" w:rsidRPr="009C4B1E" w:rsidRDefault="001C650B" w:rsidP="000612F2">
            <w:pPr>
              <w:suppressAutoHyphens w:val="0"/>
              <w:spacing w:before="0" w:after="0" w:line="240" w:lineRule="auto"/>
              <w:jc w:val="center"/>
              <w:rPr>
                <w:rFonts w:ascii="Calibri" w:eastAsia="Arial Unicode MS" w:hAnsi="Calibri" w:cs="Calibri"/>
                <w:color w:val="auto"/>
                <w:bdr w:val="nil"/>
              </w:rPr>
            </w:pPr>
            <w:bookmarkStart w:id="157" w:name="_Hlk50840497"/>
            <w:r w:rsidRPr="009C4B1E">
              <w:rPr>
                <w:rFonts w:ascii="Calibri" w:eastAsia="Arial Unicode MS" w:hAnsi="Calibri" w:cs="Calibri"/>
                <w:color w:val="auto"/>
                <w:bdr w:val="nil"/>
              </w:rPr>
              <w:t>Environmental and Social Standards (ESS)</w:t>
            </w:r>
          </w:p>
        </w:tc>
        <w:tc>
          <w:tcPr>
            <w:tcW w:w="1508" w:type="pct"/>
            <w:tcBorders>
              <w:top w:val="single" w:sz="4" w:space="0" w:color="auto"/>
              <w:left w:val="single" w:sz="4" w:space="0" w:color="auto"/>
              <w:right w:val="single" w:sz="4" w:space="0" w:color="auto"/>
            </w:tcBorders>
            <w:shd w:val="clear" w:color="auto" w:fill="CEDBE6" w:themeFill="background2"/>
            <w:vAlign w:val="center"/>
          </w:tcPr>
          <w:p w14:paraId="33D7D717" w14:textId="4E89480F" w:rsidR="001C650B" w:rsidRPr="009C4B1E" w:rsidRDefault="00CD51FE" w:rsidP="000612F2">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N</w:t>
            </w:r>
            <w:r w:rsidR="001C650B" w:rsidRPr="009C4B1E">
              <w:rPr>
                <w:rFonts w:ascii="Calibri" w:eastAsia="Arial Unicode MS" w:hAnsi="Calibri" w:cs="Calibri"/>
                <w:color w:val="auto"/>
                <w:bdr w:val="nil"/>
              </w:rPr>
              <w:t xml:space="preserve">ational </w:t>
            </w:r>
            <w:r w:rsidR="00C55723" w:rsidRPr="009C4B1E">
              <w:rPr>
                <w:rFonts w:ascii="Calibri" w:eastAsia="Arial Unicode MS" w:hAnsi="Calibri" w:cs="Calibri"/>
                <w:color w:val="auto"/>
                <w:bdr w:val="nil"/>
              </w:rPr>
              <w:t>e</w:t>
            </w:r>
            <w:r w:rsidR="001C650B" w:rsidRPr="009C4B1E">
              <w:rPr>
                <w:rFonts w:ascii="Calibri" w:eastAsia="Arial Unicode MS" w:hAnsi="Calibri" w:cs="Calibri"/>
                <w:color w:val="auto"/>
                <w:bdr w:val="nil"/>
              </w:rPr>
              <w:t xml:space="preserve">nvironmental and </w:t>
            </w:r>
            <w:r w:rsidR="00C55723" w:rsidRPr="009C4B1E">
              <w:rPr>
                <w:rFonts w:ascii="Calibri" w:eastAsia="Arial Unicode MS" w:hAnsi="Calibri" w:cs="Calibri"/>
                <w:color w:val="auto"/>
                <w:bdr w:val="nil"/>
              </w:rPr>
              <w:t>s</w:t>
            </w:r>
            <w:r w:rsidR="001C650B" w:rsidRPr="009C4B1E">
              <w:rPr>
                <w:rFonts w:ascii="Calibri" w:eastAsia="Arial Unicode MS" w:hAnsi="Calibri" w:cs="Calibri"/>
                <w:color w:val="auto"/>
                <w:bdr w:val="nil"/>
              </w:rPr>
              <w:t xml:space="preserve">ocial </w:t>
            </w:r>
            <w:r w:rsidRPr="009C4B1E">
              <w:rPr>
                <w:rFonts w:ascii="Calibri" w:eastAsia="Arial Unicode MS" w:hAnsi="Calibri" w:cs="Calibri"/>
                <w:color w:val="auto"/>
                <w:bdr w:val="nil"/>
              </w:rPr>
              <w:t>framework</w:t>
            </w:r>
          </w:p>
        </w:tc>
        <w:tc>
          <w:tcPr>
            <w:tcW w:w="2523" w:type="pct"/>
            <w:tcBorders>
              <w:top w:val="single" w:sz="4" w:space="0" w:color="auto"/>
              <w:left w:val="single" w:sz="4" w:space="0" w:color="auto"/>
              <w:right w:val="single" w:sz="4" w:space="0" w:color="auto"/>
            </w:tcBorders>
            <w:shd w:val="clear" w:color="auto" w:fill="CEDBE6" w:themeFill="background2"/>
            <w:vAlign w:val="center"/>
          </w:tcPr>
          <w:p w14:paraId="09101272" w14:textId="667E3BC0" w:rsidR="001C650B" w:rsidRPr="009C4B1E" w:rsidRDefault="001C650B" w:rsidP="000612F2">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bdr w:val="nil"/>
              </w:rPr>
            </w:pPr>
            <w:r w:rsidRPr="009C4B1E">
              <w:rPr>
                <w:rFonts w:ascii="Calibri" w:eastAsia="Arial Unicode MS" w:hAnsi="Calibri" w:cs="Calibri"/>
                <w:color w:val="auto"/>
                <w:bdr w:val="nil"/>
              </w:rPr>
              <w:t>Gaps</w:t>
            </w:r>
          </w:p>
        </w:tc>
      </w:tr>
      <w:tr w:rsidR="001C650B" w:rsidRPr="00AB7D1E" w14:paraId="3D98344C" w14:textId="0AD7BF31"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0572A43"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ESS1 Assessment and Management of Environmental and Social Risks and Impacts</w:t>
            </w:r>
          </w:p>
        </w:tc>
        <w:tc>
          <w:tcPr>
            <w:tcW w:w="1508" w:type="pct"/>
            <w:shd w:val="clear" w:color="auto" w:fill="auto"/>
          </w:tcPr>
          <w:p w14:paraId="61F5E872" w14:textId="0B0AC4D8" w:rsidR="001C650B" w:rsidRPr="00AB7D1E" w:rsidRDefault="00D960D0"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Environmental Protection Act (OG 80/13, 153/13, 78/15, 12/18, 118/18)</w:t>
            </w:r>
            <w:r w:rsidR="0030438C" w:rsidRPr="00AB7D1E">
              <w:t>,</w:t>
            </w:r>
          </w:p>
          <w:p w14:paraId="78CBAF1B" w14:textId="77777777" w:rsidR="00D960D0" w:rsidRPr="00AB7D1E" w:rsidRDefault="00D960D0"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Regulation on environmental impact assessment (OG 61/14, 3/17)</w:t>
            </w:r>
            <w:r w:rsidR="0030438C" w:rsidRPr="00AB7D1E">
              <w:t>,</w:t>
            </w:r>
          </w:p>
          <w:p w14:paraId="75508DB2" w14:textId="77777777" w:rsidR="006B27C3" w:rsidRPr="00AB7D1E" w:rsidRDefault="0030438C"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Regulation on information and participation of the public and public concerned in environmental matters (OG 64/08)</w:t>
            </w:r>
            <w:r w:rsidR="00802A3F" w:rsidRPr="00AB7D1E">
              <w:t>,</w:t>
            </w:r>
          </w:p>
          <w:p w14:paraId="18289967" w14:textId="77777777" w:rsidR="006B27C3" w:rsidRPr="00AB7D1E" w:rsidRDefault="006B27C3"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Nature Protection Act (OG 80/13, 15/18, 14/19,127/19),</w:t>
            </w:r>
          </w:p>
          <w:p w14:paraId="4501815D" w14:textId="77777777" w:rsidR="00707294" w:rsidRDefault="00D26743"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D26743">
              <w:t xml:space="preserve">Act on Reconstruction of Earthquake Damaged Buildings in the City of Zagreb, </w:t>
            </w:r>
            <w:proofErr w:type="spellStart"/>
            <w:r w:rsidRPr="00D26743">
              <w:t>Krapina-Zagorje</w:t>
            </w:r>
            <w:proofErr w:type="spellEnd"/>
            <w:r w:rsidRPr="00D26743">
              <w:t xml:space="preserve"> County and Zagreb County (OG 102/20) </w:t>
            </w:r>
            <w:r w:rsidR="006B27C3" w:rsidRPr="00AB7D1E">
              <w:t>Occupational Safety and Health Act (OG 71/14, 118/14, 94/18, 96 / 18)</w:t>
            </w:r>
          </w:p>
          <w:p w14:paraId="0CB7E316" w14:textId="50C4B386" w:rsidR="00707294" w:rsidRPr="00707294" w:rsidRDefault="00707294"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707294">
              <w:t xml:space="preserve">Decision on the Adoption of the First Program of Measures for the Reconstruction of Buildings Damaged by Earthquakes in the Area of the City of Zagreb, </w:t>
            </w:r>
            <w:proofErr w:type="spellStart"/>
            <w:r w:rsidRPr="00707294">
              <w:t>Krapina-Zagorje</w:t>
            </w:r>
            <w:proofErr w:type="spellEnd"/>
            <w:r w:rsidRPr="00707294">
              <w:t xml:space="preserve"> County and Zagreb County (OG 119/20)</w:t>
            </w:r>
          </w:p>
          <w:p w14:paraId="0482470B" w14:textId="5229B694" w:rsidR="006B27C3" w:rsidRPr="00AB7D1E" w:rsidRDefault="006B27C3"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Construction Act (OG 153/13, 20/17, 39/19, 125/19)</w:t>
            </w:r>
          </w:p>
          <w:p w14:paraId="50B8400C" w14:textId="77777777" w:rsidR="0025791B" w:rsidRPr="00AB7D1E" w:rsidRDefault="0025791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Labor Act (OG 93/14, 127/17, 98/19),</w:t>
            </w:r>
          </w:p>
          <w:p w14:paraId="477DEE11" w14:textId="77777777" w:rsidR="0025791B" w:rsidRPr="00AB7D1E" w:rsidRDefault="0025791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Gender Equality Act (OG 82/08, 69/17),</w:t>
            </w:r>
          </w:p>
          <w:p w14:paraId="5A1DA037" w14:textId="66B72D12" w:rsidR="00802A3F" w:rsidRPr="00AB7D1E" w:rsidRDefault="0025791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t>Anti-discrimination act (OG 85/08, 112/12</w:t>
            </w:r>
            <w:r w:rsidRPr="00AB7D1E">
              <w:rPr>
                <w:rFonts w:ascii="Calibri" w:eastAsia="Arial Unicode MS" w:hAnsi="Calibri" w:cs="Calibri"/>
                <w:bdr w:val="nil"/>
              </w:rPr>
              <w:t>),</w:t>
            </w:r>
          </w:p>
        </w:tc>
        <w:tc>
          <w:tcPr>
            <w:tcW w:w="2523" w:type="pct"/>
            <w:shd w:val="clear" w:color="auto" w:fill="auto"/>
            <w:vAlign w:val="center"/>
          </w:tcPr>
          <w:p w14:paraId="43154615" w14:textId="4B14F3C0" w:rsidR="00AD150A" w:rsidRPr="00AD150A" w:rsidRDefault="00AD150A" w:rsidP="00AD150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D150A">
              <w:rPr>
                <w:rFonts w:ascii="Calibri" w:eastAsia="Arial Unicode MS" w:hAnsi="Calibri" w:cs="Calibri"/>
                <w:bdr w:val="nil"/>
              </w:rPr>
              <w:t xml:space="preserve">According to ESS1 Borrower must conduct environmental and social assessment of all projects proposed for Bank financing to help ensure that projects are environmentally and socially sound and sustainable. </w:t>
            </w:r>
          </w:p>
          <w:p w14:paraId="222E7A95" w14:textId="74DFCA41" w:rsidR="00AD150A" w:rsidRPr="00AD150A" w:rsidRDefault="00AD150A" w:rsidP="00AD150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D150A">
              <w:rPr>
                <w:rFonts w:ascii="Calibri" w:eastAsia="Arial Unicode MS" w:hAnsi="Calibri" w:cs="Calibri"/>
                <w:bdr w:val="nil"/>
              </w:rPr>
              <w:t>Croatian legislation defines different mechanisms for environmental and social assessment of projects. The environmental legal, regulatory and policy framework in Croatia is ensured through the following main instruments: Environment Impact Assessment, Location and Building permitting process</w:t>
            </w:r>
            <w:r w:rsidR="005B205B">
              <w:rPr>
                <w:rFonts w:ascii="Calibri" w:eastAsia="Arial Unicode MS" w:hAnsi="Calibri" w:cs="Calibri"/>
                <w:bdr w:val="nil"/>
              </w:rPr>
              <w:t xml:space="preserve"> (o</w:t>
            </w:r>
            <w:r w:rsidR="005B205B" w:rsidRPr="005B205B">
              <w:rPr>
                <w:rFonts w:ascii="Calibri" w:eastAsia="Arial Unicode MS" w:hAnsi="Calibri" w:cs="Calibri"/>
                <w:bdr w:val="nil"/>
              </w:rPr>
              <w:t>pinion of competed authorities for meeting environmental conditions has to be issued as a part of permitting procedure, e.g. for water protection, protections of cultural heritage, etc.</w:t>
            </w:r>
            <w:r w:rsidR="005B205B">
              <w:rPr>
                <w:rFonts w:ascii="Calibri" w:eastAsia="Arial Unicode MS" w:hAnsi="Calibri" w:cs="Calibri"/>
                <w:bdr w:val="nil"/>
              </w:rPr>
              <w:t>)</w:t>
            </w:r>
            <w:r w:rsidRPr="00AD150A">
              <w:rPr>
                <w:rFonts w:ascii="Calibri" w:eastAsia="Arial Unicode MS" w:hAnsi="Calibri" w:cs="Calibri"/>
                <w:bdr w:val="nil"/>
              </w:rPr>
              <w:t>, Physical Planning</w:t>
            </w:r>
            <w:r w:rsidR="005B205B">
              <w:rPr>
                <w:rFonts w:ascii="Calibri" w:eastAsia="Arial Unicode MS" w:hAnsi="Calibri" w:cs="Calibri"/>
                <w:bdr w:val="nil"/>
              </w:rPr>
              <w:t xml:space="preserve"> (preparation of physical plan is subject of strategic environmental assessment)</w:t>
            </w:r>
            <w:r w:rsidRPr="00AD150A">
              <w:rPr>
                <w:rFonts w:ascii="Calibri" w:eastAsia="Arial Unicode MS" w:hAnsi="Calibri" w:cs="Calibri"/>
                <w:bdr w:val="nil"/>
              </w:rPr>
              <w:t xml:space="preserve">. </w:t>
            </w:r>
            <w:r w:rsidR="005B205B">
              <w:rPr>
                <w:rFonts w:ascii="Calibri" w:eastAsia="Arial Unicode MS" w:hAnsi="Calibri" w:cs="Calibri"/>
                <w:bdr w:val="nil"/>
              </w:rPr>
              <w:t xml:space="preserve">Although for certain projects/interventions legally is not </w:t>
            </w:r>
            <w:r w:rsidR="0056392D">
              <w:rPr>
                <w:rFonts w:ascii="Calibri" w:eastAsia="Arial Unicode MS" w:hAnsi="Calibri" w:cs="Calibri"/>
                <w:bdr w:val="nil"/>
              </w:rPr>
              <w:t>specifically required</w:t>
            </w:r>
            <w:r w:rsidR="005B205B">
              <w:rPr>
                <w:rFonts w:ascii="Calibri" w:eastAsia="Arial Unicode MS" w:hAnsi="Calibri" w:cs="Calibri"/>
                <w:bdr w:val="nil"/>
              </w:rPr>
              <w:t xml:space="preserve"> to conduct </w:t>
            </w:r>
            <w:r w:rsidR="000D1018">
              <w:rPr>
                <w:rFonts w:ascii="Calibri" w:eastAsia="Arial Unicode MS" w:hAnsi="Calibri" w:cs="Calibri"/>
                <w:bdr w:val="nil"/>
              </w:rPr>
              <w:t xml:space="preserve">procedure of </w:t>
            </w:r>
            <w:r w:rsidR="005B205B">
              <w:rPr>
                <w:rFonts w:ascii="Calibri" w:eastAsia="Arial Unicode MS" w:hAnsi="Calibri" w:cs="Calibri"/>
                <w:bdr w:val="nil"/>
              </w:rPr>
              <w:t xml:space="preserve">environmental assessment, assessment is </w:t>
            </w:r>
            <w:r w:rsidR="000D1018">
              <w:rPr>
                <w:rFonts w:ascii="Calibri" w:eastAsia="Arial Unicode MS" w:hAnsi="Calibri" w:cs="Calibri"/>
                <w:bdr w:val="nil"/>
              </w:rPr>
              <w:t>ensured by a</w:t>
            </w:r>
            <w:r w:rsidRPr="00AD150A">
              <w:rPr>
                <w:rFonts w:ascii="Calibri" w:eastAsia="Arial Unicode MS" w:hAnsi="Calibri" w:cs="Calibri"/>
                <w:bdr w:val="nil"/>
              </w:rPr>
              <w:t xml:space="preserve">pplication of these mechanisms </w:t>
            </w:r>
            <w:r w:rsidR="0056392D">
              <w:rPr>
                <w:rFonts w:ascii="Calibri" w:eastAsia="Arial Unicode MS" w:hAnsi="Calibri" w:cs="Calibri"/>
                <w:bdr w:val="nil"/>
              </w:rPr>
              <w:t>(</w:t>
            </w:r>
            <w:r w:rsidRPr="00AD150A">
              <w:rPr>
                <w:rFonts w:ascii="Calibri" w:eastAsia="Arial Unicode MS" w:hAnsi="Calibri" w:cs="Calibri"/>
                <w:bdr w:val="nil"/>
              </w:rPr>
              <w:t>elimination and/or mitigation of possible negative environmental and social impact from a planned project</w:t>
            </w:r>
            <w:r w:rsidR="0056392D">
              <w:rPr>
                <w:rFonts w:ascii="Calibri" w:eastAsia="Arial Unicode MS" w:hAnsi="Calibri" w:cs="Calibri"/>
                <w:bdr w:val="nil"/>
              </w:rPr>
              <w:t xml:space="preserve"> is ensured)</w:t>
            </w:r>
            <w:r w:rsidRPr="00AD150A">
              <w:rPr>
                <w:rFonts w:ascii="Calibri" w:eastAsia="Arial Unicode MS" w:hAnsi="Calibri" w:cs="Calibri"/>
                <w:bdr w:val="nil"/>
              </w:rPr>
              <w:t>.</w:t>
            </w:r>
          </w:p>
          <w:p w14:paraId="11CE72C6" w14:textId="1B7AF06D" w:rsidR="00D640C2" w:rsidRPr="00AB7D1E" w:rsidRDefault="00AD150A" w:rsidP="00AD150A">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D150A">
              <w:rPr>
                <w:rFonts w:ascii="Calibri" w:eastAsia="Arial Unicode MS" w:hAnsi="Calibri" w:cs="Calibri"/>
                <w:bdr w:val="nil"/>
              </w:rPr>
              <w:t xml:space="preserve">Environmental and </w:t>
            </w:r>
            <w:r w:rsidR="00E4444D">
              <w:rPr>
                <w:rFonts w:ascii="Calibri" w:eastAsia="Arial Unicode MS" w:hAnsi="Calibri" w:cs="Calibri"/>
                <w:bdr w:val="nil"/>
              </w:rPr>
              <w:t>s</w:t>
            </w:r>
            <w:r w:rsidRPr="00AD150A">
              <w:rPr>
                <w:rFonts w:ascii="Calibri" w:eastAsia="Arial Unicode MS" w:hAnsi="Calibri" w:cs="Calibri"/>
                <w:bdr w:val="nil"/>
              </w:rPr>
              <w:t xml:space="preserve">ocial assessment national and WB instruments cannot be directly </w:t>
            </w:r>
            <w:r w:rsidR="00BF3C8E" w:rsidRPr="00AD150A">
              <w:rPr>
                <w:rFonts w:ascii="Calibri" w:eastAsia="Arial Unicode MS" w:hAnsi="Calibri" w:cs="Calibri"/>
                <w:bdr w:val="nil"/>
              </w:rPr>
              <w:t>compared,</w:t>
            </w:r>
            <w:r w:rsidRPr="00AD150A">
              <w:rPr>
                <w:rFonts w:ascii="Calibri" w:eastAsia="Arial Unicode MS" w:hAnsi="Calibri" w:cs="Calibri"/>
                <w:bdr w:val="nil"/>
              </w:rPr>
              <w:t xml:space="preserve"> and alignment and application of these instruments </w:t>
            </w:r>
            <w:proofErr w:type="gramStart"/>
            <w:r w:rsidRPr="00AD150A">
              <w:rPr>
                <w:rFonts w:ascii="Calibri" w:eastAsia="Arial Unicode MS" w:hAnsi="Calibri" w:cs="Calibri"/>
                <w:bdr w:val="nil"/>
              </w:rPr>
              <w:t>have to</w:t>
            </w:r>
            <w:proofErr w:type="gramEnd"/>
            <w:r w:rsidRPr="00AD150A">
              <w:rPr>
                <w:rFonts w:ascii="Calibri" w:eastAsia="Arial Unicode MS" w:hAnsi="Calibri" w:cs="Calibri"/>
                <w:bdr w:val="nil"/>
              </w:rPr>
              <w:t xml:space="preserve"> be checked for every project/sub-project.</w:t>
            </w:r>
          </w:p>
        </w:tc>
      </w:tr>
      <w:tr w:rsidR="001C650B" w:rsidRPr="00AB7D1E" w14:paraId="243B91D1" w14:textId="3815E3B5"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131B2B0B"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ESS2 Labor and Working Conditions</w:t>
            </w:r>
          </w:p>
        </w:tc>
        <w:tc>
          <w:tcPr>
            <w:tcW w:w="1508" w:type="pct"/>
            <w:shd w:val="clear" w:color="auto" w:fill="auto"/>
          </w:tcPr>
          <w:p w14:paraId="6C408A36" w14:textId="77777777" w:rsidR="00266F4C" w:rsidRPr="00AB7D1E" w:rsidRDefault="00266F4C"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pPr>
            <w:r w:rsidRPr="00AB7D1E">
              <w:t>Labor Act (OG 93/14, 127/17, 98/19),</w:t>
            </w:r>
          </w:p>
          <w:p w14:paraId="51E881BE" w14:textId="42949376" w:rsidR="00266F4C" w:rsidRPr="00AB7D1E" w:rsidRDefault="00266F4C"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pPr>
            <w:r w:rsidRPr="00AB7D1E">
              <w:t>Gender Equality Act (OG 82/08, 69/17),</w:t>
            </w:r>
          </w:p>
          <w:p w14:paraId="0BC03E1A" w14:textId="77777777" w:rsidR="00E1151A" w:rsidRPr="00AB7D1E" w:rsidRDefault="00266F4C"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t>Anti-discrimination act (OG 85/08, 112/12</w:t>
            </w:r>
            <w:r w:rsidRPr="00AB7D1E">
              <w:rPr>
                <w:rFonts w:ascii="Calibri" w:eastAsia="Arial Unicode MS" w:hAnsi="Calibri" w:cs="Calibri"/>
                <w:bdr w:val="nil"/>
              </w:rPr>
              <w:t>)</w:t>
            </w:r>
            <w:r w:rsidR="00802A3F" w:rsidRPr="00AB7D1E">
              <w:rPr>
                <w:rFonts w:ascii="Calibri" w:eastAsia="Arial Unicode MS" w:hAnsi="Calibri" w:cs="Calibri"/>
                <w:bdr w:val="nil"/>
              </w:rPr>
              <w:t>,</w:t>
            </w:r>
          </w:p>
          <w:p w14:paraId="03C7D4CE" w14:textId="2DC8CF2A" w:rsidR="00802A3F" w:rsidRPr="00AB7D1E" w:rsidRDefault="00E1151A"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Occupational Safety and Health Act (OG 71/14, 118/14, 94/18, 96 / 18)</w:t>
            </w:r>
          </w:p>
        </w:tc>
        <w:tc>
          <w:tcPr>
            <w:tcW w:w="2523" w:type="pct"/>
            <w:shd w:val="clear" w:color="auto" w:fill="auto"/>
            <w:vAlign w:val="center"/>
          </w:tcPr>
          <w:p w14:paraId="3ACD5F0F" w14:textId="1C49078C" w:rsidR="00D640C2" w:rsidRPr="00AB7D1E" w:rsidRDefault="001C650B" w:rsidP="00CD51FE">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There is no gap on the policy level.</w:t>
            </w:r>
          </w:p>
        </w:tc>
      </w:tr>
      <w:tr w:rsidR="001C650B" w:rsidRPr="00AB7D1E" w14:paraId="2D512EC2" w14:textId="73C4A726"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1C55D47F"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ESS3 Resource Efficiency and Pollution Prevention and Management</w:t>
            </w:r>
          </w:p>
        </w:tc>
        <w:tc>
          <w:tcPr>
            <w:tcW w:w="1508" w:type="pct"/>
            <w:shd w:val="clear" w:color="auto" w:fill="auto"/>
          </w:tcPr>
          <w:p w14:paraId="4BC25045" w14:textId="77777777" w:rsidR="001C650B" w:rsidRPr="00AB7D1E" w:rsidRDefault="001C650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pPr>
            <w:r w:rsidRPr="00AB7D1E">
              <w:t>Act on Sustainable Waste Management (OG 94/13, 73/17, 14/19, 98/19)</w:t>
            </w:r>
          </w:p>
          <w:p w14:paraId="12C1BBE0" w14:textId="317BEDB9" w:rsidR="000612F2" w:rsidRPr="00AB7D1E" w:rsidRDefault="001C650B" w:rsidP="00BE60A0">
            <w:pPr>
              <w:pStyle w:val="ListParagraph"/>
              <w:numPr>
                <w:ilvl w:val="0"/>
                <w:numId w:val="27"/>
              </w:numPr>
              <w:suppressAutoHyphens w:val="0"/>
              <w:spacing w:before="0" w:after="0" w:line="240" w:lineRule="auto"/>
              <w:ind w:left="322"/>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Ordinance on waste management (OG 81/20)</w:t>
            </w:r>
          </w:p>
        </w:tc>
        <w:tc>
          <w:tcPr>
            <w:tcW w:w="2523" w:type="pct"/>
            <w:shd w:val="clear" w:color="auto" w:fill="auto"/>
            <w:vAlign w:val="center"/>
          </w:tcPr>
          <w:p w14:paraId="5EDBB2AE" w14:textId="3D8863FE" w:rsidR="001C650B" w:rsidRPr="00AB7D1E" w:rsidRDefault="00F52E69"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r>
              <w:rPr>
                <w:rFonts w:ascii="Calibri" w:eastAsia="Arial Unicode MS" w:hAnsi="Calibri" w:cs="Calibri"/>
                <w:b/>
                <w:bCs/>
                <w:bdr w:val="nil"/>
              </w:rPr>
              <w:t>Difference</w:t>
            </w:r>
            <w:r w:rsidR="001C650B" w:rsidRPr="00AB7D1E">
              <w:rPr>
                <w:rFonts w:ascii="Calibri" w:eastAsia="Arial Unicode MS" w:hAnsi="Calibri" w:cs="Calibri"/>
                <w:b/>
                <w:bCs/>
                <w:bdr w:val="nil"/>
              </w:rPr>
              <w:t xml:space="preserve"> is identified in the field of</w:t>
            </w:r>
            <w:r w:rsidR="005F51BE" w:rsidRPr="00AB7D1E">
              <w:rPr>
                <w:rFonts w:ascii="Calibri" w:eastAsia="Arial Unicode MS" w:hAnsi="Calibri" w:cs="Calibri"/>
                <w:b/>
                <w:bCs/>
                <w:bdr w:val="nil"/>
              </w:rPr>
              <w:t xml:space="preserve"> </w:t>
            </w:r>
            <w:r w:rsidR="001C650B" w:rsidRPr="00AB7D1E">
              <w:rPr>
                <w:rFonts w:ascii="Calibri" w:eastAsia="Arial Unicode MS" w:hAnsi="Calibri" w:cs="Calibri"/>
                <w:b/>
                <w:bCs/>
                <w:bdr w:val="nil"/>
              </w:rPr>
              <w:t>waste management record keeping.</w:t>
            </w:r>
          </w:p>
          <w:p w14:paraId="096A9DED" w14:textId="77777777" w:rsidR="005F51BE" w:rsidRPr="00AB7D1E" w:rsidRDefault="005F51BE"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p w14:paraId="323C3C33" w14:textId="0FB2E768" w:rsidR="001C650B" w:rsidRPr="00AB7D1E" w:rsidRDefault="001C650B"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bookmarkStart w:id="158" w:name="_Hlk47967156"/>
            <w:r w:rsidRPr="00AB7D1E">
              <w:rPr>
                <w:rFonts w:ascii="Calibri" w:eastAsia="Arial Unicode MS" w:hAnsi="Calibri" w:cs="Calibri"/>
                <w:bdr w:val="nil"/>
              </w:rPr>
              <w:t>For hazardous waste management according to ESS3</w:t>
            </w:r>
            <w:r w:rsidR="005F51BE" w:rsidRPr="00AB7D1E">
              <w:rPr>
                <w:rFonts w:ascii="Calibri" w:eastAsia="Arial Unicode MS" w:hAnsi="Calibri" w:cs="Calibri"/>
                <w:bdr w:val="nil"/>
              </w:rPr>
              <w:t>,</w:t>
            </w:r>
            <w:r w:rsidRPr="00AB7D1E">
              <w:rPr>
                <w:rFonts w:ascii="Calibri" w:eastAsia="Arial Unicode MS" w:hAnsi="Calibri" w:cs="Calibri"/>
                <w:bdr w:val="nil"/>
              </w:rPr>
              <w:t xml:space="preserve"> waste owner must obtain documentation on handing over waste to the </w:t>
            </w:r>
            <w:proofErr w:type="gramStart"/>
            <w:r w:rsidRPr="00AB7D1E">
              <w:rPr>
                <w:rFonts w:ascii="Calibri" w:eastAsia="Arial Unicode MS" w:hAnsi="Calibri" w:cs="Calibri"/>
                <w:bdr w:val="nil"/>
              </w:rPr>
              <w:t>final destination</w:t>
            </w:r>
            <w:proofErr w:type="gramEnd"/>
            <w:r w:rsidRPr="00AB7D1E">
              <w:rPr>
                <w:rFonts w:ascii="Calibri" w:eastAsia="Arial Unicode MS" w:hAnsi="Calibri" w:cs="Calibri"/>
                <w:bdr w:val="nil"/>
              </w:rPr>
              <w:t xml:space="preserve">. National legislation </w:t>
            </w:r>
            <w:r w:rsidRPr="00AB7D1E">
              <w:rPr>
                <w:rFonts w:ascii="Calibri" w:eastAsia="Arial Unicode MS" w:hAnsi="Calibri" w:cs="Calibri"/>
                <w:bdr w:val="nil"/>
              </w:rPr>
              <w:lastRenderedPageBreak/>
              <w:t xml:space="preserve">does not define such an obligation. Waste owner decides voluntarily whether to be provided with information on the </w:t>
            </w:r>
            <w:proofErr w:type="gramStart"/>
            <w:r w:rsidRPr="00AB7D1E">
              <w:rPr>
                <w:rFonts w:ascii="Calibri" w:eastAsia="Arial Unicode MS" w:hAnsi="Calibri" w:cs="Calibri"/>
                <w:bdr w:val="nil"/>
              </w:rPr>
              <w:t>final destination</w:t>
            </w:r>
            <w:proofErr w:type="gramEnd"/>
            <w:r w:rsidRPr="00AB7D1E">
              <w:rPr>
                <w:rFonts w:ascii="Calibri" w:eastAsia="Arial Unicode MS" w:hAnsi="Calibri" w:cs="Calibri"/>
                <w:bdr w:val="nil"/>
              </w:rPr>
              <w:t xml:space="preserve">. </w:t>
            </w:r>
          </w:p>
          <w:p w14:paraId="5A4D61CD" w14:textId="0947A019" w:rsidR="001C650B" w:rsidRPr="00AB7D1E" w:rsidRDefault="001C650B"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According to the national legislation owner’s responsibility ceases when waste is handed over to the authorized company. If authorized company is waste collector, which is a common case, and if waste owner does not request this information, the </w:t>
            </w:r>
            <w:proofErr w:type="gramStart"/>
            <w:r w:rsidRPr="00AB7D1E">
              <w:rPr>
                <w:rFonts w:ascii="Calibri" w:eastAsia="Arial Unicode MS" w:hAnsi="Calibri" w:cs="Calibri"/>
                <w:bdr w:val="nil"/>
              </w:rPr>
              <w:t>final destination</w:t>
            </w:r>
            <w:proofErr w:type="gramEnd"/>
            <w:r w:rsidRPr="00AB7D1E">
              <w:rPr>
                <w:rFonts w:ascii="Calibri" w:eastAsia="Arial Unicode MS" w:hAnsi="Calibri" w:cs="Calibri"/>
                <w:bdr w:val="nil"/>
              </w:rPr>
              <w:t xml:space="preserve"> will be unknown.</w:t>
            </w:r>
            <w:bookmarkEnd w:id="158"/>
          </w:p>
        </w:tc>
      </w:tr>
      <w:tr w:rsidR="001C650B" w:rsidRPr="00AB7D1E" w14:paraId="509F4830" w14:textId="65ADDF32"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1E7B8CAA"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lastRenderedPageBreak/>
              <w:t>ESS4: Community Health and Safety</w:t>
            </w:r>
          </w:p>
        </w:tc>
        <w:tc>
          <w:tcPr>
            <w:tcW w:w="1508" w:type="pct"/>
            <w:shd w:val="clear" w:color="auto" w:fill="auto"/>
          </w:tcPr>
          <w:p w14:paraId="7B46FE98" w14:textId="77777777" w:rsidR="00E1151A" w:rsidRPr="00AB7D1E" w:rsidRDefault="003F69E1"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pPr>
            <w:r w:rsidRPr="00AB7D1E">
              <w:t>Occupational Safety and Health Act (OG 71/14, 118/14, 94/18, 96 / 18)</w:t>
            </w:r>
          </w:p>
          <w:p w14:paraId="30E96764" w14:textId="77777777" w:rsidR="00E1151A" w:rsidRPr="00AB7D1E" w:rsidRDefault="00183A3E"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pPr>
            <w:r w:rsidRPr="00AB7D1E">
              <w:t>Pension Insurance Act (OG 157/13, 151/14, 33/15, 93/15, 120/16, 18/18, 62/18, 115/18, 102/19)</w:t>
            </w:r>
          </w:p>
          <w:p w14:paraId="4DB341E5" w14:textId="716ACA81" w:rsidR="00E1151A" w:rsidRPr="00AB7D1E" w:rsidRDefault="00183A3E"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pPr>
            <w:r w:rsidRPr="00AB7D1E">
              <w:t>Act on the List of Occupational Diseases (</w:t>
            </w:r>
            <w:r w:rsidR="00CD51FE" w:rsidRPr="00AB7D1E">
              <w:t xml:space="preserve">OG </w:t>
            </w:r>
            <w:r w:rsidRPr="00AB7D1E">
              <w:t>162/98, 107/07)</w:t>
            </w:r>
          </w:p>
          <w:p w14:paraId="49AF27CE" w14:textId="5FD6C793" w:rsidR="00183A3E" w:rsidRPr="00AB7D1E" w:rsidRDefault="00183A3E"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pPr>
            <w:r w:rsidRPr="00AB7D1E">
              <w:rPr>
                <w:rFonts w:ascii="Calibri" w:hAnsi="Calibri"/>
                <w:shd w:val="clear" w:color="auto" w:fill="FFFFFF"/>
              </w:rPr>
              <w:t>Act on mandatory health monitoring of workers occupationally exposed to asbestos (OG 79/07, 139/10),</w:t>
            </w:r>
          </w:p>
          <w:p w14:paraId="61032495" w14:textId="4E401F48" w:rsidR="003F69E1" w:rsidRPr="00AB7D1E" w:rsidRDefault="00E1151A" w:rsidP="00BE60A0">
            <w:pPr>
              <w:pStyle w:val="ListParagraph"/>
              <w:numPr>
                <w:ilvl w:val="0"/>
                <w:numId w:val="30"/>
              </w:numPr>
              <w:suppressAutoHyphens w:val="0"/>
              <w:spacing w:before="0" w:after="0" w:line="240" w:lineRule="auto"/>
              <w:ind w:left="267"/>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Act on Sustainable Waste Management (OG 94/13, 73/17, 14/19, 98/19)</w:t>
            </w:r>
          </w:p>
        </w:tc>
        <w:tc>
          <w:tcPr>
            <w:tcW w:w="2523" w:type="pct"/>
            <w:shd w:val="clear" w:color="auto" w:fill="auto"/>
            <w:vAlign w:val="center"/>
          </w:tcPr>
          <w:p w14:paraId="5A586651" w14:textId="328E7110" w:rsidR="00D640C2" w:rsidRPr="00AB7D1E" w:rsidRDefault="001C650B" w:rsidP="00CD51FE">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There is no gap on the policy leve</w:t>
            </w:r>
            <w:r w:rsidR="00183A3E" w:rsidRPr="00AB7D1E">
              <w:rPr>
                <w:rFonts w:ascii="Calibri" w:eastAsia="Arial Unicode MS" w:hAnsi="Calibri" w:cs="Calibri"/>
                <w:b/>
                <w:bCs/>
                <w:bdr w:val="nil"/>
              </w:rPr>
              <w:t>l</w:t>
            </w:r>
          </w:p>
        </w:tc>
      </w:tr>
      <w:tr w:rsidR="001C650B" w:rsidRPr="00AB7D1E" w14:paraId="3CF5D8D5" w14:textId="0C5A1383"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9A12E09"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ESS5: Land Acquisition, Restrictions on Land Use and Involuntary Resettlement</w:t>
            </w:r>
          </w:p>
        </w:tc>
        <w:tc>
          <w:tcPr>
            <w:tcW w:w="1508" w:type="pct"/>
            <w:shd w:val="clear" w:color="auto" w:fill="auto"/>
          </w:tcPr>
          <w:p w14:paraId="2709C5CC" w14:textId="7A96AE1B" w:rsidR="001C650B" w:rsidRPr="00AB7D1E" w:rsidRDefault="00F73107" w:rsidP="00F73107">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Not applicable</w:t>
            </w:r>
          </w:p>
        </w:tc>
        <w:tc>
          <w:tcPr>
            <w:tcW w:w="2523" w:type="pct"/>
            <w:shd w:val="clear" w:color="auto" w:fill="auto"/>
            <w:vAlign w:val="center"/>
          </w:tcPr>
          <w:p w14:paraId="04DF3ADD" w14:textId="5D642DA9" w:rsidR="001C650B" w:rsidRPr="00AB7D1E" w:rsidRDefault="001C650B"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This Standard is not currently relevant.</w:t>
            </w:r>
          </w:p>
          <w:p w14:paraId="6738A507" w14:textId="77777777" w:rsidR="005F51BE" w:rsidRPr="00AB7D1E" w:rsidRDefault="005F51BE"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p>
          <w:p w14:paraId="76AB3325" w14:textId="52DD8066" w:rsidR="001C650B" w:rsidRPr="00AB7D1E" w:rsidRDefault="00566D32" w:rsidP="000612F2">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All construction activities will be within footprints of the existing buildings. There will be no temporary resettlement impacts from the project as all civil works will be conducted in public buildings.</w:t>
            </w:r>
          </w:p>
        </w:tc>
      </w:tr>
      <w:tr w:rsidR="001C650B" w:rsidRPr="00AB7D1E" w14:paraId="42799D11" w14:textId="20D6193D"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3E8C4649"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ESS6: Biodiversity Conservation and Sustainable Management of Living Natural Resources</w:t>
            </w:r>
          </w:p>
        </w:tc>
        <w:tc>
          <w:tcPr>
            <w:tcW w:w="1508" w:type="pct"/>
            <w:shd w:val="clear" w:color="auto" w:fill="auto"/>
          </w:tcPr>
          <w:p w14:paraId="7001A654" w14:textId="6DF5D18A" w:rsidR="001C650B" w:rsidRPr="00AB7D1E" w:rsidRDefault="001C650B" w:rsidP="00BE60A0">
            <w:pPr>
              <w:pStyle w:val="ListParagraph"/>
              <w:numPr>
                <w:ilvl w:val="0"/>
                <w:numId w:val="28"/>
              </w:numPr>
              <w:suppressAutoHyphens w:val="0"/>
              <w:spacing w:before="0" w:after="0" w:line="240" w:lineRule="auto"/>
              <w:ind w:left="366"/>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Environmental Protection Act (OG 80/13, 153/13, 78/15, 12/18, 118/18)</w:t>
            </w:r>
            <w:r w:rsidR="003A7038" w:rsidRPr="00AB7D1E">
              <w:rPr>
                <w:rFonts w:ascii="Calibri" w:eastAsia="Arial Unicode MS" w:hAnsi="Calibri" w:cs="Calibri"/>
                <w:bdr w:val="nil"/>
              </w:rPr>
              <w:t>,</w:t>
            </w:r>
          </w:p>
          <w:p w14:paraId="37643DB6" w14:textId="61074C62" w:rsidR="001C650B" w:rsidRPr="00AB7D1E" w:rsidRDefault="001C650B" w:rsidP="00BE60A0">
            <w:pPr>
              <w:pStyle w:val="ListParagraph"/>
              <w:numPr>
                <w:ilvl w:val="0"/>
                <w:numId w:val="28"/>
              </w:numPr>
              <w:suppressAutoHyphens w:val="0"/>
              <w:spacing w:before="0" w:after="0" w:line="240" w:lineRule="auto"/>
              <w:ind w:left="366"/>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Nature Protection Act (OG 80/13, 15/18, 14/19,127/19)</w:t>
            </w:r>
            <w:r w:rsidR="003A7038" w:rsidRPr="00AB7D1E">
              <w:rPr>
                <w:rFonts w:ascii="Calibri" w:eastAsia="Arial Unicode MS" w:hAnsi="Calibri" w:cs="Calibri"/>
                <w:bdr w:val="nil"/>
              </w:rPr>
              <w:t>,</w:t>
            </w:r>
          </w:p>
          <w:p w14:paraId="42F8163B" w14:textId="0D740F8E" w:rsidR="000612F2" w:rsidRPr="00AB7D1E" w:rsidRDefault="000612F2" w:rsidP="00BE60A0">
            <w:pPr>
              <w:numPr>
                <w:ilvl w:val="0"/>
                <w:numId w:val="28"/>
              </w:numPr>
              <w:shd w:val="clear" w:color="auto" w:fill="FFFFFF"/>
              <w:spacing w:before="0" w:after="0" w:line="240" w:lineRule="auto"/>
              <w:ind w:left="366"/>
              <w:cnfStyle w:val="000000000000" w:firstRow="0" w:lastRow="0" w:firstColumn="0" w:lastColumn="0" w:oddVBand="0" w:evenVBand="0" w:oddHBand="0" w:evenHBand="0" w:firstRowFirstColumn="0" w:firstRowLastColumn="0" w:lastRowFirstColumn="0" w:lastRowLastColumn="0"/>
              <w:rPr>
                <w:lang w:eastAsia="hr-HR"/>
              </w:rPr>
            </w:pPr>
            <w:r w:rsidRPr="00AB7D1E">
              <w:rPr>
                <w:lang w:eastAsia="hr-HR"/>
              </w:rPr>
              <w:t>Regulation on environmental impact assessment (OG 61/14, 3/17)</w:t>
            </w:r>
          </w:p>
        </w:tc>
        <w:tc>
          <w:tcPr>
            <w:tcW w:w="2523" w:type="pct"/>
            <w:shd w:val="clear" w:color="auto" w:fill="auto"/>
            <w:vAlign w:val="center"/>
          </w:tcPr>
          <w:p w14:paraId="7A203F0B" w14:textId="32720FCB" w:rsidR="005F51BE" w:rsidRPr="00AB7D1E" w:rsidRDefault="007A3423" w:rsidP="007A342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 xml:space="preserve">According national legislation, preparation of </w:t>
            </w:r>
            <w:r w:rsidR="003A1424" w:rsidRPr="00AB7D1E">
              <w:rPr>
                <w:rFonts w:ascii="Calibri" w:eastAsia="Arial Unicode MS" w:hAnsi="Calibri" w:cs="Calibri"/>
                <w:b/>
                <w:bCs/>
                <w:bdr w:val="nil"/>
              </w:rPr>
              <w:t>Biodiversity Management Plan (</w:t>
            </w:r>
            <w:r w:rsidRPr="00AB7D1E">
              <w:rPr>
                <w:rFonts w:ascii="Calibri" w:eastAsia="Arial Unicode MS" w:hAnsi="Calibri" w:cs="Calibri"/>
                <w:b/>
                <w:bCs/>
                <w:bdr w:val="nil"/>
              </w:rPr>
              <w:t>BMP</w:t>
            </w:r>
            <w:r w:rsidR="003A1424" w:rsidRPr="00AB7D1E">
              <w:rPr>
                <w:rFonts w:ascii="Calibri" w:eastAsia="Arial Unicode MS" w:hAnsi="Calibri" w:cs="Calibri"/>
                <w:b/>
                <w:bCs/>
                <w:bdr w:val="nil"/>
              </w:rPr>
              <w:t>)</w:t>
            </w:r>
            <w:r w:rsidRPr="00AB7D1E">
              <w:rPr>
                <w:rFonts w:ascii="Calibri" w:eastAsia="Arial Unicode MS" w:hAnsi="Calibri" w:cs="Calibri"/>
                <w:b/>
                <w:bCs/>
                <w:bdr w:val="nil"/>
              </w:rPr>
              <w:t xml:space="preserve"> is not</w:t>
            </w:r>
            <w:r w:rsidR="003A1424" w:rsidRPr="00AB7D1E">
              <w:rPr>
                <w:rFonts w:ascii="Calibri" w:eastAsia="Arial Unicode MS" w:hAnsi="Calibri" w:cs="Calibri"/>
                <w:b/>
                <w:bCs/>
                <w:bdr w:val="nil"/>
              </w:rPr>
              <w:t xml:space="preserve"> </w:t>
            </w:r>
            <w:r w:rsidRPr="00AB7D1E">
              <w:rPr>
                <w:rFonts w:ascii="Calibri" w:eastAsia="Arial Unicode MS" w:hAnsi="Calibri" w:cs="Calibri"/>
                <w:b/>
                <w:bCs/>
                <w:bdr w:val="nil"/>
              </w:rPr>
              <w:t>required.</w:t>
            </w:r>
            <w:r w:rsidR="008E1706">
              <w:rPr>
                <w:rFonts w:ascii="Calibri" w:eastAsia="Arial Unicode MS" w:hAnsi="Calibri" w:cs="Calibri"/>
                <w:b/>
                <w:bCs/>
                <w:bdr w:val="nil"/>
              </w:rPr>
              <w:t xml:space="preserve"> </w:t>
            </w:r>
          </w:p>
          <w:p w14:paraId="64AD982F" w14:textId="77777777" w:rsidR="005F51BE" w:rsidRPr="00AB7D1E" w:rsidRDefault="005F51BE" w:rsidP="000612F2">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p w14:paraId="20012979" w14:textId="0ED08C0A" w:rsidR="001C650B" w:rsidRPr="00AB7D1E" w:rsidRDefault="001C650B" w:rsidP="000612F2">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In the case where </w:t>
            </w:r>
            <w:r w:rsidRPr="00AB7D1E">
              <w:rPr>
                <w:rFonts w:ascii="Calibri" w:eastAsia="Arial Unicode MS" w:hAnsi="Calibri" w:cs="Calibri"/>
                <w:b/>
                <w:bCs/>
                <w:bdr w:val="nil"/>
              </w:rPr>
              <w:t>significant risks and adverse impacts on biodiversity have been identified</w:t>
            </w:r>
            <w:r w:rsidRPr="00AB7D1E">
              <w:rPr>
                <w:rFonts w:ascii="Calibri" w:eastAsia="Arial Unicode MS" w:hAnsi="Calibri" w:cs="Calibri"/>
                <w:bdr w:val="nil"/>
              </w:rPr>
              <w:t>, the Borrower, according to the ESS6, is obliged to develop and implement a Biodiversity Management Plan. BMP typically includes key biodiversity objectives, activities to achieve the</w:t>
            </w:r>
            <w:r w:rsidR="000D3950" w:rsidRPr="00AB7D1E">
              <w:rPr>
                <w:rFonts w:ascii="Calibri" w:eastAsia="Arial Unicode MS" w:hAnsi="Calibri" w:cs="Calibri"/>
                <w:bdr w:val="nil"/>
              </w:rPr>
              <w:t>se</w:t>
            </w:r>
            <w:r w:rsidRPr="00AB7D1E">
              <w:rPr>
                <w:rFonts w:ascii="Calibri" w:eastAsia="Arial Unicode MS" w:hAnsi="Calibri" w:cs="Calibri"/>
                <w:bdr w:val="nil"/>
              </w:rPr>
              <w:t xml:space="preserve"> objectives, an implementation schedule, institutional and gender-inclusive responsibilities, and cost and resourcing estimates. Indicative content of the BMP is prescribed by ESS6. </w:t>
            </w:r>
          </w:p>
          <w:p w14:paraId="50930A4F" w14:textId="1244BE08" w:rsidR="00F440B4" w:rsidRPr="00F440B4" w:rsidRDefault="001C650B" w:rsidP="000612F2">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dr w:val="nil"/>
              </w:rPr>
              <w:t xml:space="preserve">BMP is equal to the Program for </w:t>
            </w:r>
            <w:r w:rsidR="000D3950" w:rsidRPr="00AB7D1E">
              <w:rPr>
                <w:rFonts w:ascii="Calibri" w:eastAsia="Arial Unicode MS" w:hAnsi="Calibri" w:cs="Calibri"/>
                <w:bdr w:val="nil"/>
              </w:rPr>
              <w:t>M</w:t>
            </w:r>
            <w:r w:rsidRPr="00AB7D1E">
              <w:rPr>
                <w:rFonts w:ascii="Calibri" w:eastAsia="Arial Unicode MS" w:hAnsi="Calibri" w:cs="Calibri"/>
                <w:bdr w:val="nil"/>
              </w:rPr>
              <w:t xml:space="preserve">onitoring and </w:t>
            </w:r>
            <w:r w:rsidR="000D3950" w:rsidRPr="00AB7D1E">
              <w:rPr>
                <w:rFonts w:ascii="Calibri" w:eastAsia="Arial Unicode MS" w:hAnsi="Calibri" w:cs="Calibri"/>
                <w:bdr w:val="nil"/>
              </w:rPr>
              <w:t>R</w:t>
            </w:r>
            <w:r w:rsidRPr="00AB7D1E">
              <w:rPr>
                <w:rFonts w:ascii="Calibri" w:eastAsia="Arial Unicode MS" w:hAnsi="Calibri" w:cs="Calibri"/>
                <w:bdr w:val="nil"/>
              </w:rPr>
              <w:t xml:space="preserve">eporting on the </w:t>
            </w:r>
            <w:r w:rsidR="000D3950" w:rsidRPr="00AB7D1E">
              <w:rPr>
                <w:rFonts w:ascii="Calibri" w:eastAsia="Arial Unicode MS" w:hAnsi="Calibri" w:cs="Calibri"/>
                <w:bdr w:val="nil"/>
              </w:rPr>
              <w:t>S</w:t>
            </w:r>
            <w:r w:rsidRPr="00AB7D1E">
              <w:rPr>
                <w:rFonts w:ascii="Calibri" w:eastAsia="Arial Unicode MS" w:hAnsi="Calibri" w:cs="Calibri"/>
                <w:bdr w:val="nil"/>
              </w:rPr>
              <w:t xml:space="preserve">tate of </w:t>
            </w:r>
            <w:r w:rsidR="000D3950" w:rsidRPr="00AB7D1E">
              <w:rPr>
                <w:rFonts w:ascii="Calibri" w:eastAsia="Arial Unicode MS" w:hAnsi="Calibri" w:cs="Calibri"/>
                <w:bdr w:val="nil"/>
              </w:rPr>
              <w:t>C</w:t>
            </w:r>
            <w:r w:rsidRPr="00AB7D1E">
              <w:rPr>
                <w:rFonts w:ascii="Calibri" w:eastAsia="Arial Unicode MS" w:hAnsi="Calibri" w:cs="Calibri"/>
                <w:bdr w:val="nil"/>
              </w:rPr>
              <w:t xml:space="preserve">onservation </w:t>
            </w:r>
            <w:r w:rsidR="000D3950" w:rsidRPr="00AB7D1E">
              <w:rPr>
                <w:rFonts w:ascii="Calibri" w:eastAsia="Arial Unicode MS" w:hAnsi="Calibri" w:cs="Calibri"/>
                <w:bdr w:val="nil"/>
              </w:rPr>
              <w:t>O</w:t>
            </w:r>
            <w:r w:rsidRPr="00AB7D1E">
              <w:rPr>
                <w:rFonts w:ascii="Calibri" w:eastAsia="Arial Unicode MS" w:hAnsi="Calibri" w:cs="Calibri"/>
                <w:bdr w:val="nil"/>
              </w:rPr>
              <w:t xml:space="preserve">bjectives and the </w:t>
            </w:r>
            <w:r w:rsidR="000D3950" w:rsidRPr="00AB7D1E">
              <w:rPr>
                <w:rFonts w:ascii="Calibri" w:eastAsia="Arial Unicode MS" w:hAnsi="Calibri" w:cs="Calibri"/>
                <w:bdr w:val="nil"/>
              </w:rPr>
              <w:t>I</w:t>
            </w:r>
            <w:r w:rsidRPr="00AB7D1E">
              <w:rPr>
                <w:rFonts w:ascii="Calibri" w:eastAsia="Arial Unicode MS" w:hAnsi="Calibri" w:cs="Calibri"/>
                <w:bdr w:val="nil"/>
              </w:rPr>
              <w:t xml:space="preserve">ntegrity of the </w:t>
            </w:r>
            <w:r w:rsidR="000D3950" w:rsidRPr="00AB7D1E">
              <w:rPr>
                <w:rFonts w:ascii="Calibri" w:eastAsia="Arial Unicode MS" w:hAnsi="Calibri" w:cs="Calibri"/>
                <w:bdr w:val="nil"/>
              </w:rPr>
              <w:t>E</w:t>
            </w:r>
            <w:r w:rsidRPr="00AB7D1E">
              <w:rPr>
                <w:rFonts w:ascii="Calibri" w:eastAsia="Arial Unicode MS" w:hAnsi="Calibri" w:cs="Calibri"/>
                <w:bdr w:val="nil"/>
              </w:rPr>
              <w:t xml:space="preserve">cological </w:t>
            </w:r>
            <w:r w:rsidR="000D3950" w:rsidRPr="00AB7D1E">
              <w:rPr>
                <w:rFonts w:ascii="Calibri" w:eastAsia="Arial Unicode MS" w:hAnsi="Calibri" w:cs="Calibri"/>
                <w:bdr w:val="nil"/>
              </w:rPr>
              <w:t>N</w:t>
            </w:r>
            <w:r w:rsidRPr="00AB7D1E">
              <w:rPr>
                <w:rFonts w:ascii="Calibri" w:eastAsia="Arial Unicode MS" w:hAnsi="Calibri" w:cs="Calibri"/>
                <w:bdr w:val="nil"/>
              </w:rPr>
              <w:t xml:space="preserve">etwork </w:t>
            </w:r>
            <w:r w:rsidR="000D3950" w:rsidRPr="00AB7D1E">
              <w:rPr>
                <w:rFonts w:ascii="Calibri" w:eastAsia="Arial Unicode MS" w:hAnsi="Calibri" w:cs="Calibri"/>
                <w:bdr w:val="nil"/>
              </w:rPr>
              <w:t>A</w:t>
            </w:r>
            <w:r w:rsidRPr="00AB7D1E">
              <w:rPr>
                <w:rFonts w:ascii="Calibri" w:eastAsia="Arial Unicode MS" w:hAnsi="Calibri" w:cs="Calibri"/>
                <w:bdr w:val="nil"/>
              </w:rPr>
              <w:t xml:space="preserve">rea (Program) </w:t>
            </w:r>
            <w:r w:rsidRPr="00AB7D1E">
              <w:rPr>
                <w:rFonts w:ascii="Calibri" w:eastAsia="Arial Unicode MS" w:hAnsi="Calibri" w:cs="Calibri"/>
                <w:bdr w:val="nil"/>
              </w:rPr>
              <w:lastRenderedPageBreak/>
              <w:t>which is mandatory part of the EIA procedure. The obligatory content of the Program isn’t legally prescribed and, in most cases, don’t con</w:t>
            </w:r>
            <w:r w:rsidR="000D3950" w:rsidRPr="00AB7D1E">
              <w:rPr>
                <w:rFonts w:ascii="Calibri" w:eastAsia="Arial Unicode MS" w:hAnsi="Calibri" w:cs="Calibri"/>
                <w:bdr w:val="nil"/>
              </w:rPr>
              <w:t>tain</w:t>
            </w:r>
            <w:r w:rsidRPr="00AB7D1E">
              <w:rPr>
                <w:rFonts w:ascii="Calibri" w:eastAsia="Arial Unicode MS" w:hAnsi="Calibri" w:cs="Calibri"/>
                <w:bdr w:val="nil"/>
              </w:rPr>
              <w:t xml:space="preserve"> financial information as it is required by ESS6 BMP.</w:t>
            </w:r>
          </w:p>
        </w:tc>
      </w:tr>
      <w:tr w:rsidR="001C650B" w:rsidRPr="00AB7D1E" w14:paraId="733D1E8B" w14:textId="33FF47AD"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4E8B6187"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lastRenderedPageBreak/>
              <w:t>ESS7: Indigenous Peoples/Sub-Saharan African Historically Underserved Traditional Local Communities</w:t>
            </w:r>
          </w:p>
        </w:tc>
        <w:tc>
          <w:tcPr>
            <w:tcW w:w="1508" w:type="pct"/>
            <w:shd w:val="clear" w:color="auto" w:fill="auto"/>
          </w:tcPr>
          <w:p w14:paraId="2C45222F" w14:textId="039D5668" w:rsidR="001C650B" w:rsidRPr="00AB7D1E" w:rsidRDefault="003F69E1" w:rsidP="003F69E1">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Not applicable</w:t>
            </w:r>
          </w:p>
        </w:tc>
        <w:tc>
          <w:tcPr>
            <w:tcW w:w="2523" w:type="pct"/>
            <w:shd w:val="clear" w:color="auto" w:fill="auto"/>
            <w:vAlign w:val="center"/>
          </w:tcPr>
          <w:p w14:paraId="1BA89F7B" w14:textId="4C83D5B2" w:rsidR="001C650B" w:rsidRPr="00AB7D1E" w:rsidRDefault="001C650B"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 xml:space="preserve">This Standard is not relevant. </w:t>
            </w:r>
          </w:p>
          <w:p w14:paraId="6E8336B6" w14:textId="77777777" w:rsidR="005F51BE" w:rsidRPr="00AB7D1E" w:rsidRDefault="005F51BE" w:rsidP="005F51BE">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p>
          <w:p w14:paraId="636D7C8E" w14:textId="56F46890" w:rsidR="005F51BE" w:rsidRPr="00AB7D1E" w:rsidRDefault="001C650B" w:rsidP="005F51BE">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Croatia does not have distinct ethnic, social and/or cultural groups as covered by ESS7. Thus, this standard is not relevant.</w:t>
            </w:r>
          </w:p>
        </w:tc>
      </w:tr>
      <w:tr w:rsidR="00707294" w:rsidRPr="00AB7D1E" w14:paraId="0E5C8435" w14:textId="7A504313"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AC9A08D" w14:textId="3714072E" w:rsidR="00707294" w:rsidRPr="00AB7D1E" w:rsidRDefault="00707294" w:rsidP="00707294">
            <w:pPr>
              <w:tabs>
                <w:tab w:val="left" w:pos="1190"/>
              </w:tabs>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ESS8: Cultural Heritage</w:t>
            </w:r>
          </w:p>
        </w:tc>
        <w:tc>
          <w:tcPr>
            <w:tcW w:w="1508" w:type="pct"/>
            <w:shd w:val="clear" w:color="auto" w:fill="auto"/>
          </w:tcPr>
          <w:p w14:paraId="49063643" w14:textId="415B5A8E" w:rsidR="00707294" w:rsidRPr="00AB7D1E" w:rsidRDefault="00707294" w:rsidP="00BE60A0">
            <w:pPr>
              <w:pStyle w:val="ListParagraph"/>
              <w:numPr>
                <w:ilvl w:val="0"/>
                <w:numId w:val="28"/>
              </w:numPr>
              <w:suppressAutoHyphens w:val="0"/>
              <w:spacing w:before="0" w:after="0" w:line="240" w:lineRule="auto"/>
              <w:ind w:left="366"/>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Act on the Protection and Preservation of Cultural Property (OG 69/99, 151/03, 157/03, 100/04, 87/09, 88/10, 61/11, 25/12, 136/12, 157/13, 152/14, 98/15, 44/17, 90/18, 32/20, 62/20)</w:t>
            </w:r>
          </w:p>
        </w:tc>
        <w:tc>
          <w:tcPr>
            <w:tcW w:w="2523" w:type="pct"/>
            <w:shd w:val="clear" w:color="auto" w:fill="auto"/>
            <w:vAlign w:val="center"/>
          </w:tcPr>
          <w:p w14:paraId="742A3AE4" w14:textId="08EDC2E8" w:rsidR="00707294" w:rsidRPr="00AB7D1E" w:rsidRDefault="00707294" w:rsidP="00707294">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085D66">
              <w:rPr>
                <w:rFonts w:ascii="Calibri" w:eastAsia="Arial Unicode MS" w:hAnsi="Calibri" w:cs="Calibri"/>
                <w:b/>
                <w:bCs/>
                <w:bdr w:val="nil"/>
                <w:lang w:val="en-GB"/>
              </w:rPr>
              <w:t>There is no gap on the policy level</w:t>
            </w:r>
          </w:p>
        </w:tc>
      </w:tr>
      <w:tr w:rsidR="001C650B" w:rsidRPr="00AB7D1E" w14:paraId="64A75010" w14:textId="13223AEF" w:rsidTr="007072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E488CE5" w14:textId="77777777" w:rsidR="001C650B" w:rsidRPr="00AB7D1E" w:rsidRDefault="001C650B" w:rsidP="000612F2">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ESS9: Financial Intermediaries</w:t>
            </w:r>
          </w:p>
        </w:tc>
        <w:tc>
          <w:tcPr>
            <w:tcW w:w="1508" w:type="pct"/>
            <w:shd w:val="clear" w:color="auto" w:fill="auto"/>
          </w:tcPr>
          <w:p w14:paraId="71F1CF36" w14:textId="16DD1305" w:rsidR="001C650B" w:rsidRPr="00AB7D1E" w:rsidRDefault="001D1DAB" w:rsidP="001D1DAB">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Not applicable</w:t>
            </w:r>
          </w:p>
        </w:tc>
        <w:tc>
          <w:tcPr>
            <w:tcW w:w="2523" w:type="pct"/>
            <w:shd w:val="clear" w:color="auto" w:fill="auto"/>
            <w:vAlign w:val="center"/>
          </w:tcPr>
          <w:p w14:paraId="41779761" w14:textId="795C35A0" w:rsidR="001C650B" w:rsidRPr="00AB7D1E" w:rsidRDefault="001C650B"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This Standard is not currently relevant.</w:t>
            </w:r>
          </w:p>
          <w:p w14:paraId="618228BE" w14:textId="77777777" w:rsidR="005F51BE" w:rsidRPr="00AB7D1E" w:rsidRDefault="005F51BE" w:rsidP="000612F2">
            <w:pPr>
              <w:suppressAutoHyphens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bCs/>
                <w:bdr w:val="nil"/>
              </w:rPr>
            </w:pPr>
          </w:p>
          <w:p w14:paraId="233BB147" w14:textId="6829A4F0" w:rsidR="00E72066" w:rsidRPr="00AB7D1E" w:rsidRDefault="00E72066" w:rsidP="00E72066">
            <w:pPr>
              <w:suppressAutoHyphens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This standard is not applicable as the project does not envision involvement of financial intermediaries</w:t>
            </w:r>
          </w:p>
        </w:tc>
      </w:tr>
      <w:tr w:rsidR="00E718BF" w:rsidRPr="00AB7D1E" w14:paraId="69F40C89" w14:textId="440CAB16" w:rsidTr="00707294">
        <w:trPr>
          <w:trHeight w:val="20"/>
        </w:trPr>
        <w:tc>
          <w:tcPr>
            <w:cnfStyle w:val="001000000000" w:firstRow="0" w:lastRow="0" w:firstColumn="1" w:lastColumn="0" w:oddVBand="0" w:evenVBand="0" w:oddHBand="0" w:evenHBand="0" w:firstRowFirstColumn="0" w:firstRowLastColumn="0" w:lastRowFirstColumn="0" w:lastRowLastColumn="0"/>
            <w:tcW w:w="969" w:type="pct"/>
            <w:shd w:val="clear" w:color="auto" w:fill="auto"/>
          </w:tcPr>
          <w:p w14:paraId="01B762FD" w14:textId="77777777" w:rsidR="00E718BF" w:rsidRPr="00AB7D1E" w:rsidRDefault="00E718BF" w:rsidP="00E718BF">
            <w:pPr>
              <w:suppressAutoHyphens w:val="0"/>
              <w:spacing w:before="0" w:after="0" w:line="240" w:lineRule="auto"/>
              <w:rPr>
                <w:rFonts w:ascii="Calibri" w:eastAsia="Arial Unicode MS" w:hAnsi="Calibri" w:cs="Calibri"/>
                <w:b w:val="0"/>
                <w:bCs w:val="0"/>
                <w:bdr w:val="nil"/>
              </w:rPr>
            </w:pPr>
            <w:r w:rsidRPr="00AB7D1E">
              <w:rPr>
                <w:rFonts w:ascii="Calibri" w:eastAsia="Arial Unicode MS" w:hAnsi="Calibri" w:cs="Calibri"/>
                <w:b w:val="0"/>
                <w:bCs w:val="0"/>
                <w:bdr w:val="nil"/>
              </w:rPr>
              <w:t>ESS10: Stakeholder Engagement and Information Disclosure</w:t>
            </w:r>
          </w:p>
        </w:tc>
        <w:tc>
          <w:tcPr>
            <w:tcW w:w="1508" w:type="pct"/>
            <w:shd w:val="clear" w:color="auto" w:fill="auto"/>
          </w:tcPr>
          <w:p w14:paraId="31F1E320" w14:textId="77777777" w:rsidR="00E718BF" w:rsidRPr="00AB7D1E" w:rsidRDefault="00E718BF"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t>Environmental Protection Act (OG 80/13, 153/13, 78/15, 12/18, 118/18)</w:t>
            </w:r>
          </w:p>
          <w:p w14:paraId="2E5FA37B" w14:textId="77777777" w:rsidR="00E718BF" w:rsidRPr="00AB7D1E" w:rsidRDefault="00E718BF"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t>Regulation on environmental impact assessment (OG 61/14, 3/17)</w:t>
            </w:r>
            <w:r w:rsidR="00006565" w:rsidRPr="00AB7D1E">
              <w:t>,</w:t>
            </w:r>
          </w:p>
          <w:p w14:paraId="628A2D2D" w14:textId="57705D44" w:rsidR="00006565" w:rsidRPr="00AB7D1E" w:rsidRDefault="00006565" w:rsidP="00BE60A0">
            <w:pPr>
              <w:pStyle w:val="ListParagraph"/>
              <w:numPr>
                <w:ilvl w:val="0"/>
                <w:numId w:val="27"/>
              </w:numPr>
              <w:suppressAutoHyphens w:val="0"/>
              <w:spacing w:before="0" w:after="0" w:line="240" w:lineRule="auto"/>
              <w:ind w:left="322"/>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Regulation on information and participation of the public and public concerned in environmental matters</w:t>
            </w:r>
            <w:r w:rsidRPr="00AB7D1E">
              <w:rPr>
                <w:rFonts w:ascii="Calibri" w:eastAsia="Arial Unicode MS" w:hAnsi="Calibri" w:cs="Calibri"/>
                <w:b/>
                <w:bCs/>
                <w:bdr w:val="nil"/>
              </w:rPr>
              <w:t xml:space="preserve"> </w:t>
            </w:r>
            <w:r w:rsidRPr="00AB7D1E">
              <w:rPr>
                <w:rFonts w:ascii="Calibri" w:eastAsia="Arial Unicode MS" w:hAnsi="Calibri" w:cs="Calibri"/>
                <w:bdr w:val="nil"/>
              </w:rPr>
              <w:t>(OG 64/08)</w:t>
            </w:r>
          </w:p>
        </w:tc>
        <w:tc>
          <w:tcPr>
            <w:tcW w:w="2523" w:type="pct"/>
            <w:shd w:val="clear" w:color="auto" w:fill="auto"/>
            <w:vAlign w:val="center"/>
          </w:tcPr>
          <w:p w14:paraId="041863FC" w14:textId="0F5283C5" w:rsidR="007A3423" w:rsidRPr="00AB7D1E" w:rsidRDefault="007A3423" w:rsidP="007A342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According national legislation, preparation of SEP is not</w:t>
            </w:r>
          </w:p>
          <w:p w14:paraId="76811215" w14:textId="6B95E6BE" w:rsidR="00F615DC" w:rsidRPr="00AB7D1E" w:rsidRDefault="007A3423" w:rsidP="007A342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
                <w:bCs/>
                <w:bdr w:val="nil"/>
              </w:rPr>
            </w:pPr>
            <w:r w:rsidRPr="00AB7D1E">
              <w:rPr>
                <w:rFonts w:ascii="Calibri" w:eastAsia="Arial Unicode MS" w:hAnsi="Calibri" w:cs="Calibri"/>
                <w:b/>
                <w:bCs/>
                <w:bdr w:val="nil"/>
              </w:rPr>
              <w:t>required.</w:t>
            </w:r>
            <w:r w:rsidR="00F615DC" w:rsidRPr="00AB7D1E">
              <w:rPr>
                <w:rFonts w:ascii="Calibri" w:eastAsia="Arial Unicode MS" w:hAnsi="Calibri" w:cs="Calibri"/>
                <w:b/>
                <w:bCs/>
                <w:bdr w:val="nil"/>
              </w:rPr>
              <w:t xml:space="preserve"> </w:t>
            </w:r>
          </w:p>
          <w:p w14:paraId="1E5A70D1" w14:textId="77777777" w:rsidR="005F51BE" w:rsidRPr="00AB7D1E" w:rsidRDefault="005F51BE" w:rsidP="002B41B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p>
          <w:p w14:paraId="5BD89B15" w14:textId="5AF36156" w:rsidR="00E718BF" w:rsidRPr="00AB7D1E" w:rsidRDefault="00F615DC" w:rsidP="002B41B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Although the procedures related to public information disclosure and grievance mechanism in the process of EIA are comprehensively and in detail covered by national legislation and in line with ESS10 requirements, </w:t>
            </w:r>
            <w:r w:rsidR="002B41B3" w:rsidRPr="00AB7D1E">
              <w:rPr>
                <w:rFonts w:ascii="Calibri" w:eastAsia="Arial Unicode MS" w:hAnsi="Calibri" w:cs="Calibri"/>
                <w:bdr w:val="nil"/>
              </w:rPr>
              <w:t xml:space="preserve">the preparation of </w:t>
            </w:r>
            <w:proofErr w:type="spellStart"/>
            <w:r w:rsidR="002B41B3" w:rsidRPr="00AB7D1E">
              <w:rPr>
                <w:rFonts w:ascii="Calibri" w:eastAsia="Arial Unicode MS" w:hAnsi="Calibri" w:cs="Calibri"/>
                <w:bdr w:val="nil"/>
              </w:rPr>
              <w:t>programme</w:t>
            </w:r>
            <w:proofErr w:type="spellEnd"/>
            <w:r w:rsidR="00C32FAA" w:rsidRPr="00AB7D1E">
              <w:rPr>
                <w:rFonts w:ascii="Calibri" w:eastAsia="Arial Unicode MS" w:hAnsi="Calibri" w:cs="Calibri"/>
                <w:bdr w:val="nil"/>
              </w:rPr>
              <w:t xml:space="preserve"> like SEP</w:t>
            </w:r>
            <w:r w:rsidR="002B41B3" w:rsidRPr="00AB7D1E">
              <w:rPr>
                <w:rFonts w:ascii="Calibri" w:eastAsia="Arial Unicode MS" w:hAnsi="Calibri" w:cs="Calibri"/>
                <w:bdr w:val="nil"/>
              </w:rPr>
              <w:t xml:space="preserve"> for specific project isn’t required by national legislation.</w:t>
            </w:r>
          </w:p>
          <w:p w14:paraId="350C50F8" w14:textId="046CFCC4" w:rsidR="00A82934" w:rsidRPr="00AB7D1E" w:rsidRDefault="00A82934" w:rsidP="002B41B3">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bdr w:val="nil"/>
              </w:rPr>
            </w:pPr>
            <w:r w:rsidRPr="00AB7D1E">
              <w:rPr>
                <w:rFonts w:ascii="Calibri" w:eastAsia="Arial Unicode MS" w:hAnsi="Calibri" w:cs="Calibri"/>
                <w:bdr w:val="nil"/>
              </w:rPr>
              <w:t xml:space="preserve">As it is mentioned, public consultation and engagement is covered in national legislation, including the right to address petitions, request information on projects carried by public bodies, consultation of </w:t>
            </w:r>
            <w:proofErr w:type="spellStart"/>
            <w:r w:rsidR="002E1AF0" w:rsidRPr="00AB7D1E">
              <w:rPr>
                <w:rFonts w:ascii="Calibri" w:eastAsia="Arial Unicode MS" w:hAnsi="Calibri" w:cs="Calibri"/>
                <w:bdr w:val="nil"/>
              </w:rPr>
              <w:t>neighbours</w:t>
            </w:r>
            <w:proofErr w:type="spellEnd"/>
            <w:r w:rsidRPr="00AB7D1E">
              <w:rPr>
                <w:rFonts w:ascii="Calibri" w:eastAsia="Arial Unicode MS" w:hAnsi="Calibri" w:cs="Calibri"/>
                <w:bdr w:val="nil"/>
              </w:rPr>
              <w:t xml:space="preserve"> and communities, etc.; however, </w:t>
            </w:r>
            <w:r w:rsidR="000768F4" w:rsidRPr="00AB7D1E">
              <w:rPr>
                <w:rFonts w:ascii="Calibri" w:eastAsia="Arial Unicode MS" w:hAnsi="Calibri" w:cs="Calibri"/>
                <w:bdr w:val="nil"/>
              </w:rPr>
              <w:t>the processes for reaching potentially impacted persons and communities also can be improved to incorporate WB principles, by engaging actively with these persons/groups, especially with vulnerable groups where such situations will surface.</w:t>
            </w:r>
            <w:r w:rsidR="005F51BE" w:rsidRPr="00AB7D1E">
              <w:rPr>
                <w:rFonts w:ascii="Calibri" w:eastAsia="Arial Unicode MS" w:hAnsi="Calibri" w:cs="Calibri"/>
                <w:bdr w:val="nil"/>
              </w:rPr>
              <w:t xml:space="preserve"> </w:t>
            </w:r>
            <w:r w:rsidR="00C32FAA" w:rsidRPr="00AB7D1E">
              <w:rPr>
                <w:rFonts w:ascii="Calibri" w:eastAsia="Arial Unicode MS" w:hAnsi="Calibri" w:cs="Calibri"/>
                <w:bdr w:val="nil"/>
              </w:rPr>
              <w:t>According to national legislation public consultation process is a part of EIA procedure and is conducted for every project/sub-project</w:t>
            </w:r>
          </w:p>
        </w:tc>
      </w:tr>
      <w:bookmarkEnd w:id="157"/>
    </w:tbl>
    <w:p w14:paraId="3789AC99" w14:textId="77777777" w:rsidR="000612F2" w:rsidRPr="00AB7D1E" w:rsidRDefault="000612F2" w:rsidP="00A139B9">
      <w:pPr>
        <w:rPr>
          <w:b/>
          <w:bCs/>
          <w:lang w:val="en-US"/>
        </w:rPr>
        <w:sectPr w:rsidR="000612F2" w:rsidRPr="00AB7D1E" w:rsidSect="000612F2">
          <w:pgSz w:w="16838" w:h="11906" w:orient="landscape"/>
          <w:pgMar w:top="1440" w:right="1440" w:bottom="1440" w:left="1440" w:header="720" w:footer="720" w:gutter="0"/>
          <w:cols w:space="720"/>
          <w:docGrid w:linePitch="299"/>
        </w:sectPr>
      </w:pPr>
    </w:p>
    <w:p w14:paraId="1D9B89C0" w14:textId="18EFE202" w:rsidR="00E343B6" w:rsidRPr="00AB7D1E" w:rsidRDefault="00075A6F" w:rsidP="00F12217">
      <w:pPr>
        <w:pStyle w:val="Heading1"/>
        <w:rPr>
          <w:lang w:val="en-US"/>
        </w:rPr>
      </w:pPr>
      <w:bookmarkStart w:id="159" w:name="_Ref11008738"/>
      <w:bookmarkStart w:id="160" w:name="_Toc56954073"/>
      <w:r w:rsidRPr="00AB7D1E">
        <w:rPr>
          <w:caps w:val="0"/>
          <w:lang w:val="en-US"/>
        </w:rPr>
        <w:lastRenderedPageBreak/>
        <w:t>SCREENING OF POTENTIAL ENVIRONMENT AND SOCIAL IMPACT</w:t>
      </w:r>
      <w:bookmarkEnd w:id="159"/>
      <w:r w:rsidRPr="00AB7D1E">
        <w:rPr>
          <w:caps w:val="0"/>
          <w:lang w:val="en-US"/>
        </w:rPr>
        <w:t>S</w:t>
      </w:r>
      <w:bookmarkEnd w:id="160"/>
      <w:r w:rsidR="00E343B6" w:rsidRPr="00AB7D1E">
        <w:rPr>
          <w:lang w:val="en-US"/>
        </w:rPr>
        <w:t xml:space="preserve"> </w:t>
      </w:r>
    </w:p>
    <w:p w14:paraId="28861C74" w14:textId="4C9C1DD4" w:rsidR="00BB5AB5" w:rsidRPr="00AB7D1E" w:rsidRDefault="00BB5AB5" w:rsidP="00BB5AB5">
      <w:pPr>
        <w:tabs>
          <w:tab w:val="left" w:pos="4599"/>
        </w:tabs>
        <w:rPr>
          <w:lang w:val="en-US"/>
        </w:rPr>
      </w:pPr>
      <w:r w:rsidRPr="00AB7D1E">
        <w:rPr>
          <w:lang w:val="en-US"/>
        </w:rPr>
        <w:t>According to the national legislation all construction works must be designed and built in such a way that it will</w:t>
      </w:r>
      <w:r w:rsidR="00A222BE" w:rsidRPr="00AB7D1E">
        <w:rPr>
          <w:lang w:val="en-US"/>
        </w:rPr>
        <w:t>,</w:t>
      </w:r>
      <w:r w:rsidRPr="00AB7D1E">
        <w:rPr>
          <w:lang w:val="en-US"/>
        </w:rPr>
        <w:t xml:space="preserve"> throughout its life cycle,</w:t>
      </w:r>
      <w:r w:rsidR="00A222BE" w:rsidRPr="00AB7D1E">
        <w:rPr>
          <w:lang w:val="en-US"/>
        </w:rPr>
        <w:t xml:space="preserve"> not be:</w:t>
      </w:r>
      <w:r w:rsidRPr="00AB7D1E">
        <w:rPr>
          <w:lang w:val="en-US"/>
        </w:rPr>
        <w:t xml:space="preserve"> threat to the hygiene or health and safety of workers or </w:t>
      </w:r>
      <w:proofErr w:type="spellStart"/>
      <w:r w:rsidR="00A222BE" w:rsidRPr="00AB7D1E">
        <w:rPr>
          <w:lang w:val="en-US"/>
        </w:rPr>
        <w:t>neighbours</w:t>
      </w:r>
      <w:proofErr w:type="spellEnd"/>
      <w:r w:rsidRPr="00AB7D1E">
        <w:rPr>
          <w:lang w:val="en-US"/>
        </w:rPr>
        <w:t xml:space="preserve">, have no exceedingly high impact on the environmental quality or on the climate during its construction, </w:t>
      </w:r>
      <w:r w:rsidR="009E6BAD" w:rsidRPr="00AB7D1E">
        <w:rPr>
          <w:lang w:val="en-US"/>
        </w:rPr>
        <w:t xml:space="preserve">no </w:t>
      </w:r>
      <w:r w:rsidRPr="00AB7D1E">
        <w:rPr>
          <w:lang w:val="en-US"/>
        </w:rPr>
        <w:t>leakage of toxic gases, emissions of dangerous substances, volatile organic compounds, greenhouse gases or dangerous particles into the air, emission of dangerous radiation, release of dangerous substances into ground water, marine waters, surface waters or soil, release of dangerous substances into drinking water or substances which have an otherwise negative impact on drinking water, faulty discharge of waste water, emission of flue gases or faulty disposal of solid or liquid waste, dampness in parts of the construction work or on surfaces within the construction work.</w:t>
      </w:r>
    </w:p>
    <w:p w14:paraId="3BFE6595" w14:textId="7B5CB8F4" w:rsidR="00BB5AB5" w:rsidRPr="00AB7D1E" w:rsidRDefault="00BB5AB5" w:rsidP="00BB5AB5">
      <w:pPr>
        <w:tabs>
          <w:tab w:val="left" w:pos="4599"/>
        </w:tabs>
        <w:rPr>
          <w:lang w:val="en-US"/>
        </w:rPr>
      </w:pPr>
      <w:r w:rsidRPr="00AB7D1E">
        <w:rPr>
          <w:lang w:val="en-US"/>
        </w:rPr>
        <w:t xml:space="preserve">This means that </w:t>
      </w:r>
      <w:r w:rsidR="00A222BE" w:rsidRPr="00AB7D1E">
        <w:rPr>
          <w:lang w:val="en-US"/>
        </w:rPr>
        <w:t>all civil</w:t>
      </w:r>
      <w:r w:rsidRPr="00AB7D1E">
        <w:rPr>
          <w:lang w:val="en-US"/>
        </w:rPr>
        <w:t xml:space="preserve"> works must be designed and conducted in such a way that do not present unacceptable risks of accidents or damage in service or in operation such as slipping, falling, collision, burns, electrocution, injury from explosion, burglaries</w:t>
      </w:r>
      <w:r w:rsidR="00364263">
        <w:rPr>
          <w:lang w:val="en-US"/>
        </w:rPr>
        <w:t>, etc</w:t>
      </w:r>
      <w:r w:rsidRPr="00AB7D1E">
        <w:rPr>
          <w:lang w:val="en-US"/>
        </w:rPr>
        <w:t xml:space="preserve">. </w:t>
      </w:r>
      <w:bookmarkStart w:id="161" w:name="_Hlk47968137"/>
      <w:proofErr w:type="gramStart"/>
      <w:r w:rsidRPr="00AB7D1E">
        <w:rPr>
          <w:lang w:val="en-US"/>
        </w:rPr>
        <w:t>In particular, must</w:t>
      </w:r>
      <w:proofErr w:type="gramEnd"/>
      <w:r w:rsidRPr="00AB7D1E">
        <w:rPr>
          <w:lang w:val="en-US"/>
        </w:rPr>
        <w:t xml:space="preserve"> be designed taking into consideration accessibility and use for disabled persons. </w:t>
      </w:r>
      <w:bookmarkEnd w:id="161"/>
      <w:r w:rsidRPr="00AB7D1E">
        <w:rPr>
          <w:lang w:val="en-US"/>
        </w:rPr>
        <w:t xml:space="preserve">Regarding noise protection, noise perceived by the workers or people nearby </w:t>
      </w:r>
      <w:proofErr w:type="gramStart"/>
      <w:r w:rsidRPr="00AB7D1E">
        <w:rPr>
          <w:lang w:val="en-US"/>
        </w:rPr>
        <w:t>has to</w:t>
      </w:r>
      <w:proofErr w:type="gramEnd"/>
      <w:r w:rsidRPr="00AB7D1E">
        <w:rPr>
          <w:lang w:val="en-US"/>
        </w:rPr>
        <w:t xml:space="preserve"> be kept to a level that will not threaten their health and will allow them to sleep, rest and work in satisfactory conditions. </w:t>
      </w:r>
      <w:r w:rsidR="009E6BAD" w:rsidRPr="00AB7D1E">
        <w:rPr>
          <w:lang w:val="en-US"/>
        </w:rPr>
        <w:t>Additionally, construction</w:t>
      </w:r>
      <w:r w:rsidRPr="00AB7D1E">
        <w:rPr>
          <w:lang w:val="en-US"/>
        </w:rPr>
        <w:t xml:space="preserve"> work</w:t>
      </w:r>
      <w:r w:rsidR="00FA66E6" w:rsidRPr="00AB7D1E">
        <w:rPr>
          <w:lang w:val="en-US"/>
        </w:rPr>
        <w:t>s</w:t>
      </w:r>
      <w:r w:rsidRPr="00AB7D1E">
        <w:rPr>
          <w:lang w:val="en-US"/>
        </w:rPr>
        <w:t xml:space="preserve"> must be energy-efficient, using as little energy as possible</w:t>
      </w:r>
      <w:r w:rsidR="009E6BAD" w:rsidRPr="00AB7D1E">
        <w:rPr>
          <w:lang w:val="en-US"/>
        </w:rPr>
        <w:t xml:space="preserve"> and </w:t>
      </w:r>
      <w:r w:rsidRPr="00AB7D1E">
        <w:rPr>
          <w:lang w:val="en-US"/>
        </w:rPr>
        <w:t xml:space="preserve">conducted in such a way that the use of natural resources is sustainable. </w:t>
      </w:r>
    </w:p>
    <w:p w14:paraId="37C2FEE8" w14:textId="004CAA17" w:rsidR="00B56BA3" w:rsidRPr="00AB7D1E" w:rsidRDefault="00B56BA3" w:rsidP="00B56BA3">
      <w:pPr>
        <w:pStyle w:val="Heading2"/>
        <w:rPr>
          <w:lang w:val="en-US"/>
        </w:rPr>
      </w:pPr>
      <w:bookmarkStart w:id="162" w:name="_Toc56954074"/>
      <w:r w:rsidRPr="00AB7D1E">
        <w:rPr>
          <w:lang w:val="en-US"/>
        </w:rPr>
        <w:t>Environmental impacts</w:t>
      </w:r>
      <w:bookmarkEnd w:id="162"/>
    </w:p>
    <w:p w14:paraId="14D83E9A" w14:textId="3EFE0C2C" w:rsidR="00F67A25" w:rsidRPr="00AB7D1E" w:rsidRDefault="00F67A25" w:rsidP="00E343B6">
      <w:pPr>
        <w:tabs>
          <w:tab w:val="left" w:pos="4599"/>
        </w:tabs>
        <w:rPr>
          <w:b/>
          <w:bCs/>
          <w:u w:val="single"/>
          <w:lang w:val="en-US"/>
        </w:rPr>
      </w:pPr>
      <w:r w:rsidRPr="00AB7D1E">
        <w:rPr>
          <w:b/>
          <w:bCs/>
          <w:u w:val="single"/>
          <w:lang w:val="en-US"/>
        </w:rPr>
        <w:t>Construction phase</w:t>
      </w:r>
    </w:p>
    <w:p w14:paraId="00A597BE" w14:textId="56663EC4" w:rsidR="0002353F" w:rsidRPr="00AB7D1E" w:rsidRDefault="0002353F" w:rsidP="0002353F">
      <w:pPr>
        <w:tabs>
          <w:tab w:val="left" w:pos="4599"/>
        </w:tabs>
        <w:rPr>
          <w:b/>
          <w:bCs/>
          <w:lang w:val="en-US"/>
        </w:rPr>
      </w:pPr>
      <w:r w:rsidRPr="00AB7D1E">
        <w:rPr>
          <w:b/>
          <w:bCs/>
          <w:lang w:val="en-US"/>
        </w:rPr>
        <w:t xml:space="preserve">The </w:t>
      </w:r>
      <w:proofErr w:type="gramStart"/>
      <w:r w:rsidR="00115BA3">
        <w:rPr>
          <w:b/>
          <w:bCs/>
          <w:lang w:val="en-US"/>
        </w:rPr>
        <w:t>small scale</w:t>
      </w:r>
      <w:proofErr w:type="gramEnd"/>
      <w:r w:rsidR="00115BA3">
        <w:rPr>
          <w:b/>
          <w:bCs/>
          <w:lang w:val="en-US"/>
        </w:rPr>
        <w:t xml:space="preserve"> </w:t>
      </w:r>
      <w:r w:rsidRPr="00AB7D1E">
        <w:rPr>
          <w:b/>
          <w:bCs/>
          <w:lang w:val="en-US"/>
        </w:rPr>
        <w:t>environmental impacts of the project are expected in Subcomponent 2.1 which includes civil works – repair / rehabilitation works</w:t>
      </w:r>
      <w:r w:rsidRPr="00AB7D1E">
        <w:rPr>
          <w:rStyle w:val="FootnoteReference"/>
          <w:b/>
          <w:bCs/>
          <w:lang w:val="en-US"/>
        </w:rPr>
        <w:footnoteReference w:id="114"/>
      </w:r>
      <w:r w:rsidR="0056187D">
        <w:rPr>
          <w:b/>
          <w:bCs/>
          <w:lang w:val="en-US"/>
        </w:rPr>
        <w:t xml:space="preserve">. </w:t>
      </w:r>
      <w:r w:rsidR="00CD7F22">
        <w:rPr>
          <w:b/>
          <w:bCs/>
          <w:lang w:val="en-US"/>
        </w:rPr>
        <w:t>Furthermore</w:t>
      </w:r>
      <w:r w:rsidR="0056187D">
        <w:rPr>
          <w:b/>
          <w:bCs/>
          <w:lang w:val="en-US"/>
        </w:rPr>
        <w:t xml:space="preserve">, significant environmental impacts </w:t>
      </w:r>
      <w:r w:rsidR="003A4D32" w:rsidRPr="00AB7D1E">
        <w:rPr>
          <w:b/>
          <w:bCs/>
          <w:lang w:val="en-US"/>
        </w:rPr>
        <w:t>under</w:t>
      </w:r>
      <w:r w:rsidRPr="00AB7D1E">
        <w:rPr>
          <w:b/>
          <w:bCs/>
          <w:lang w:val="en-US"/>
        </w:rPr>
        <w:t xml:space="preserve"> Subcomponent 2.2 are not expected as it is focused on providing healthcare equipment (vehicles, protective equipment, equipment and supplies for telemedicine etc.) and support institutional and organizational </w:t>
      </w:r>
      <w:r w:rsidR="00FA66E6" w:rsidRPr="00AB7D1E">
        <w:rPr>
          <w:b/>
          <w:bCs/>
          <w:lang w:val="en-US"/>
        </w:rPr>
        <w:t>strengthening</w:t>
      </w:r>
      <w:r w:rsidRPr="00AB7D1E">
        <w:rPr>
          <w:b/>
          <w:bCs/>
          <w:lang w:val="en-US"/>
        </w:rPr>
        <w:t>.</w:t>
      </w:r>
      <w:r w:rsidR="0056187D">
        <w:rPr>
          <w:b/>
          <w:bCs/>
          <w:lang w:val="en-US"/>
        </w:rPr>
        <w:t xml:space="preserve"> </w:t>
      </w:r>
      <w:r w:rsidR="0056187D" w:rsidRPr="0056187D">
        <w:rPr>
          <w:b/>
          <w:bCs/>
          <w:lang w:val="en-US"/>
        </w:rPr>
        <w:t xml:space="preserve">During the everyday work of public health </w:t>
      </w:r>
      <w:r w:rsidR="0056187D">
        <w:rPr>
          <w:b/>
          <w:bCs/>
          <w:lang w:val="en-US"/>
        </w:rPr>
        <w:t>facilities</w:t>
      </w:r>
      <w:r w:rsidR="0056187D" w:rsidRPr="0056187D">
        <w:rPr>
          <w:b/>
          <w:bCs/>
          <w:lang w:val="en-US"/>
        </w:rPr>
        <w:t xml:space="preserve"> generation of medical waste occurs. </w:t>
      </w:r>
      <w:r w:rsidR="0056187D">
        <w:rPr>
          <w:b/>
          <w:bCs/>
          <w:lang w:val="en-US"/>
        </w:rPr>
        <w:t>Possible</w:t>
      </w:r>
      <w:r w:rsidR="0056187D" w:rsidRPr="0056187D">
        <w:rPr>
          <w:b/>
          <w:bCs/>
          <w:lang w:val="en-US"/>
        </w:rPr>
        <w:t xml:space="preserve"> environmental and social risks </w:t>
      </w:r>
      <w:r w:rsidR="0056187D">
        <w:rPr>
          <w:b/>
          <w:bCs/>
          <w:lang w:val="en-US"/>
        </w:rPr>
        <w:t>related to medical waste management will be</w:t>
      </w:r>
      <w:r w:rsidR="0056187D" w:rsidRPr="0056187D">
        <w:rPr>
          <w:b/>
          <w:bCs/>
          <w:lang w:val="en-US"/>
        </w:rPr>
        <w:t xml:space="preserve"> eliminated and/or mitigated by application of</w:t>
      </w:r>
      <w:r w:rsidR="0056187D">
        <w:rPr>
          <w:b/>
          <w:bCs/>
          <w:lang w:val="en-US"/>
        </w:rPr>
        <w:t xml:space="preserve"> adequate</w:t>
      </w:r>
      <w:r w:rsidR="0056187D" w:rsidRPr="0056187D">
        <w:rPr>
          <w:b/>
          <w:bCs/>
          <w:lang w:val="en-US"/>
        </w:rPr>
        <w:t xml:space="preserve"> measures</w:t>
      </w:r>
      <w:r w:rsidR="007E069B">
        <w:rPr>
          <w:b/>
          <w:bCs/>
          <w:lang w:val="en-US"/>
        </w:rPr>
        <w:t xml:space="preserve"> (see analys</w:t>
      </w:r>
      <w:r w:rsidR="006B196C">
        <w:rPr>
          <w:b/>
          <w:bCs/>
          <w:lang w:val="en-US"/>
        </w:rPr>
        <w:t>i</w:t>
      </w:r>
      <w:r w:rsidR="007E069B">
        <w:rPr>
          <w:b/>
          <w:bCs/>
          <w:lang w:val="en-US"/>
        </w:rPr>
        <w:t>s</w:t>
      </w:r>
      <w:r w:rsidR="006B196C">
        <w:rPr>
          <w:b/>
          <w:bCs/>
          <w:lang w:val="en-US"/>
        </w:rPr>
        <w:t xml:space="preserve"> for</w:t>
      </w:r>
      <w:r w:rsidR="007E069B">
        <w:rPr>
          <w:b/>
          <w:bCs/>
          <w:lang w:val="en-US"/>
        </w:rPr>
        <w:t xml:space="preserve"> operational phase)</w:t>
      </w:r>
      <w:r w:rsidR="0056187D" w:rsidRPr="0056187D">
        <w:rPr>
          <w:b/>
          <w:bCs/>
          <w:lang w:val="en-US"/>
        </w:rPr>
        <w:t>.</w:t>
      </w:r>
    </w:p>
    <w:p w14:paraId="6BBB0AA5" w14:textId="2D8A4D4A" w:rsidR="0002353F" w:rsidRPr="00AB7D1E" w:rsidRDefault="0002353F" w:rsidP="0002353F">
      <w:pPr>
        <w:tabs>
          <w:tab w:val="left" w:pos="4599"/>
        </w:tabs>
        <w:rPr>
          <w:lang w:val="en-US"/>
        </w:rPr>
      </w:pPr>
      <w:r w:rsidRPr="00AB7D1E">
        <w:rPr>
          <w:lang w:val="en-US"/>
        </w:rPr>
        <w:t xml:space="preserve">It is anticipated that for planned </w:t>
      </w:r>
      <w:r w:rsidRPr="00AB7D1E">
        <w:rPr>
          <w:bCs/>
          <w:lang w:val="en-US"/>
        </w:rPr>
        <w:t xml:space="preserve">repair / rehabilitation </w:t>
      </w:r>
      <w:r w:rsidRPr="00AB7D1E">
        <w:rPr>
          <w:lang w:val="en-US"/>
        </w:rPr>
        <w:t>works environmental</w:t>
      </w:r>
      <w:r w:rsidRPr="00AB7D1E">
        <w:rPr>
          <w:bCs/>
          <w:lang w:val="en-US"/>
        </w:rPr>
        <w:t xml:space="preserve"> risks are typical for construction works</w:t>
      </w:r>
      <w:r w:rsidRPr="00AB7D1E">
        <w:rPr>
          <w:lang w:val="en-US"/>
        </w:rPr>
        <w:t xml:space="preserve"> and would be easily predictable and mitigated. Long term environmental impacts are expected to be generally neutral.</w:t>
      </w:r>
    </w:p>
    <w:p w14:paraId="60F7A5C3" w14:textId="24AAAFAA" w:rsidR="00611B95" w:rsidRPr="00AB7D1E" w:rsidRDefault="0002353F" w:rsidP="0002353F">
      <w:pPr>
        <w:tabs>
          <w:tab w:val="left" w:pos="4599"/>
        </w:tabs>
        <w:rPr>
          <w:lang w:val="en-US"/>
        </w:rPr>
      </w:pPr>
      <w:r w:rsidRPr="00AB7D1E">
        <w:rPr>
          <w:rFonts w:cstheme="minorHAnsi"/>
          <w:b/>
          <w:bCs/>
          <w:lang w:val="en-US"/>
        </w:rPr>
        <w:t>The environmental impacts</w:t>
      </w:r>
      <w:r w:rsidRPr="00AB7D1E">
        <w:rPr>
          <w:rFonts w:cstheme="minorHAnsi"/>
          <w:lang w:val="en-US"/>
        </w:rPr>
        <w:t xml:space="preserve"> of the </w:t>
      </w:r>
      <w:r w:rsidR="0089261A" w:rsidRPr="00AB7D1E">
        <w:rPr>
          <w:rFonts w:cstheme="minorHAnsi"/>
          <w:lang w:val="en-US"/>
        </w:rPr>
        <w:t>p</w:t>
      </w:r>
      <w:r w:rsidRPr="00AB7D1E">
        <w:rPr>
          <w:rFonts w:cstheme="minorHAnsi"/>
          <w:lang w:val="en-US"/>
        </w:rPr>
        <w:t>roject (Component 2) are expected to be of manageable, temporary and of local impact</w:t>
      </w:r>
      <w:r w:rsidR="00660E2C">
        <w:rPr>
          <w:rFonts w:cstheme="minorHAnsi"/>
          <w:lang w:val="en-US"/>
        </w:rPr>
        <w:t xml:space="preserve">, </w:t>
      </w:r>
      <w:r w:rsidR="00AF1D89">
        <w:rPr>
          <w:rFonts w:cstheme="minorHAnsi"/>
          <w:lang w:val="en-US"/>
        </w:rPr>
        <w:t xml:space="preserve">effectively anticipated, </w:t>
      </w:r>
      <w:r w:rsidR="00660E2C">
        <w:rPr>
          <w:rFonts w:cstheme="minorHAnsi"/>
          <w:lang w:val="en-US"/>
        </w:rPr>
        <w:t>easily mitigated</w:t>
      </w:r>
      <w:r w:rsidRPr="00AB7D1E">
        <w:rPr>
          <w:rFonts w:cstheme="minorHAnsi"/>
          <w:lang w:val="en-US"/>
        </w:rPr>
        <w:t xml:space="preserve"> as they are related to the general construction activities on already existing location.</w:t>
      </w:r>
      <w:r w:rsidRPr="00AB7D1E">
        <w:rPr>
          <w:lang w:val="en-US"/>
        </w:rPr>
        <w:t xml:space="preserve"> </w:t>
      </w:r>
    </w:p>
    <w:p w14:paraId="019445BF" w14:textId="03F6A4DC" w:rsidR="0002353F" w:rsidRPr="00AB7D1E" w:rsidRDefault="00611B95" w:rsidP="0002353F">
      <w:pPr>
        <w:tabs>
          <w:tab w:val="left" w:pos="4599"/>
        </w:tabs>
        <w:rPr>
          <w:rFonts w:cstheme="minorHAnsi"/>
          <w:b/>
          <w:bCs/>
          <w:lang w:val="en-US"/>
        </w:rPr>
      </w:pPr>
      <w:r w:rsidRPr="00AB7D1E">
        <w:rPr>
          <w:lang w:val="en-US"/>
        </w:rPr>
        <w:t xml:space="preserve">Environmental risks and possible impacts </w:t>
      </w:r>
      <w:r w:rsidR="0002353F" w:rsidRPr="00AB7D1E">
        <w:rPr>
          <w:rFonts w:cstheme="minorHAnsi"/>
          <w:lang w:val="en-US"/>
        </w:rPr>
        <w:t>most commonly will include</w:t>
      </w:r>
      <w:r w:rsidR="0002353F" w:rsidRPr="00AB7D1E">
        <w:rPr>
          <w:rFonts w:cstheme="minorHAnsi"/>
          <w:b/>
          <w:bCs/>
          <w:lang w:val="en-US"/>
        </w:rPr>
        <w:t>: a) Air pollution b) Noise c) Surface or ground water pollution (including accidental spillage of machine oil, lubricants etc.) d) Soil pollution or erosion; e) Cultural and historical heritage</w:t>
      </w:r>
      <w:r w:rsidR="0089261A" w:rsidRPr="00AB7D1E">
        <w:rPr>
          <w:rFonts w:cstheme="minorHAnsi"/>
          <w:b/>
          <w:bCs/>
          <w:lang w:val="en-US"/>
        </w:rPr>
        <w:t xml:space="preserve"> </w:t>
      </w:r>
      <w:r w:rsidR="00D03072" w:rsidRPr="00D03072">
        <w:rPr>
          <w:rFonts w:cstheme="minorHAnsi"/>
          <w:b/>
          <w:bCs/>
          <w:lang w:val="en-US"/>
        </w:rPr>
        <w:t>(chance finds and impact on protected cultural and historical entity)</w:t>
      </w:r>
      <w:r w:rsidR="0002353F" w:rsidRPr="00AB7D1E">
        <w:rPr>
          <w:rFonts w:cstheme="minorHAnsi"/>
          <w:b/>
          <w:bCs/>
          <w:lang w:val="en-US"/>
        </w:rPr>
        <w:t>; f) Biodiversity; g) Traffic disturbance h) Waste generation and</w:t>
      </w:r>
      <w:r w:rsidRPr="00AB7D1E">
        <w:rPr>
          <w:rFonts w:cstheme="minorHAnsi"/>
          <w:b/>
          <w:bCs/>
          <w:lang w:val="en-US"/>
        </w:rPr>
        <w:t xml:space="preserve"> waste</w:t>
      </w:r>
      <w:r w:rsidR="0002353F" w:rsidRPr="00AB7D1E">
        <w:rPr>
          <w:rFonts w:cstheme="minorHAnsi"/>
          <w:b/>
          <w:bCs/>
          <w:lang w:val="en-US"/>
        </w:rPr>
        <w:t xml:space="preserve"> management.</w:t>
      </w:r>
      <w:r w:rsidR="0002353F" w:rsidRPr="00AB7D1E">
        <w:rPr>
          <w:lang w:val="en-US"/>
        </w:rPr>
        <w:t xml:space="preserve"> </w:t>
      </w:r>
    </w:p>
    <w:p w14:paraId="497035B3" w14:textId="0492253A" w:rsidR="0002353F" w:rsidRPr="00AB7D1E" w:rsidRDefault="0002353F" w:rsidP="0002353F">
      <w:pPr>
        <w:tabs>
          <w:tab w:val="left" w:pos="4599"/>
        </w:tabs>
        <w:rPr>
          <w:bCs/>
          <w:lang w:val="en-US"/>
        </w:rPr>
      </w:pPr>
      <w:r w:rsidRPr="00AB7D1E">
        <w:rPr>
          <w:bCs/>
          <w:lang w:val="en-US"/>
        </w:rPr>
        <w:lastRenderedPageBreak/>
        <w:t xml:space="preserve">The </w:t>
      </w:r>
      <w:r w:rsidR="00611B95" w:rsidRPr="00AB7D1E">
        <w:rPr>
          <w:bCs/>
          <w:lang w:val="en-US"/>
        </w:rPr>
        <w:t xml:space="preserve">construction </w:t>
      </w:r>
      <w:r w:rsidRPr="00AB7D1E">
        <w:rPr>
          <w:bCs/>
          <w:lang w:val="en-US"/>
        </w:rPr>
        <w:t xml:space="preserve">works planned within the </w:t>
      </w:r>
      <w:r w:rsidR="0089261A" w:rsidRPr="00AB7D1E">
        <w:rPr>
          <w:bCs/>
          <w:lang w:val="en-US"/>
        </w:rPr>
        <w:t>p</w:t>
      </w:r>
      <w:r w:rsidRPr="00AB7D1E">
        <w:rPr>
          <w:bCs/>
          <w:lang w:val="en-US"/>
        </w:rPr>
        <w:t xml:space="preserve">roject should be complemented by functional upgrades and climate-resilient designs, including improved insulation to cope with extreme temperature and energy efficiency to address also climate-related risks. This means that rehabilitated health laboratories </w:t>
      </w:r>
      <w:r w:rsidR="00611B95" w:rsidRPr="00AB7D1E">
        <w:rPr>
          <w:bCs/>
          <w:lang w:val="en-US"/>
        </w:rPr>
        <w:t>will</w:t>
      </w:r>
      <w:r w:rsidRPr="00AB7D1E">
        <w:rPr>
          <w:bCs/>
          <w:lang w:val="en-US"/>
        </w:rPr>
        <w:t xml:space="preserve"> be resilient to hydrometeorological and climate risks.</w:t>
      </w:r>
    </w:p>
    <w:p w14:paraId="16EB18F5" w14:textId="77777777" w:rsidR="00627AAA" w:rsidRDefault="0002353F" w:rsidP="00627AAA">
      <w:pPr>
        <w:tabs>
          <w:tab w:val="left" w:pos="4599"/>
        </w:tabs>
        <w:rPr>
          <w:lang w:val="en-US"/>
        </w:rPr>
      </w:pPr>
      <w:r w:rsidRPr="00AB7D1E">
        <w:rPr>
          <w:lang w:val="en-US"/>
        </w:rPr>
        <w:t xml:space="preserve">The increased energy efficiency is expected </w:t>
      </w:r>
      <w:r w:rsidR="00611B95" w:rsidRPr="00AB7D1E">
        <w:rPr>
          <w:lang w:val="en-US"/>
        </w:rPr>
        <w:t xml:space="preserve">to </w:t>
      </w:r>
      <w:r w:rsidRPr="00AB7D1E">
        <w:rPr>
          <w:lang w:val="en-US"/>
        </w:rPr>
        <w:t>support climate change adaptation and sustainability.</w:t>
      </w:r>
    </w:p>
    <w:p w14:paraId="4AAC2861" w14:textId="3E8AD8D0" w:rsidR="00627AAA" w:rsidRDefault="00627AAA" w:rsidP="00627AAA">
      <w:pPr>
        <w:tabs>
          <w:tab w:val="left" w:pos="4599"/>
        </w:tabs>
        <w:rPr>
          <w:lang w:val="en-US"/>
        </w:rPr>
      </w:pPr>
      <w:r w:rsidRPr="00AB7D1E">
        <w:rPr>
          <w:rFonts w:cstheme="minorHAnsi"/>
          <w:lang w:val="en-US"/>
        </w:rPr>
        <w:t xml:space="preserve">More detailed information on foreseen impacts of </w:t>
      </w:r>
      <w:r w:rsidRPr="00AB7D1E">
        <w:rPr>
          <w:rFonts w:cstheme="minorHAnsi"/>
          <w:bCs/>
          <w:lang w:val="en-US"/>
        </w:rPr>
        <w:t>repair / rehabilitation</w:t>
      </w:r>
      <w:r w:rsidRPr="00AB7D1E">
        <w:rPr>
          <w:rFonts w:cstheme="minorHAnsi"/>
          <w:lang w:val="en-US"/>
        </w:rPr>
        <w:t xml:space="preserve"> works are given below. Detailed overview of mitigation measures is given in the</w:t>
      </w:r>
      <w:r>
        <w:rPr>
          <w:rFonts w:cstheme="minorHAnsi"/>
          <w:lang w:val="en-US"/>
        </w:rPr>
        <w:t xml:space="preserve"> </w:t>
      </w:r>
      <w:r>
        <w:rPr>
          <w:rFonts w:cstheme="minorHAnsi"/>
          <w:lang w:val="en-US"/>
        </w:rPr>
        <w:fldChar w:fldCharType="begin"/>
      </w:r>
      <w:r>
        <w:rPr>
          <w:rFonts w:cstheme="minorHAnsi"/>
          <w:lang w:val="en-US"/>
        </w:rPr>
        <w:instrText xml:space="preserve"> REF _Ref56949676 \h </w:instrText>
      </w:r>
      <w:r>
        <w:rPr>
          <w:rFonts w:cstheme="minorHAnsi"/>
          <w:lang w:val="en-US"/>
        </w:rPr>
      </w:r>
      <w:r>
        <w:rPr>
          <w:rFonts w:cstheme="minorHAnsi"/>
          <w:lang w:val="en-US"/>
        </w:rPr>
        <w:fldChar w:fldCharType="separate"/>
      </w:r>
      <w:r>
        <w:t xml:space="preserve">ANNEX </w:t>
      </w:r>
      <w:r>
        <w:rPr>
          <w:noProof/>
        </w:rPr>
        <w:t>IX</w:t>
      </w:r>
      <w:r>
        <w:rPr>
          <w:rFonts w:cstheme="minorHAnsi"/>
          <w:lang w:val="en-US"/>
        </w:rPr>
        <w:fldChar w:fldCharType="end"/>
      </w:r>
      <w:r>
        <w:rPr>
          <w:rFonts w:cstheme="minorHAnsi"/>
          <w:lang w:val="en-US"/>
        </w:rPr>
        <w:t>.</w:t>
      </w:r>
    </w:p>
    <w:p w14:paraId="5A11C75C" w14:textId="54292CE5" w:rsidR="0002353F" w:rsidRPr="00AB7D1E" w:rsidRDefault="0002353F" w:rsidP="00627AAA">
      <w:pPr>
        <w:pStyle w:val="Heading4"/>
        <w:ind w:left="340" w:firstLine="0"/>
        <w:rPr>
          <w:rFonts w:eastAsia="Times New Roman"/>
          <w:lang w:val="en-US"/>
        </w:rPr>
      </w:pPr>
      <w:r w:rsidRPr="00AB7D1E">
        <w:rPr>
          <w:rFonts w:eastAsia="Times New Roman"/>
          <w:lang w:val="en-US"/>
        </w:rPr>
        <w:t xml:space="preserve">Air </w:t>
      </w:r>
      <w:r w:rsidRPr="00627AAA">
        <w:rPr>
          <w:lang w:val="en-US"/>
        </w:rPr>
        <w:t>pollution</w:t>
      </w:r>
    </w:p>
    <w:p w14:paraId="7719F514" w14:textId="78A5FEBC" w:rsidR="0002353F" w:rsidRPr="00AB7D1E" w:rsidRDefault="0002353F" w:rsidP="0002353F">
      <w:pPr>
        <w:widowControl w:val="0"/>
        <w:spacing w:after="0" w:line="235" w:lineRule="auto"/>
        <w:ind w:right="318"/>
        <w:rPr>
          <w:lang w:val="en-US"/>
        </w:rPr>
      </w:pPr>
      <w:r w:rsidRPr="00AB7D1E">
        <w:rPr>
          <w:rFonts w:eastAsia="Times New Roman"/>
          <w:lang w:val="en-US"/>
        </w:rPr>
        <w:t xml:space="preserve">During the </w:t>
      </w:r>
      <w:r w:rsidRPr="00AB7D1E">
        <w:rPr>
          <w:rFonts w:eastAsia="Times New Roman"/>
          <w:bCs/>
          <w:lang w:val="en-US"/>
        </w:rPr>
        <w:t xml:space="preserve">repair / rehabilitation </w:t>
      </w:r>
      <w:r w:rsidRPr="00AB7D1E">
        <w:rPr>
          <w:rFonts w:eastAsia="Times New Roman"/>
          <w:lang w:val="en-US"/>
        </w:rPr>
        <w:t>works emissions of exhaust gases into the air (CO</w:t>
      </w:r>
      <w:r w:rsidRPr="00AB7D1E">
        <w:rPr>
          <w:rFonts w:eastAsia="Times New Roman"/>
          <w:vertAlign w:val="subscript"/>
          <w:lang w:val="en-US"/>
        </w:rPr>
        <w:t>2</w:t>
      </w:r>
      <w:r w:rsidRPr="00AB7D1E">
        <w:rPr>
          <w:rFonts w:eastAsia="Times New Roman"/>
          <w:lang w:val="en-US"/>
        </w:rPr>
        <w:t>, NO</w:t>
      </w:r>
      <w:r w:rsidRPr="00AB7D1E">
        <w:rPr>
          <w:rFonts w:eastAsia="Times New Roman"/>
          <w:vertAlign w:val="subscript"/>
          <w:lang w:val="en-US"/>
        </w:rPr>
        <w:t>x</w:t>
      </w:r>
      <w:r w:rsidRPr="00AB7D1E">
        <w:rPr>
          <w:rFonts w:eastAsia="Times New Roman"/>
          <w:lang w:val="en-US"/>
        </w:rPr>
        <w:t>, SO</w:t>
      </w:r>
      <w:r w:rsidRPr="00AB7D1E">
        <w:rPr>
          <w:rFonts w:eastAsia="Times New Roman"/>
          <w:vertAlign w:val="subscript"/>
          <w:lang w:val="en-US"/>
        </w:rPr>
        <w:t>2</w:t>
      </w:r>
      <w:r w:rsidRPr="00AB7D1E">
        <w:rPr>
          <w:rFonts w:eastAsia="Times New Roman"/>
          <w:lang w:val="en-US"/>
        </w:rPr>
        <w:t xml:space="preserve"> and CO) from combustion of machinery and vehicles fuels will occur. In addition to this, due to the movement of the vehicle</w:t>
      </w:r>
      <w:r w:rsidR="007653F4" w:rsidRPr="00AB7D1E">
        <w:rPr>
          <w:rFonts w:eastAsia="Times New Roman"/>
          <w:lang w:val="en-US"/>
        </w:rPr>
        <w:t>s</w:t>
      </w:r>
      <w:r w:rsidRPr="00AB7D1E">
        <w:rPr>
          <w:rFonts w:eastAsia="Times New Roman"/>
          <w:lang w:val="en-US"/>
        </w:rPr>
        <w:t xml:space="preserve"> and the work of the construction machinery PM</w:t>
      </w:r>
      <w:r w:rsidRPr="00AB7D1E">
        <w:rPr>
          <w:rFonts w:eastAsia="Times New Roman"/>
          <w:vertAlign w:val="subscript"/>
          <w:lang w:val="en-US"/>
        </w:rPr>
        <w:t>10</w:t>
      </w:r>
      <w:r w:rsidRPr="00AB7D1E">
        <w:rPr>
          <w:rFonts w:eastAsia="Times New Roman"/>
          <w:lang w:val="en-US"/>
        </w:rPr>
        <w:t xml:space="preserve"> particles also increase and deposit on the surrounding surfaces. The intensity of this pollution depends primarily on weather conditions and on the strength of the wind that spreads PM</w:t>
      </w:r>
      <w:r w:rsidRPr="00AB7D1E">
        <w:rPr>
          <w:rFonts w:eastAsia="Times New Roman"/>
          <w:vertAlign w:val="subscript"/>
          <w:lang w:val="en-US"/>
        </w:rPr>
        <w:t xml:space="preserve">10 </w:t>
      </w:r>
      <w:r w:rsidRPr="00AB7D1E">
        <w:rPr>
          <w:rFonts w:eastAsia="Times New Roman"/>
          <w:lang w:val="en-US"/>
        </w:rPr>
        <w:t xml:space="preserve">particles into the surrounding surfaces. </w:t>
      </w:r>
    </w:p>
    <w:p w14:paraId="39DBE63E" w14:textId="77777777" w:rsidR="0002353F" w:rsidRPr="00AB7D1E" w:rsidRDefault="0002353F" w:rsidP="0002353F">
      <w:pPr>
        <w:widowControl w:val="0"/>
        <w:spacing w:after="0" w:line="235" w:lineRule="auto"/>
        <w:ind w:right="318"/>
        <w:rPr>
          <w:rFonts w:eastAsia="Times New Roman"/>
          <w:lang w:val="en-US"/>
        </w:rPr>
      </w:pPr>
      <w:r w:rsidRPr="00AB7D1E">
        <w:rPr>
          <w:rFonts w:eastAsia="Times New Roman"/>
          <w:lang w:val="en-US"/>
        </w:rPr>
        <w:t xml:space="preserve">Such emissions are fugitive nature and are limited to the narrower area and only to the working part of the day. The densely populated areas are particularly vulnerable to these impacts. </w:t>
      </w:r>
    </w:p>
    <w:p w14:paraId="441CBA9B" w14:textId="37370F2C" w:rsidR="0002353F" w:rsidRDefault="0002353F" w:rsidP="0002353F">
      <w:pPr>
        <w:widowControl w:val="0"/>
        <w:spacing w:after="0" w:line="235" w:lineRule="auto"/>
        <w:ind w:right="318"/>
        <w:rPr>
          <w:rFonts w:eastAsia="Times New Roman"/>
          <w:lang w:val="en-US"/>
        </w:rPr>
      </w:pPr>
      <w:r w:rsidRPr="00AB7D1E">
        <w:rPr>
          <w:rFonts w:eastAsia="Times New Roman"/>
          <w:bCs/>
          <w:lang w:val="en-US"/>
        </w:rPr>
        <w:t>Repair / rehabilitation</w:t>
      </w:r>
      <w:r w:rsidRPr="00AB7D1E">
        <w:rPr>
          <w:rFonts w:eastAsia="Times New Roman"/>
          <w:lang w:val="en-US"/>
        </w:rPr>
        <w:t xml:space="preserve"> works will take place during limited short-term period, so the impact on air quality will be short-term and negligible scale. </w:t>
      </w:r>
    </w:p>
    <w:p w14:paraId="1D2F9D3C" w14:textId="77777777" w:rsidR="0002353F" w:rsidRPr="00AB7D1E" w:rsidRDefault="0002353F" w:rsidP="0002353F">
      <w:pPr>
        <w:pStyle w:val="Heading4"/>
        <w:rPr>
          <w:rFonts w:eastAsia="Times New Roman"/>
          <w:lang w:val="en-US"/>
        </w:rPr>
      </w:pPr>
      <w:r w:rsidRPr="00AB7D1E">
        <w:rPr>
          <w:lang w:val="en-US"/>
        </w:rPr>
        <w:t>Noise</w:t>
      </w:r>
    </w:p>
    <w:p w14:paraId="46AFC0DE" w14:textId="45356E36" w:rsidR="0002353F" w:rsidRPr="00AB7D1E" w:rsidRDefault="0002353F" w:rsidP="0002353F">
      <w:pPr>
        <w:widowControl w:val="0"/>
        <w:spacing w:after="0" w:line="240" w:lineRule="auto"/>
        <w:ind w:right="318"/>
        <w:rPr>
          <w:rFonts w:eastAsia="Times New Roman"/>
          <w:lang w:val="en-US"/>
        </w:rPr>
      </w:pPr>
      <w:r w:rsidRPr="00AB7D1E">
        <w:rPr>
          <w:rFonts w:eastAsia="Times New Roman"/>
          <w:lang w:val="en-US"/>
        </w:rPr>
        <w:t xml:space="preserve">Noise is an unavoidable environment impact during </w:t>
      </w:r>
      <w:r w:rsidR="007A5AD7" w:rsidRPr="00AB7D1E">
        <w:rPr>
          <w:rFonts w:eastAsia="Times New Roman"/>
          <w:bCs/>
          <w:lang w:val="en-US"/>
        </w:rPr>
        <w:t>construction</w:t>
      </w:r>
      <w:r w:rsidRPr="00AB7D1E">
        <w:rPr>
          <w:rFonts w:eastAsia="Times New Roman"/>
          <w:lang w:val="en-US"/>
        </w:rPr>
        <w:t xml:space="preserve"> works. It occurs during the operation of machine and equipment at the site (mainly in the processes like transport, loading/unloading machinery</w:t>
      </w:r>
      <w:r w:rsidR="00A012AF" w:rsidRPr="00AB7D1E">
        <w:rPr>
          <w:rFonts w:eastAsia="Times New Roman"/>
          <w:lang w:val="en-US"/>
        </w:rPr>
        <w:t>,</w:t>
      </w:r>
      <w:r w:rsidRPr="00AB7D1E">
        <w:rPr>
          <w:rFonts w:eastAsia="Times New Roman"/>
          <w:lang w:val="en-US"/>
        </w:rPr>
        <w:t xml:space="preserve"> etc.). This impact is short-term, limited to the location of the site and the narrower area around the site, and ceases after completion of foreseen works.</w:t>
      </w:r>
    </w:p>
    <w:p w14:paraId="5F86D5B8" w14:textId="691F1FDF" w:rsidR="0002353F" w:rsidRPr="00AB7D1E" w:rsidRDefault="0002353F" w:rsidP="0002353F">
      <w:pPr>
        <w:widowControl w:val="0"/>
        <w:spacing w:after="0" w:line="240" w:lineRule="auto"/>
        <w:ind w:right="318"/>
        <w:rPr>
          <w:rFonts w:eastAsia="Times New Roman"/>
          <w:lang w:val="en-US"/>
        </w:rPr>
      </w:pPr>
      <w:r w:rsidRPr="00AB7D1E">
        <w:rPr>
          <w:rFonts w:eastAsia="Times New Roman"/>
          <w:lang w:val="en-US"/>
        </w:rPr>
        <w:t xml:space="preserve">Permissible noise level for the construction site is determined by the provisions of the Ordinance on the maximum allowed noise levels in the environment in which people work and live (OG 145/04) and amounts 65dB. According to the mentioned </w:t>
      </w:r>
      <w:r w:rsidR="007A5AD7" w:rsidRPr="00AB7D1E">
        <w:rPr>
          <w:rFonts w:eastAsia="Times New Roman"/>
          <w:lang w:val="en-US"/>
        </w:rPr>
        <w:t>O</w:t>
      </w:r>
      <w:r w:rsidRPr="00AB7D1E">
        <w:rPr>
          <w:rFonts w:eastAsia="Times New Roman"/>
          <w:lang w:val="en-US"/>
        </w:rPr>
        <w:t xml:space="preserve">rdinance, it </w:t>
      </w:r>
      <w:proofErr w:type="gramStart"/>
      <w:r w:rsidRPr="00AB7D1E">
        <w:rPr>
          <w:rFonts w:eastAsia="Times New Roman"/>
          <w:lang w:val="en-US"/>
        </w:rPr>
        <w:t>is allowed to</w:t>
      </w:r>
      <w:proofErr w:type="gramEnd"/>
      <w:r w:rsidRPr="00AB7D1E">
        <w:rPr>
          <w:rFonts w:eastAsia="Times New Roman"/>
          <w:lang w:val="en-US"/>
        </w:rPr>
        <w:t xml:space="preserve"> exceed that level for additional 5 dB in the period from 8 to 18 hours. It is exceptionally permitted to exceed the permissible noise level by 10 dB, in the case that it is required by technological process but up to a maximum of one night or two days over a period of thirty days.</w:t>
      </w:r>
    </w:p>
    <w:p w14:paraId="52C1E236" w14:textId="77777777" w:rsidR="0002353F" w:rsidRPr="00AB7D1E" w:rsidRDefault="0002353F" w:rsidP="0002353F">
      <w:pPr>
        <w:widowControl w:val="0"/>
        <w:spacing w:after="0" w:line="240" w:lineRule="auto"/>
        <w:ind w:right="318"/>
        <w:rPr>
          <w:rFonts w:eastAsia="Times New Roman"/>
          <w:lang w:val="en-US"/>
        </w:rPr>
      </w:pPr>
      <w:bookmarkStart w:id="163" w:name="_Hlk47969775"/>
      <w:r w:rsidRPr="00AB7D1E">
        <w:rPr>
          <w:rFonts w:eastAsia="Times New Roman"/>
          <w:lang w:val="en-US"/>
        </w:rPr>
        <w:t>It is desirable to carry out works in the period from 8 to 18 hours and not to carry works during the nights. Community / public should be informed in advance of any work activities to occur outside of normal working hours or on weekends.</w:t>
      </w:r>
    </w:p>
    <w:p w14:paraId="731020CF" w14:textId="77777777" w:rsidR="0002353F" w:rsidRPr="00AB7D1E" w:rsidRDefault="0002353F" w:rsidP="0002353F">
      <w:pPr>
        <w:widowControl w:val="0"/>
        <w:spacing w:after="0" w:line="240" w:lineRule="auto"/>
        <w:ind w:right="318"/>
        <w:rPr>
          <w:rFonts w:eastAsia="Times New Roman"/>
          <w:lang w:val="en-US"/>
        </w:rPr>
      </w:pPr>
      <w:r w:rsidRPr="00AB7D1E">
        <w:rPr>
          <w:rFonts w:eastAsia="Times New Roman"/>
          <w:lang w:val="en-US"/>
        </w:rPr>
        <w:t>In compliance with the prescribed limits, the impact of the project on the noise level is acceptable and not considered to be significantly negative.</w:t>
      </w:r>
    </w:p>
    <w:bookmarkEnd w:id="163"/>
    <w:p w14:paraId="4CC79451" w14:textId="77777777" w:rsidR="0002353F" w:rsidRPr="00AB7D1E" w:rsidRDefault="0002353F" w:rsidP="0002353F">
      <w:pPr>
        <w:pStyle w:val="Heading4"/>
        <w:rPr>
          <w:lang w:val="en-US"/>
        </w:rPr>
      </w:pPr>
      <w:r w:rsidRPr="00AB7D1E">
        <w:rPr>
          <w:rFonts w:eastAsia="Times New Roman"/>
          <w:lang w:val="en-US"/>
        </w:rPr>
        <w:t>Surface or ground water pollution</w:t>
      </w:r>
    </w:p>
    <w:p w14:paraId="1F91CFA7"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During the </w:t>
      </w:r>
      <w:r w:rsidRPr="00AB7D1E">
        <w:rPr>
          <w:rFonts w:eastAsia="Times New Roman"/>
          <w:bCs/>
          <w:lang w:val="en-US"/>
        </w:rPr>
        <w:t>repair / rehabilitation</w:t>
      </w:r>
      <w:r w:rsidRPr="00AB7D1E">
        <w:rPr>
          <w:rFonts w:eastAsia="Times New Roman"/>
          <w:lang w:val="en-US"/>
        </w:rPr>
        <w:t xml:space="preserve"> works there is a possibility of impacting surface water and ground water due to uncontrolled spillage of fuels, oils, equipment lubricants, paints, varnishes and improper waste management during irregularly storage of fuels or some accidental situations. </w:t>
      </w:r>
    </w:p>
    <w:p w14:paraId="37D8068C" w14:textId="30CE2874"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Considering the distance of the surface water from the boundary of the site, during the </w:t>
      </w:r>
      <w:bookmarkStart w:id="164" w:name="_Hlk48400267"/>
      <w:r w:rsidRPr="00AB7D1E">
        <w:rPr>
          <w:rFonts w:eastAsia="Times New Roman"/>
          <w:bCs/>
          <w:lang w:val="en-US"/>
        </w:rPr>
        <w:t xml:space="preserve">repair / rehabilitation </w:t>
      </w:r>
      <w:bookmarkEnd w:id="164"/>
      <w:r w:rsidRPr="00AB7D1E">
        <w:rPr>
          <w:rFonts w:eastAsia="Times New Roman"/>
          <w:lang w:val="en-US"/>
        </w:rPr>
        <w:t xml:space="preserve">works, the surface water body may be affected if the work is carried out in such a way that material is </w:t>
      </w:r>
      <w:r w:rsidR="000F6A22">
        <w:rPr>
          <w:rFonts w:eastAsia="Times New Roman"/>
          <w:lang w:val="en-US"/>
        </w:rPr>
        <w:t xml:space="preserve">unlawfully </w:t>
      </w:r>
      <w:r w:rsidRPr="00AB7D1E">
        <w:rPr>
          <w:rFonts w:eastAsia="Times New Roman"/>
          <w:lang w:val="en-US"/>
        </w:rPr>
        <w:t>d</w:t>
      </w:r>
      <w:r w:rsidR="009F49A3">
        <w:rPr>
          <w:rFonts w:eastAsia="Times New Roman"/>
          <w:lang w:val="en-US"/>
        </w:rPr>
        <w:t>isposed</w:t>
      </w:r>
      <w:r w:rsidRPr="00AB7D1E">
        <w:rPr>
          <w:rFonts w:eastAsia="Times New Roman"/>
          <w:lang w:val="en-US"/>
        </w:rPr>
        <w:t>.</w:t>
      </w:r>
    </w:p>
    <w:p w14:paraId="757FEA45"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There will be no unregulated extraction of groundwater, nor uncontrolled discharge of process waters, cement slurries, or any other contaminated waters into the ground or adjacent streams or rivers. </w:t>
      </w:r>
    </w:p>
    <w:p w14:paraId="474B48DC" w14:textId="77777777" w:rsidR="0002353F" w:rsidRPr="00AB7D1E" w:rsidRDefault="0002353F" w:rsidP="0002353F">
      <w:pPr>
        <w:pStyle w:val="Heading4"/>
        <w:rPr>
          <w:rFonts w:eastAsia="Times New Roman"/>
          <w:lang w:val="en-US"/>
        </w:rPr>
      </w:pPr>
      <w:r w:rsidRPr="00AB7D1E">
        <w:rPr>
          <w:rFonts w:eastAsia="Times New Roman"/>
          <w:lang w:val="en-US"/>
        </w:rPr>
        <w:lastRenderedPageBreak/>
        <w:t>Soil pollution or erosion</w:t>
      </w:r>
    </w:p>
    <w:p w14:paraId="2E36FA10" w14:textId="32859011"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Possible negative impacts on the soil can be caused by fuels, lubricants and liquid materials used in construction, which can infiltrate into ground and underground as a result of elemental disasters, accidents or mismanagement of the equipment, transport vehicles and parts of the devices and system during performing the service when there is a risk of leakage of dangerous substances in the surroundings. </w:t>
      </w:r>
      <w:r w:rsidR="00515DA4" w:rsidRPr="00AB7D1E">
        <w:rPr>
          <w:rFonts w:eastAsia="Times New Roman"/>
          <w:lang w:val="en-US"/>
        </w:rPr>
        <w:t xml:space="preserve">Runoff from an </w:t>
      </w:r>
      <w:proofErr w:type="spellStart"/>
      <w:r w:rsidR="00515DA4" w:rsidRPr="00AB7D1E">
        <w:rPr>
          <w:rFonts w:eastAsia="Times New Roman"/>
          <w:lang w:val="en-US"/>
        </w:rPr>
        <w:t>unstabilized</w:t>
      </w:r>
      <w:proofErr w:type="spellEnd"/>
      <w:r w:rsidR="00515DA4" w:rsidRPr="00AB7D1E">
        <w:rPr>
          <w:rFonts w:eastAsia="Times New Roman"/>
          <w:lang w:val="en-US"/>
        </w:rPr>
        <w:t xml:space="preserve"> and unmanaged construction site can result in soil erosion which pose an environmental risk.</w:t>
      </w:r>
    </w:p>
    <w:p w14:paraId="0E23FEFF" w14:textId="77777777" w:rsidR="0002353F" w:rsidRPr="00AB7D1E" w:rsidRDefault="0002353F" w:rsidP="0002353F">
      <w:pPr>
        <w:pStyle w:val="Heading4"/>
        <w:rPr>
          <w:rFonts w:eastAsia="Times New Roman"/>
          <w:lang w:val="en-US"/>
        </w:rPr>
      </w:pPr>
      <w:r w:rsidRPr="00AB7D1E">
        <w:rPr>
          <w:rFonts w:eastAsia="Times New Roman"/>
          <w:lang w:val="en-US"/>
        </w:rPr>
        <w:t xml:space="preserve">Cultural and historical heritage </w:t>
      </w:r>
    </w:p>
    <w:p w14:paraId="0612D5A4" w14:textId="77777777" w:rsidR="00D03072" w:rsidRDefault="00D03072" w:rsidP="00D03072">
      <w:pPr>
        <w:rPr>
          <w:rFonts w:cstheme="minorHAnsi"/>
          <w:lang w:val="en-US"/>
        </w:rPr>
      </w:pPr>
      <w:r w:rsidRPr="00AB7D1E">
        <w:rPr>
          <w:rFonts w:cstheme="minorHAnsi"/>
          <w:lang w:val="en-US"/>
        </w:rPr>
        <w:t>The buildings designated and protected as cultural heritage will not be eligible for financing.</w:t>
      </w:r>
    </w:p>
    <w:p w14:paraId="1B9AA6A2" w14:textId="77777777" w:rsidR="00D03072" w:rsidRPr="00BF19D8" w:rsidRDefault="00D03072" w:rsidP="00D03072">
      <w:pPr>
        <w:rPr>
          <w:rFonts w:ascii="Calibri" w:hAnsi="Calibri" w:cs="Calibri"/>
          <w:lang w:val="en-GB"/>
        </w:rPr>
      </w:pPr>
      <w:r w:rsidRPr="00BF19D8">
        <w:rPr>
          <w:rFonts w:ascii="Calibri" w:hAnsi="Calibri" w:cs="Calibri"/>
          <w:lang w:val="en-GB"/>
        </w:rPr>
        <w:t>For sub-project located in the protected cultural and historical area there is a risk that conduction of civil works could transform landscapes and maintenance of cultural and regional identity. If reconstruction/construction works are not properly conducted (in line with legal requirements) violation of harmony with local building culture and settlement layouts could appear and isolation of a heritage attribute from its surrounding environment, context, or a significant relationship.</w:t>
      </w:r>
    </w:p>
    <w:p w14:paraId="16F75538" w14:textId="77777777" w:rsidR="00D03072" w:rsidRPr="00BF19D8" w:rsidRDefault="00D03072" w:rsidP="00D03072">
      <w:pPr>
        <w:rPr>
          <w:rFonts w:ascii="Calibri" w:hAnsi="Calibri" w:cs="Calibri"/>
          <w:lang w:val="en-GB"/>
        </w:rPr>
      </w:pPr>
      <w:r w:rsidRPr="00BF19D8">
        <w:rPr>
          <w:rFonts w:ascii="Calibri" w:hAnsi="Calibri" w:cs="Calibri"/>
          <w:lang w:val="en-GB"/>
        </w:rPr>
        <w:t xml:space="preserve">If the location of the planned sub- project overlaps or is located close to the elements of cultural heritage, processes like excavation, mechanization and vibration may cause physical damage of architectural heritage or destruction of the archaeological find e.g. (direct or indirect obstruction of significant views or vistas from, within, or to a built). </w:t>
      </w:r>
    </w:p>
    <w:p w14:paraId="660E16B6" w14:textId="66E0DABE" w:rsidR="00D03072" w:rsidRPr="00D03072" w:rsidRDefault="00D03072" w:rsidP="0002353F">
      <w:pPr>
        <w:rPr>
          <w:rFonts w:ascii="Calibri" w:hAnsi="Calibri" w:cs="Calibri"/>
          <w:lang w:val="en-GB"/>
        </w:rPr>
      </w:pPr>
      <w:r w:rsidRPr="00BF19D8">
        <w:rPr>
          <w:rFonts w:ascii="Calibri" w:hAnsi="Calibri" w:cs="Calibri"/>
          <w:lang w:val="en-GB"/>
        </w:rPr>
        <w:t xml:space="preserve">If previously unknown cultural heritage is encountered during project activities, a chance finds procedure should be followed. It </w:t>
      </w:r>
      <w:proofErr w:type="gramStart"/>
      <w:r w:rsidRPr="00BF19D8">
        <w:rPr>
          <w:rFonts w:ascii="Calibri" w:hAnsi="Calibri" w:cs="Calibri"/>
          <w:lang w:val="en-GB"/>
        </w:rPr>
        <w:t>has to</w:t>
      </w:r>
      <w:proofErr w:type="gramEnd"/>
      <w:r w:rsidRPr="00BF19D8">
        <w:rPr>
          <w:rFonts w:ascii="Calibri" w:hAnsi="Calibri" w:cs="Calibri"/>
          <w:lang w:val="en-GB"/>
        </w:rPr>
        <w:t xml:space="preserve"> be included in all contracts relating to construction of the project, including excavations, demolition, movement of earth, etc. The chance finds procedure sets out how chance finds associated with the project </w:t>
      </w:r>
      <w:proofErr w:type="gramStart"/>
      <w:r w:rsidRPr="00BF19D8">
        <w:rPr>
          <w:rFonts w:ascii="Calibri" w:hAnsi="Calibri" w:cs="Calibri"/>
          <w:lang w:val="en-GB"/>
        </w:rPr>
        <w:t>has to</w:t>
      </w:r>
      <w:proofErr w:type="gramEnd"/>
      <w:r w:rsidRPr="00BF19D8">
        <w:rPr>
          <w:rFonts w:ascii="Calibri" w:hAnsi="Calibri" w:cs="Calibri"/>
          <w:lang w:val="en-GB"/>
        </w:rPr>
        <w:t xml:space="preserve"> be managed. </w:t>
      </w:r>
    </w:p>
    <w:p w14:paraId="6CC1DD0E" w14:textId="77777777" w:rsidR="0002353F" w:rsidRPr="00AB7D1E" w:rsidRDefault="0002353F" w:rsidP="0002353F">
      <w:pPr>
        <w:pStyle w:val="Heading4"/>
        <w:rPr>
          <w:rFonts w:eastAsia="Times New Roman"/>
          <w:lang w:val="en-US"/>
        </w:rPr>
      </w:pPr>
      <w:r w:rsidRPr="00AB7D1E">
        <w:rPr>
          <w:rFonts w:eastAsia="Times New Roman"/>
          <w:lang w:val="en-US"/>
        </w:rPr>
        <w:t>Biodiversity</w:t>
      </w:r>
    </w:p>
    <w:p w14:paraId="644A4AE9" w14:textId="7047EB2A" w:rsidR="0002353F" w:rsidRPr="00AB7D1E" w:rsidRDefault="0002353F" w:rsidP="0002353F">
      <w:pPr>
        <w:rPr>
          <w:lang w:val="en-US"/>
        </w:rPr>
      </w:pPr>
      <w:r w:rsidRPr="009C4B1E">
        <w:rPr>
          <w:bCs/>
          <w:lang w:val="en-US"/>
        </w:rPr>
        <w:t>Repair / rehabilitation</w:t>
      </w:r>
      <w:r w:rsidRPr="009C4B1E">
        <w:rPr>
          <w:lang w:val="en-US"/>
        </w:rPr>
        <w:t xml:space="preserve"> works can affect biodiversity or habitats</w:t>
      </w:r>
      <w:r w:rsidR="0029553C" w:rsidRPr="009C4B1E">
        <w:rPr>
          <w:lang w:val="en-US"/>
        </w:rPr>
        <w:t xml:space="preserve">, this is however, </w:t>
      </w:r>
      <w:r w:rsidR="00621F1D" w:rsidRPr="009C4B1E">
        <w:rPr>
          <w:lang w:val="en-US"/>
        </w:rPr>
        <w:t>is</w:t>
      </w:r>
      <w:r w:rsidR="0029553C" w:rsidRPr="009C4B1E">
        <w:rPr>
          <w:lang w:val="en-US"/>
        </w:rPr>
        <w:t xml:space="preserve"> unlikely under the Component 2 </w:t>
      </w:r>
      <w:r w:rsidR="00B363ED" w:rsidRPr="009C4B1E">
        <w:rPr>
          <w:lang w:val="en-US"/>
        </w:rPr>
        <w:t xml:space="preserve">as </w:t>
      </w:r>
      <w:r w:rsidR="00621F1D" w:rsidRPr="009C4B1E">
        <w:rPr>
          <w:lang w:val="en-US"/>
        </w:rPr>
        <w:t>project</w:t>
      </w:r>
      <w:r w:rsidR="00B363ED" w:rsidRPr="009C4B1E">
        <w:rPr>
          <w:lang w:val="en-US"/>
        </w:rPr>
        <w:t xml:space="preserve"> of activities </w:t>
      </w:r>
      <w:r w:rsidR="00621F1D" w:rsidRPr="009C4B1E">
        <w:rPr>
          <w:lang w:val="en-US"/>
        </w:rPr>
        <w:t>are</w:t>
      </w:r>
      <w:r w:rsidR="00B363ED" w:rsidRPr="009C4B1E">
        <w:rPr>
          <w:lang w:val="en-US"/>
        </w:rPr>
        <w:t xml:space="preserve"> taking place in the existing physical footprint</w:t>
      </w:r>
      <w:r w:rsidRPr="009C4B1E">
        <w:rPr>
          <w:lang w:val="en-US"/>
        </w:rPr>
        <w:t>. There i</w:t>
      </w:r>
      <w:r w:rsidRPr="00AB7D1E">
        <w:rPr>
          <w:lang w:val="en-US"/>
        </w:rPr>
        <w:t xml:space="preserve">s a wide range of impacts that can affect biodiversity and habitats, including, for example, habitat conversion; interruption of important ecological processes such as species migrations, dispersal, or pollination; degradation of habitat quality (from air/water pollution or temperature change, light or noise pollution, habitat fragmentation); introduction of invasive alien species; and vulnerability to fire or other stresses. </w:t>
      </w:r>
    </w:p>
    <w:p w14:paraId="1128AAFC" w14:textId="3CE940D1" w:rsidR="0002353F" w:rsidRPr="00AB7D1E" w:rsidRDefault="0002353F" w:rsidP="0002353F">
      <w:pPr>
        <w:rPr>
          <w:lang w:val="en-US"/>
        </w:rPr>
      </w:pPr>
      <w:r w:rsidRPr="00AB7D1E">
        <w:rPr>
          <w:lang w:val="en-US"/>
        </w:rPr>
        <w:t>Since all works will be carried out within the limited intervention scope, within the existing footprint of buildings in urbanized areas, in a space already in use for the same purposes and thus significant, long term negative impact on biodiversity are not expected. The effects will be temporary, predictable, and typical for smaller civil works and, as such, easily mitigated.</w:t>
      </w:r>
      <w:r w:rsidR="00DB31AE">
        <w:rPr>
          <w:lang w:val="en-US"/>
        </w:rPr>
        <w:t xml:space="preserve"> </w:t>
      </w:r>
    </w:p>
    <w:p w14:paraId="4CADA1AC" w14:textId="77777777" w:rsidR="0002353F" w:rsidRPr="00AB7D1E" w:rsidRDefault="0002353F" w:rsidP="0002353F">
      <w:pPr>
        <w:pStyle w:val="Heading4"/>
        <w:rPr>
          <w:rFonts w:eastAsia="Times New Roman"/>
          <w:lang w:val="en-US"/>
        </w:rPr>
      </w:pPr>
      <w:r w:rsidRPr="00AB7D1E">
        <w:rPr>
          <w:rFonts w:eastAsia="Times New Roman"/>
          <w:lang w:val="en-US"/>
        </w:rPr>
        <w:t>Traffic disturbance</w:t>
      </w:r>
    </w:p>
    <w:p w14:paraId="3C202830" w14:textId="3AC22660"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During the execution of the work, due to the increased frequency of transport of materials and techniques, temporary interruption in traffic may occur.</w:t>
      </w:r>
    </w:p>
    <w:p w14:paraId="38B29813" w14:textId="407A977E"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This is a short-term impact which will last only during the execution of the work. Certain quantities of land and other building materials on the roads are possible </w:t>
      </w:r>
      <w:r w:rsidR="00CB453D" w:rsidRPr="00AB7D1E">
        <w:rPr>
          <w:rFonts w:eastAsia="Times New Roman"/>
          <w:lang w:val="en-US"/>
        </w:rPr>
        <w:t>and</w:t>
      </w:r>
      <w:r w:rsidRPr="00AB7D1E">
        <w:rPr>
          <w:rFonts w:eastAsia="Times New Roman"/>
          <w:lang w:val="en-US"/>
        </w:rPr>
        <w:t xml:space="preserve"> may </w:t>
      </w:r>
      <w:proofErr w:type="gramStart"/>
      <w:r w:rsidRPr="00AB7D1E">
        <w:rPr>
          <w:rFonts w:eastAsia="Times New Roman"/>
          <w:lang w:val="en-US"/>
        </w:rPr>
        <w:t>cause:</w:t>
      </w:r>
      <w:proofErr w:type="gramEnd"/>
      <w:r w:rsidRPr="00AB7D1E">
        <w:rPr>
          <w:rFonts w:eastAsia="Times New Roman"/>
          <w:lang w:val="en-US"/>
        </w:rPr>
        <w:t xml:space="preserve"> difficulties in traffic flow, accidental damage of roads and stops due to overturning of trucks, spilling of materials etc. </w:t>
      </w:r>
    </w:p>
    <w:p w14:paraId="3680D430" w14:textId="77777777" w:rsidR="0002353F" w:rsidRPr="00AB7D1E" w:rsidRDefault="0002353F" w:rsidP="0002353F">
      <w:pPr>
        <w:pStyle w:val="Heading4"/>
        <w:rPr>
          <w:rFonts w:eastAsia="Times New Roman"/>
          <w:lang w:val="en-US"/>
        </w:rPr>
      </w:pPr>
      <w:bookmarkStart w:id="165" w:name="_Ref48856906"/>
      <w:r w:rsidRPr="00AB7D1E">
        <w:rPr>
          <w:rFonts w:eastAsia="Times New Roman"/>
          <w:lang w:val="en-US"/>
        </w:rPr>
        <w:t>Waste generation and management</w:t>
      </w:r>
      <w:bookmarkEnd w:id="165"/>
    </w:p>
    <w:p w14:paraId="075913A0"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On the location of repair / rehabilitation works waste generation will occur. </w:t>
      </w:r>
    </w:p>
    <w:p w14:paraId="1FF5F448" w14:textId="5A97CE1F"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lastRenderedPageBreak/>
        <w:t>Waste classification in Croatia is stipulated by Ordinance on waste catalogue (OG 90/15). Mainly waste types from the following waste groups are expected to occur:</w:t>
      </w:r>
    </w:p>
    <w:p w14:paraId="39A92BD3"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08 - wastes from the manufacture, formulation, supply and use of coatings (paints, varnishes and vitreous enamels), adhesives, sealants and printing inks</w:t>
      </w:r>
    </w:p>
    <w:p w14:paraId="2A0303F0"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17 - construction and demolition wastes (including excavated soil from contaminated sites)</w:t>
      </w:r>
    </w:p>
    <w:p w14:paraId="50BAD033"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13 - -</w:t>
      </w:r>
      <w:r w:rsidRPr="00AB7D1E">
        <w:rPr>
          <w:lang w:val="en-US"/>
        </w:rPr>
        <w:t xml:space="preserve"> </w:t>
      </w:r>
      <w:r w:rsidRPr="00AB7D1E">
        <w:rPr>
          <w:rFonts w:eastAsia="Times New Roman"/>
          <w:lang w:val="en-US"/>
        </w:rPr>
        <w:t>oil wastes and wastes of liquid fuels (except edible oils, and those in chapters 05, 12 and 19 of waste catalogue)</w:t>
      </w:r>
    </w:p>
    <w:p w14:paraId="29D20F58"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group 15 - waste packaging; absorbents, wiping cloths, filter materials and protective clothing not otherwise specified</w:t>
      </w:r>
    </w:p>
    <w:p w14:paraId="7AA35C23" w14:textId="77777777" w:rsidR="0002353F" w:rsidRPr="00AB7D1E" w:rsidRDefault="0002353F" w:rsidP="00BE60A0">
      <w:pPr>
        <w:widowControl w:val="0"/>
        <w:numPr>
          <w:ilvl w:val="0"/>
          <w:numId w:val="15"/>
        </w:numPr>
        <w:spacing w:before="60" w:after="0" w:line="240" w:lineRule="auto"/>
        <w:ind w:left="425" w:right="323" w:hanging="357"/>
        <w:rPr>
          <w:rFonts w:eastAsia="Times New Roman"/>
          <w:lang w:val="en-US"/>
        </w:rPr>
      </w:pPr>
      <w:r w:rsidRPr="00AB7D1E">
        <w:rPr>
          <w:rFonts w:eastAsia="Times New Roman"/>
          <w:lang w:val="en-US"/>
        </w:rPr>
        <w:t xml:space="preserve">group 20 - municipal wastes (household waste and similar commercial, industrial and institutional wastes) including separately collected fractions (paper, plastics, glass, food waste </w:t>
      </w:r>
      <w:proofErr w:type="spellStart"/>
      <w:r w:rsidRPr="00AB7D1E">
        <w:rPr>
          <w:rFonts w:eastAsia="Times New Roman"/>
          <w:lang w:val="en-US"/>
        </w:rPr>
        <w:t>etc</w:t>
      </w:r>
      <w:proofErr w:type="spellEnd"/>
      <w:r w:rsidRPr="00AB7D1E">
        <w:rPr>
          <w:rFonts w:eastAsia="Times New Roman"/>
          <w:lang w:val="en-US"/>
        </w:rPr>
        <w:t>).</w:t>
      </w:r>
    </w:p>
    <w:p w14:paraId="68129B41"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Hazardous waste is expected in negligible amounts. It will include the residues of varnishes, paints, as well as oil wastes from equipment.</w:t>
      </w:r>
    </w:p>
    <w:p w14:paraId="2CDB0639"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Each type of generated waste on the location </w:t>
      </w:r>
      <w:proofErr w:type="gramStart"/>
      <w:r w:rsidRPr="00AB7D1E">
        <w:rPr>
          <w:rFonts w:eastAsia="Times New Roman"/>
          <w:lang w:val="en-US"/>
        </w:rPr>
        <w:t>has to</w:t>
      </w:r>
      <w:proofErr w:type="gramEnd"/>
      <w:r w:rsidRPr="00AB7D1E">
        <w:rPr>
          <w:rFonts w:eastAsia="Times New Roman"/>
          <w:lang w:val="en-US"/>
        </w:rPr>
        <w:t xml:space="preserve"> be temporary stored in separate waste container which have to be labelled with waste type name and waste code. Whenever feasible the contractor should reuse and recycle appropriate and viable materials. Burning or illegal dumping of waste is strictly prohibited.</w:t>
      </w:r>
    </w:p>
    <w:p w14:paraId="698A8AFA" w14:textId="0AECFCF0" w:rsidR="0002353F" w:rsidRPr="00AB7D1E" w:rsidRDefault="0002353F" w:rsidP="0002353F">
      <w:pPr>
        <w:rPr>
          <w:lang w:val="en-US"/>
        </w:rPr>
      </w:pPr>
      <w:r w:rsidRPr="00AB7D1E">
        <w:rPr>
          <w:lang w:val="en-US"/>
        </w:rPr>
        <w:t>On the construction site, municipal waste generation is</w:t>
      </w:r>
      <w:r w:rsidR="004B5B94" w:rsidRPr="00AB7D1E">
        <w:rPr>
          <w:lang w:val="en-US"/>
        </w:rPr>
        <w:t xml:space="preserve"> also</w:t>
      </w:r>
      <w:r w:rsidRPr="00AB7D1E">
        <w:rPr>
          <w:lang w:val="en-US"/>
        </w:rPr>
        <w:t xml:space="preserve"> expected. </w:t>
      </w:r>
    </w:p>
    <w:p w14:paraId="03028399" w14:textId="56D64C5F" w:rsidR="0002353F" w:rsidRPr="00AB7D1E" w:rsidRDefault="0002353F" w:rsidP="0002353F">
      <w:pPr>
        <w:rPr>
          <w:lang w:val="en-US"/>
        </w:rPr>
      </w:pPr>
      <w:r w:rsidRPr="00AB7D1E">
        <w:rPr>
          <w:rFonts w:eastAsia="Times New Roman"/>
          <w:lang w:val="en-US"/>
        </w:rPr>
        <w:t xml:space="preserve">Waste arising from COVID-19 measures (protective gloves, masks, etc.) </w:t>
      </w:r>
      <w:proofErr w:type="gramStart"/>
      <w:r w:rsidRPr="00AB7D1E">
        <w:rPr>
          <w:rFonts w:eastAsia="Times New Roman"/>
          <w:lang w:val="en-US"/>
        </w:rPr>
        <w:t>is considered to be</w:t>
      </w:r>
      <w:proofErr w:type="gramEnd"/>
      <w:r w:rsidRPr="00AB7D1E">
        <w:rPr>
          <w:rFonts w:eastAsia="Times New Roman"/>
          <w:lang w:val="en-US"/>
        </w:rPr>
        <w:t xml:space="preserve"> municipal waste and should be handled in line with </w:t>
      </w:r>
      <w:r w:rsidRPr="00AB7D1E">
        <w:rPr>
          <w:rFonts w:ascii="Calibri" w:hAnsi="Calibri"/>
          <w:lang w:val="en-US"/>
        </w:rPr>
        <w:t>the WHO guidelines</w:t>
      </w:r>
      <w:r w:rsidRPr="00AB7D1E">
        <w:rPr>
          <w:rFonts w:ascii="Calibri" w:hAnsi="Calibri"/>
          <w:vertAlign w:val="superscript"/>
          <w:lang w:val="en-US"/>
        </w:rPr>
        <w:footnoteReference w:id="115"/>
      </w:r>
      <w:r w:rsidRPr="00AB7D1E">
        <w:rPr>
          <w:rFonts w:ascii="Calibri" w:hAnsi="Calibri"/>
          <w:lang w:val="en-US"/>
        </w:rPr>
        <w:t xml:space="preserve"> and the guidelines </w:t>
      </w:r>
      <w:r w:rsidR="004B5B94" w:rsidRPr="00AB7D1E">
        <w:rPr>
          <w:rFonts w:ascii="Calibri" w:hAnsi="Calibri"/>
          <w:lang w:val="en-US"/>
        </w:rPr>
        <w:t xml:space="preserve">available </w:t>
      </w:r>
      <w:r w:rsidRPr="00AB7D1E">
        <w:rPr>
          <w:rFonts w:ascii="Calibri" w:hAnsi="Calibri"/>
          <w:lang w:val="en-US"/>
        </w:rPr>
        <w:t xml:space="preserve">on the official </w:t>
      </w:r>
      <w:r w:rsidR="00382D5D" w:rsidRPr="00AB7D1E">
        <w:rPr>
          <w:rFonts w:ascii="Calibri" w:hAnsi="Calibri"/>
          <w:lang w:val="en-US"/>
        </w:rPr>
        <w:t>g</w:t>
      </w:r>
      <w:r w:rsidRPr="00AB7D1E">
        <w:rPr>
          <w:rFonts w:ascii="Calibri" w:hAnsi="Calibri"/>
          <w:lang w:val="en-US"/>
        </w:rPr>
        <w:t>overnment website</w:t>
      </w:r>
      <w:r w:rsidRPr="00AB7D1E">
        <w:rPr>
          <w:rFonts w:ascii="Calibri" w:hAnsi="Calibri"/>
          <w:vertAlign w:val="superscript"/>
          <w:lang w:val="en-US"/>
        </w:rPr>
        <w:footnoteReference w:id="116"/>
      </w:r>
      <w:r w:rsidR="004B5B94" w:rsidRPr="00AB7D1E">
        <w:rPr>
          <w:rFonts w:ascii="Calibri" w:hAnsi="Calibri"/>
          <w:lang w:val="en-US"/>
        </w:rPr>
        <w:t>.</w:t>
      </w:r>
      <w:r w:rsidRPr="00AB7D1E">
        <w:rPr>
          <w:rFonts w:ascii="Calibri" w:hAnsi="Calibri"/>
          <w:lang w:val="en-US"/>
        </w:rPr>
        <w:t>.</w:t>
      </w:r>
    </w:p>
    <w:p w14:paraId="127F31D8" w14:textId="4D7C200A" w:rsidR="0002353F" w:rsidRDefault="0002353F" w:rsidP="0002353F">
      <w:pPr>
        <w:widowControl w:val="0"/>
        <w:spacing w:after="0" w:line="240" w:lineRule="auto"/>
        <w:ind w:right="323"/>
        <w:rPr>
          <w:rFonts w:eastAsia="Times New Roman"/>
          <w:lang w:val="en-US"/>
        </w:rPr>
      </w:pPr>
      <w:r w:rsidRPr="00AB7D1E">
        <w:rPr>
          <w:rFonts w:eastAsia="Times New Roman"/>
          <w:lang w:val="en-US"/>
        </w:rPr>
        <w:t xml:space="preserve">During and after finishing </w:t>
      </w:r>
      <w:r w:rsidRPr="00AB7D1E">
        <w:rPr>
          <w:rFonts w:eastAsia="Times New Roman"/>
          <w:bCs/>
          <w:lang w:val="en-US"/>
        </w:rPr>
        <w:t xml:space="preserve">repair / rehabilitation </w:t>
      </w:r>
      <w:r w:rsidRPr="00AB7D1E">
        <w:rPr>
          <w:rFonts w:eastAsia="Times New Roman"/>
          <w:lang w:val="en-US"/>
        </w:rPr>
        <w:t xml:space="preserve">works all waste </w:t>
      </w:r>
      <w:proofErr w:type="gramStart"/>
      <w:r w:rsidRPr="00AB7D1E">
        <w:rPr>
          <w:rFonts w:eastAsia="Times New Roman"/>
          <w:lang w:val="en-US"/>
        </w:rPr>
        <w:t>have to</w:t>
      </w:r>
      <w:proofErr w:type="gramEnd"/>
      <w:r w:rsidRPr="00AB7D1E">
        <w:rPr>
          <w:rFonts w:eastAsia="Times New Roman"/>
          <w:lang w:val="en-US"/>
        </w:rPr>
        <w:t xml:space="preserve"> be handed over to the companies authorized for the waste management, so the potential </w:t>
      </w:r>
      <w:r w:rsidR="004B5B94" w:rsidRPr="00AB7D1E">
        <w:rPr>
          <w:rFonts w:eastAsia="Times New Roman"/>
          <w:lang w:val="en-US"/>
        </w:rPr>
        <w:t>of a</w:t>
      </w:r>
      <w:r w:rsidRPr="00AB7D1E">
        <w:rPr>
          <w:rFonts w:eastAsia="Times New Roman"/>
          <w:lang w:val="en-US"/>
        </w:rPr>
        <w:t xml:space="preserve"> negative impact on the environment is reduced to a minimum.</w:t>
      </w:r>
    </w:p>
    <w:p w14:paraId="6A6B8A57" w14:textId="28387307" w:rsidR="003D22CA" w:rsidRDefault="003D22CA" w:rsidP="0002353F">
      <w:pPr>
        <w:widowControl w:val="0"/>
        <w:spacing w:after="0" w:line="240" w:lineRule="auto"/>
        <w:ind w:right="323"/>
        <w:rPr>
          <w:rFonts w:eastAsia="Times New Roman"/>
          <w:lang w:val="en-US"/>
        </w:rPr>
      </w:pPr>
      <w:r w:rsidRPr="003D22CA">
        <w:rPr>
          <w:rFonts w:eastAsia="Times New Roman"/>
          <w:lang w:val="en-US"/>
        </w:rPr>
        <w:t xml:space="preserve">Additionally, according to Reconstruction Act, </w:t>
      </w:r>
      <w:proofErr w:type="spellStart"/>
      <w:r w:rsidRPr="003D22CA">
        <w:rPr>
          <w:rFonts w:eastAsia="Times New Roman"/>
          <w:lang w:val="en-US"/>
        </w:rPr>
        <w:t>MoESD</w:t>
      </w:r>
      <w:proofErr w:type="spellEnd"/>
      <w:r w:rsidRPr="003D22CA">
        <w:rPr>
          <w:rFonts w:eastAsia="Times New Roman"/>
          <w:lang w:val="en-US"/>
        </w:rPr>
        <w:t xml:space="preserve">, City of Zagreb, </w:t>
      </w:r>
      <w:proofErr w:type="spellStart"/>
      <w:r w:rsidRPr="003D22CA">
        <w:rPr>
          <w:rFonts w:eastAsia="Times New Roman"/>
          <w:lang w:val="en-US"/>
        </w:rPr>
        <w:t>Krapina-Zagorje</w:t>
      </w:r>
      <w:proofErr w:type="spellEnd"/>
      <w:r w:rsidRPr="003D22CA">
        <w:rPr>
          <w:rFonts w:eastAsia="Times New Roman"/>
          <w:lang w:val="en-US"/>
        </w:rPr>
        <w:t xml:space="preserve"> County and Zagreb County at whose territory the renovation of buildings is carried out shall provide appropriate real estate for the purpose of temporary storage of construction waste generated as a result of the natural disaster. Details regarding the waste management of construction waste shall be determined in the program of measures, in accordance with a special regulation, respecting the principle of circular economy.</w:t>
      </w:r>
    </w:p>
    <w:p w14:paraId="257765BB" w14:textId="3608A884" w:rsidR="0002353F" w:rsidRPr="00AB7D1E" w:rsidRDefault="0002353F" w:rsidP="0002353F">
      <w:pPr>
        <w:widowControl w:val="0"/>
        <w:spacing w:after="0" w:line="240" w:lineRule="auto"/>
        <w:ind w:right="323"/>
        <w:rPr>
          <w:rFonts w:eastAsia="Times New Roman"/>
          <w:b/>
          <w:bCs/>
          <w:u w:val="single"/>
          <w:lang w:val="en-US"/>
        </w:rPr>
      </w:pPr>
      <w:r w:rsidRPr="00AB7D1E">
        <w:rPr>
          <w:rFonts w:eastAsia="Times New Roman"/>
          <w:b/>
          <w:bCs/>
          <w:u w:val="single"/>
          <w:lang w:val="en-US"/>
        </w:rPr>
        <w:t>Operational phase</w:t>
      </w:r>
    </w:p>
    <w:p w14:paraId="36065AD6" w14:textId="44BC9BF5" w:rsidR="00C42BA9"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Commonly encountered risks related to the operation of public health facilities include poorly organized collection and disposal of waste; improper maintenance of land plot area around buildings; lack or malfunctioning of stormwater drainage systems; leaking roofs and water pipes due to no checks and timely repair. </w:t>
      </w:r>
      <w:r w:rsidR="00C42BA9" w:rsidRPr="00AB7D1E">
        <w:rPr>
          <w:rFonts w:eastAsia="Times New Roman"/>
          <w:lang w:val="en-US"/>
        </w:rPr>
        <w:t>Due to the unmaintained thermal power plant for space heating there is possibility of exceeding the permitted air emissions</w:t>
      </w:r>
      <w:r w:rsidR="004B3596" w:rsidRPr="00AB7D1E">
        <w:rPr>
          <w:rStyle w:val="FootnoteReference"/>
          <w:rFonts w:eastAsia="Times New Roman"/>
          <w:lang w:val="en-US"/>
        </w:rPr>
        <w:footnoteReference w:id="117"/>
      </w:r>
      <w:r w:rsidR="00C42BA9" w:rsidRPr="00AB7D1E">
        <w:rPr>
          <w:rFonts w:eastAsia="Times New Roman"/>
          <w:lang w:val="en-US"/>
        </w:rPr>
        <w:t>. In the case of improperly discharging wastewater into municipal sewer sewerage system, exceeding the permitted water emissions</w:t>
      </w:r>
      <w:r w:rsidR="004B3596" w:rsidRPr="00AB7D1E">
        <w:rPr>
          <w:rStyle w:val="FootnoteReference"/>
          <w:rFonts w:eastAsia="Times New Roman"/>
          <w:lang w:val="en-US"/>
        </w:rPr>
        <w:footnoteReference w:id="118"/>
      </w:r>
      <w:r w:rsidR="00C42BA9" w:rsidRPr="00AB7D1E">
        <w:rPr>
          <w:rFonts w:eastAsia="Times New Roman"/>
          <w:lang w:val="en-US"/>
        </w:rPr>
        <w:t xml:space="preserve"> is possible.</w:t>
      </w:r>
    </w:p>
    <w:p w14:paraId="7086835C" w14:textId="4CCCB83E"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 xml:space="preserve">Other impacts on the health of hospital patients and personnel at the operation phase may result </w:t>
      </w:r>
      <w:r w:rsidRPr="00AB7D1E">
        <w:rPr>
          <w:rFonts w:eastAsia="Times New Roman"/>
          <w:lang w:val="en-US"/>
        </w:rPr>
        <w:lastRenderedPageBreak/>
        <w:t xml:space="preserve">from improper natural and artificial illumination and ventilation of the buildings, </w:t>
      </w:r>
      <w:r w:rsidR="00DA6874">
        <w:rPr>
          <w:rFonts w:eastAsia="Times New Roman"/>
          <w:lang w:val="en-US"/>
        </w:rPr>
        <w:t xml:space="preserve">management of chemicals, </w:t>
      </w:r>
      <w:r w:rsidRPr="00AB7D1E">
        <w:rPr>
          <w:rFonts w:eastAsia="Times New Roman"/>
          <w:lang w:val="en-US"/>
        </w:rPr>
        <w:t>from the operation of power supply and heating systems, from the operation o</w:t>
      </w:r>
      <w:r w:rsidR="00032306" w:rsidRPr="00AB7D1E">
        <w:rPr>
          <w:rFonts w:eastAsia="Times New Roman"/>
          <w:lang w:val="en-US"/>
        </w:rPr>
        <w:t>f specialized medical equipment.</w:t>
      </w:r>
    </w:p>
    <w:p w14:paraId="736A44C0" w14:textId="77777777" w:rsidR="0002353F" w:rsidRPr="00AB7D1E" w:rsidRDefault="0002353F" w:rsidP="0002353F">
      <w:pPr>
        <w:widowControl w:val="0"/>
        <w:spacing w:after="0" w:line="240" w:lineRule="auto"/>
        <w:ind w:right="323"/>
        <w:rPr>
          <w:rFonts w:eastAsia="Times New Roman"/>
          <w:lang w:val="en-US"/>
        </w:rPr>
      </w:pPr>
      <w:r w:rsidRPr="00AB7D1E">
        <w:rPr>
          <w:rFonts w:eastAsia="Times New Roman"/>
          <w:lang w:val="en-US"/>
        </w:rPr>
        <w:t>After the completion of the main construction works, the Contractor will be given a period / stage to eliminate defects on the site.</w:t>
      </w:r>
    </w:p>
    <w:p w14:paraId="76C18B1D" w14:textId="493F59E3" w:rsidR="0002353F" w:rsidRPr="00AB7D1E" w:rsidRDefault="0002353F" w:rsidP="0002353F">
      <w:pPr>
        <w:widowControl w:val="0"/>
        <w:spacing w:after="0" w:line="240" w:lineRule="auto"/>
        <w:ind w:right="323"/>
        <w:rPr>
          <w:rFonts w:eastAsia="Times New Roman"/>
          <w:highlight w:val="yellow"/>
          <w:lang w:val="en-US"/>
        </w:rPr>
        <w:sectPr w:rsidR="0002353F" w:rsidRPr="00AB7D1E">
          <w:pgSz w:w="11906" w:h="16838"/>
          <w:pgMar w:top="1440" w:right="1440" w:bottom="1440" w:left="1440" w:header="708" w:footer="708" w:gutter="0"/>
          <w:cols w:space="708"/>
          <w:docGrid w:linePitch="360"/>
        </w:sectPr>
      </w:pPr>
      <w:r w:rsidRPr="00AB7D1E">
        <w:rPr>
          <w:rFonts w:eastAsia="Times New Roman"/>
          <w:lang w:val="en-US"/>
        </w:rPr>
        <w:t xml:space="preserve">Health-related activities produce a considerable amount of waste </w:t>
      </w:r>
      <w:proofErr w:type="gramStart"/>
      <w:r w:rsidRPr="00AB7D1E">
        <w:rPr>
          <w:rFonts w:eastAsia="Times New Roman"/>
          <w:lang w:val="en-US"/>
        </w:rPr>
        <w:t>on a daily basis</w:t>
      </w:r>
      <w:proofErr w:type="gramEnd"/>
      <w:r w:rsidRPr="00AB7D1E">
        <w:rPr>
          <w:rFonts w:eastAsia="Times New Roman"/>
          <w:lang w:val="en-US"/>
        </w:rPr>
        <w:t xml:space="preserve"> as a result of preventive and curative service delivery. The composition of waste produced is in the form of sharps (needles, syringes), non-sharps, blood and other body fluids being infected and non-infected, chemicals, pharmaceuticals, and medical devices. Health workers, waste handlers, users of health facilities and the community </w:t>
      </w:r>
      <w:r w:rsidR="00453B59" w:rsidRPr="00AB7D1E">
        <w:rPr>
          <w:rFonts w:eastAsia="Times New Roman"/>
          <w:lang w:val="en-US"/>
        </w:rPr>
        <w:t>can</w:t>
      </w:r>
      <w:r w:rsidRPr="00AB7D1E">
        <w:rPr>
          <w:rFonts w:eastAsia="Times New Roman"/>
          <w:lang w:val="en-US"/>
        </w:rPr>
        <w:t xml:space="preserve"> all </w:t>
      </w:r>
      <w:r w:rsidR="00453B59" w:rsidRPr="00AB7D1E">
        <w:rPr>
          <w:rFonts w:eastAsia="Times New Roman"/>
          <w:lang w:val="en-US"/>
        </w:rPr>
        <w:t xml:space="preserve">be </w:t>
      </w:r>
      <w:r w:rsidRPr="00AB7D1E">
        <w:rPr>
          <w:rFonts w:eastAsia="Times New Roman"/>
          <w:lang w:val="en-US"/>
        </w:rPr>
        <w:t>exposed to healthcare-related waste as a result of poor health care waste management. Also, there is health and safety risks related to availability and use of protective equipment and hygiene materials.</w:t>
      </w:r>
      <w:r w:rsidR="00D4758C" w:rsidRPr="00AB7D1E">
        <w:rPr>
          <w:rFonts w:eastAsia="Times New Roman"/>
          <w:lang w:val="en-US"/>
        </w:rPr>
        <w:t xml:space="preserve"> </w:t>
      </w:r>
      <w:r w:rsidRPr="00AB7D1E">
        <w:rPr>
          <w:rFonts w:eastAsia="Times New Roman"/>
          <w:lang w:val="en-US"/>
        </w:rPr>
        <w:t>Health-care waste that may occur in the operational phase of sub-project is classified as follows:</w:t>
      </w:r>
    </w:p>
    <w:p w14:paraId="7A02DD0E" w14:textId="4C17B3E9" w:rsidR="0002353F" w:rsidRPr="00AB7D1E" w:rsidRDefault="0002353F" w:rsidP="007D1E1B">
      <w:pPr>
        <w:pStyle w:val="Style1"/>
        <w:rPr>
          <w:rFonts w:eastAsia="Times New Roman"/>
          <w:color w:val="2683C6" w:themeColor="accent6"/>
        </w:rPr>
      </w:pPr>
      <w:bookmarkStart w:id="166" w:name="_Toc56952715"/>
      <w:r w:rsidRPr="00AB7D1E">
        <w:lastRenderedPageBreak/>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15</w:t>
      </w:r>
      <w:r w:rsidR="00DF4A34" w:rsidRPr="00AB7D1E">
        <w:fldChar w:fldCharType="end"/>
      </w:r>
      <w:r w:rsidRPr="00AB7D1E">
        <w:t xml:space="preserve">. Classification of waste which may </w:t>
      </w:r>
      <w:r w:rsidR="00230B13" w:rsidRPr="00AB7D1E">
        <w:t>occur</w:t>
      </w:r>
      <w:r w:rsidRPr="00AB7D1E">
        <w:t xml:space="preserve"> in the healthcare institutions</w:t>
      </w:r>
      <w:r w:rsidR="00B45BB3" w:rsidRPr="00AB7D1E">
        <w:t xml:space="preserve"> - not an exhaustive list</w:t>
      </w:r>
      <w:r w:rsidR="00B00864" w:rsidRPr="00AB7D1E">
        <w:rPr>
          <w:rStyle w:val="FootnoteReference"/>
          <w:rFonts w:cstheme="minorHAnsi"/>
          <w:lang w:val="en-US"/>
        </w:rPr>
        <w:footnoteReference w:id="119"/>
      </w:r>
      <w:bookmarkEnd w:id="166"/>
    </w:p>
    <w:tbl>
      <w:tblPr>
        <w:tblStyle w:val="TableGrid"/>
        <w:tblW w:w="5000" w:type="pct"/>
        <w:tblLook w:val="04A0" w:firstRow="1" w:lastRow="0" w:firstColumn="1" w:lastColumn="0" w:noHBand="0" w:noVBand="1"/>
      </w:tblPr>
      <w:tblGrid>
        <w:gridCol w:w="1695"/>
        <w:gridCol w:w="3548"/>
        <w:gridCol w:w="2264"/>
        <w:gridCol w:w="5339"/>
        <w:gridCol w:w="2598"/>
        <w:gridCol w:w="2598"/>
        <w:gridCol w:w="2879"/>
      </w:tblGrid>
      <w:tr w:rsidR="0002353F" w:rsidRPr="00AB7D1E" w14:paraId="53CA6EAC" w14:textId="77777777" w:rsidTr="00230B13">
        <w:trPr>
          <w:tblHeader/>
        </w:trPr>
        <w:tc>
          <w:tcPr>
            <w:tcW w:w="405" w:type="pct"/>
            <w:shd w:val="clear" w:color="auto" w:fill="CEDBE6" w:themeFill="background2"/>
            <w:vAlign w:val="center"/>
          </w:tcPr>
          <w:p w14:paraId="5AE7564C"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 xml:space="preserve">Risk category </w:t>
            </w:r>
          </w:p>
        </w:tc>
        <w:tc>
          <w:tcPr>
            <w:tcW w:w="848" w:type="pct"/>
            <w:shd w:val="clear" w:color="auto" w:fill="CEDBE6" w:themeFill="background2"/>
            <w:vAlign w:val="center"/>
          </w:tcPr>
          <w:p w14:paraId="77E69752"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General description of waste belonging to the particular risk</w:t>
            </w:r>
          </w:p>
        </w:tc>
        <w:tc>
          <w:tcPr>
            <w:tcW w:w="541" w:type="pct"/>
            <w:shd w:val="clear" w:color="auto" w:fill="CEDBE6" w:themeFill="background2"/>
            <w:vAlign w:val="center"/>
          </w:tcPr>
          <w:p w14:paraId="64480C57"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Groups of waste</w:t>
            </w:r>
          </w:p>
        </w:tc>
        <w:tc>
          <w:tcPr>
            <w:tcW w:w="1276" w:type="pct"/>
            <w:shd w:val="clear" w:color="auto" w:fill="CEDBE6" w:themeFill="background2"/>
            <w:vAlign w:val="center"/>
          </w:tcPr>
          <w:p w14:paraId="3B0E40A5"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Applies to</w:t>
            </w:r>
          </w:p>
        </w:tc>
        <w:tc>
          <w:tcPr>
            <w:tcW w:w="621" w:type="pct"/>
            <w:shd w:val="clear" w:color="auto" w:fill="CEDBE6" w:themeFill="background2"/>
            <w:vAlign w:val="center"/>
          </w:tcPr>
          <w:p w14:paraId="2CD2C805"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Possible waste code from the Waste Catalogue</w:t>
            </w:r>
            <w:r w:rsidRPr="00AB7D1E">
              <w:rPr>
                <w:rStyle w:val="FootnoteReference"/>
                <w:rFonts w:eastAsia="Times New Roman"/>
                <w:b/>
                <w:bCs/>
                <w:sz w:val="18"/>
                <w:szCs w:val="18"/>
                <w:lang w:val="en-US"/>
              </w:rPr>
              <w:footnoteReference w:id="120"/>
            </w:r>
          </w:p>
        </w:tc>
        <w:tc>
          <w:tcPr>
            <w:tcW w:w="621" w:type="pct"/>
            <w:shd w:val="clear" w:color="auto" w:fill="CEDBE6" w:themeFill="background2"/>
            <w:vAlign w:val="center"/>
          </w:tcPr>
          <w:p w14:paraId="2D5025A2" w14:textId="31852264"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Classification according to the Ordinance on waste management</w:t>
            </w:r>
            <w:r w:rsidRPr="00AB7D1E">
              <w:rPr>
                <w:rStyle w:val="FootnoteReference"/>
                <w:rFonts w:eastAsia="Times New Roman"/>
                <w:b/>
                <w:bCs/>
                <w:sz w:val="18"/>
                <w:szCs w:val="18"/>
                <w:lang w:val="en-US"/>
              </w:rPr>
              <w:footnoteReference w:id="121"/>
            </w:r>
            <w:r w:rsidRPr="00AB7D1E">
              <w:rPr>
                <w:rFonts w:eastAsia="Times New Roman"/>
                <w:b/>
                <w:bCs/>
                <w:sz w:val="18"/>
                <w:szCs w:val="18"/>
                <w:lang w:val="en-US"/>
              </w:rPr>
              <w:t xml:space="preserve"> (hazardous /</w:t>
            </w:r>
            <w:r w:rsidR="001E64E6" w:rsidRPr="00AB7D1E">
              <w:rPr>
                <w:rFonts w:eastAsia="Times New Roman"/>
                <w:b/>
                <w:bCs/>
                <w:sz w:val="18"/>
                <w:szCs w:val="18"/>
                <w:lang w:val="en-US"/>
              </w:rPr>
              <w:t>non-hazardous</w:t>
            </w:r>
            <w:r w:rsidRPr="00AB7D1E">
              <w:rPr>
                <w:rFonts w:eastAsia="Times New Roman"/>
                <w:b/>
                <w:bCs/>
                <w:sz w:val="18"/>
                <w:szCs w:val="18"/>
                <w:lang w:val="en-US"/>
              </w:rPr>
              <w:t>)</w:t>
            </w:r>
          </w:p>
        </w:tc>
        <w:tc>
          <w:tcPr>
            <w:tcW w:w="688" w:type="pct"/>
            <w:shd w:val="clear" w:color="auto" w:fill="CEDBE6" w:themeFill="background2"/>
            <w:vAlign w:val="center"/>
          </w:tcPr>
          <w:p w14:paraId="76C08C11" w14:textId="77777777" w:rsidR="0002353F" w:rsidRPr="00AB7D1E" w:rsidRDefault="0002353F" w:rsidP="00433783">
            <w:pPr>
              <w:widowControl w:val="0"/>
              <w:spacing w:after="0" w:line="240" w:lineRule="auto"/>
              <w:ind w:right="323"/>
              <w:jc w:val="center"/>
              <w:rPr>
                <w:rFonts w:eastAsia="Times New Roman"/>
                <w:b/>
                <w:bCs/>
                <w:sz w:val="18"/>
                <w:szCs w:val="18"/>
                <w:lang w:val="en-US"/>
              </w:rPr>
            </w:pPr>
            <w:r w:rsidRPr="00AB7D1E">
              <w:rPr>
                <w:rFonts w:eastAsia="Times New Roman"/>
                <w:b/>
                <w:bCs/>
                <w:sz w:val="18"/>
                <w:szCs w:val="18"/>
                <w:lang w:val="en-US"/>
              </w:rPr>
              <w:t>Required treatment operation</w:t>
            </w:r>
          </w:p>
        </w:tc>
      </w:tr>
      <w:tr w:rsidR="00232AF5" w:rsidRPr="00AB7D1E" w14:paraId="0BC03746" w14:textId="77777777" w:rsidTr="00230B13">
        <w:trPr>
          <w:trHeight w:val="602"/>
        </w:trPr>
        <w:tc>
          <w:tcPr>
            <w:tcW w:w="405" w:type="pct"/>
            <w:vMerge w:val="restart"/>
          </w:tcPr>
          <w:p w14:paraId="18049820" w14:textId="77777777" w:rsidR="00232AF5" w:rsidRPr="00AB7D1E" w:rsidRDefault="00232AF5" w:rsidP="00BE60A0">
            <w:pPr>
              <w:pStyle w:val="ListParagraph"/>
              <w:widowControl w:val="0"/>
              <w:numPr>
                <w:ilvl w:val="0"/>
                <w:numId w:val="55"/>
              </w:numPr>
              <w:spacing w:after="0" w:line="240" w:lineRule="auto"/>
              <w:ind w:left="447" w:right="323"/>
              <w:contextualSpacing/>
              <w:rPr>
                <w:rFonts w:eastAsia="Times New Roman"/>
                <w:b/>
                <w:bCs/>
                <w:sz w:val="18"/>
                <w:szCs w:val="18"/>
                <w:lang w:val="en-US"/>
              </w:rPr>
            </w:pPr>
            <w:r w:rsidRPr="00AB7D1E">
              <w:rPr>
                <w:rFonts w:eastAsia="Times New Roman"/>
                <w:b/>
                <w:bCs/>
                <w:sz w:val="18"/>
                <w:szCs w:val="18"/>
                <w:lang w:val="en-US"/>
              </w:rPr>
              <w:t xml:space="preserve">Non-risk </w:t>
            </w:r>
          </w:p>
        </w:tc>
        <w:tc>
          <w:tcPr>
            <w:tcW w:w="848" w:type="pct"/>
            <w:vMerge w:val="restart"/>
          </w:tcPr>
          <w:p w14:paraId="034CBCB9" w14:textId="62F60536" w:rsidR="00232AF5" w:rsidRPr="00AB7D1E" w:rsidRDefault="00232AF5" w:rsidP="003F5F7F">
            <w:pPr>
              <w:widowControl w:val="0"/>
              <w:spacing w:after="0" w:line="240" w:lineRule="auto"/>
              <w:ind w:right="323"/>
              <w:jc w:val="left"/>
              <w:rPr>
                <w:rFonts w:eastAsia="Times New Roman"/>
                <w:sz w:val="18"/>
                <w:szCs w:val="18"/>
                <w:lang w:val="en-US"/>
              </w:rPr>
            </w:pPr>
            <w:r w:rsidRPr="00AB7D1E">
              <w:rPr>
                <w:rFonts w:eastAsia="Times New Roman"/>
                <w:sz w:val="18"/>
                <w:szCs w:val="18"/>
                <w:lang w:val="en-US"/>
              </w:rPr>
              <w:t xml:space="preserve">Waste that has not been in contact with infectious agents, hazardous chemicals, or radioactive substances, and that does not pose a hazard. In most cases it is </w:t>
            </w:r>
            <w:proofErr w:type="gramStart"/>
            <w:r w:rsidRPr="00AB7D1E">
              <w:rPr>
                <w:rFonts w:eastAsia="Times New Roman"/>
                <w:sz w:val="18"/>
                <w:szCs w:val="18"/>
                <w:lang w:val="en-US"/>
              </w:rPr>
              <w:t>similar to</w:t>
            </w:r>
            <w:proofErr w:type="gramEnd"/>
            <w:r w:rsidRPr="00AB7D1E">
              <w:rPr>
                <w:rFonts w:eastAsia="Times New Roman"/>
                <w:sz w:val="18"/>
                <w:szCs w:val="18"/>
                <w:lang w:val="en-US"/>
              </w:rPr>
              <w:t xml:space="preserve"> household waste (general office waste, packaging or food leftover, electrical and electronic equipment). Represents between 75% and 90% of the total amount of waste generated by healthcare institutions. </w:t>
            </w:r>
          </w:p>
        </w:tc>
        <w:tc>
          <w:tcPr>
            <w:tcW w:w="541" w:type="pct"/>
            <w:vMerge w:val="restart"/>
          </w:tcPr>
          <w:p w14:paraId="31F0C86B" w14:textId="7777777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A1. Recyclable waste</w:t>
            </w:r>
          </w:p>
        </w:tc>
        <w:tc>
          <w:tcPr>
            <w:tcW w:w="1276" w:type="pct"/>
          </w:tcPr>
          <w:p w14:paraId="7D458816" w14:textId="77777777" w:rsidR="00232AF5" w:rsidRPr="00AB7D1E" w:rsidRDefault="00232AF5" w:rsidP="00433783">
            <w:pPr>
              <w:widowControl w:val="0"/>
              <w:spacing w:after="0" w:line="240" w:lineRule="auto"/>
              <w:ind w:right="323"/>
              <w:jc w:val="left"/>
              <w:rPr>
                <w:rFonts w:eastAsia="Times New Roman"/>
                <w:sz w:val="18"/>
                <w:szCs w:val="18"/>
                <w:lang w:val="en-US"/>
              </w:rPr>
            </w:pPr>
            <w:r w:rsidRPr="00AB7D1E">
              <w:rPr>
                <w:rFonts w:eastAsia="Times New Roman"/>
                <w:b/>
                <w:bCs/>
                <w:sz w:val="18"/>
                <w:szCs w:val="18"/>
                <w:lang w:val="en-US"/>
              </w:rPr>
              <w:t>Paper and cardboard</w:t>
            </w:r>
            <w:r w:rsidRPr="00AB7D1E">
              <w:rPr>
                <w:rFonts w:eastAsia="Times New Roman"/>
                <w:sz w:val="18"/>
                <w:szCs w:val="18"/>
                <w:lang w:val="en-US"/>
              </w:rPr>
              <w:t xml:space="preserve"> (office paper, computer printout, newspapers, magazines, corrugated cardboard etc.)</w:t>
            </w:r>
          </w:p>
        </w:tc>
        <w:tc>
          <w:tcPr>
            <w:tcW w:w="621" w:type="pct"/>
          </w:tcPr>
          <w:p w14:paraId="6F82B551"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15 01 01, 20 01 01</w:t>
            </w:r>
          </w:p>
        </w:tc>
        <w:tc>
          <w:tcPr>
            <w:tcW w:w="621" w:type="pct"/>
          </w:tcPr>
          <w:p w14:paraId="0472D20D"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43F0E64F" w14:textId="77777777" w:rsidR="00232AF5" w:rsidRPr="00AB7D1E" w:rsidRDefault="00232AF5" w:rsidP="00433783">
            <w:pPr>
              <w:widowControl w:val="0"/>
              <w:spacing w:after="0" w:line="240" w:lineRule="auto"/>
              <w:ind w:right="323"/>
              <w:jc w:val="left"/>
              <w:rPr>
                <w:rFonts w:eastAsia="Times New Roman"/>
                <w:sz w:val="18"/>
                <w:szCs w:val="18"/>
                <w:lang w:val="en-US"/>
              </w:rPr>
            </w:pPr>
            <w:r w:rsidRPr="00AB7D1E">
              <w:rPr>
                <w:rFonts w:eastAsia="Times New Roman"/>
                <w:sz w:val="18"/>
                <w:szCs w:val="18"/>
                <w:lang w:val="en-US"/>
              </w:rPr>
              <w:t>Recycling</w:t>
            </w:r>
          </w:p>
        </w:tc>
      </w:tr>
      <w:tr w:rsidR="00232AF5" w:rsidRPr="00AB7D1E" w14:paraId="3F7D76D3" w14:textId="77777777" w:rsidTr="00230B13">
        <w:trPr>
          <w:trHeight w:val="602"/>
        </w:trPr>
        <w:tc>
          <w:tcPr>
            <w:tcW w:w="405" w:type="pct"/>
            <w:vMerge/>
          </w:tcPr>
          <w:p w14:paraId="68153259"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103969D6"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059DE0A2"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14BF4893" w14:textId="7777777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Plastic</w:t>
            </w:r>
            <w:r w:rsidRPr="00AB7D1E">
              <w:rPr>
                <w:rFonts w:eastAsia="Times New Roman"/>
                <w:sz w:val="18"/>
                <w:szCs w:val="18"/>
                <w:lang w:val="en-US"/>
              </w:rPr>
              <w:t xml:space="preserve"> (PET water and soft drink bottles, milk containers etc.)</w:t>
            </w:r>
          </w:p>
        </w:tc>
        <w:tc>
          <w:tcPr>
            <w:tcW w:w="621" w:type="pct"/>
          </w:tcPr>
          <w:p w14:paraId="094FD8D7"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15 01 02, 20 01 39</w:t>
            </w:r>
          </w:p>
        </w:tc>
        <w:tc>
          <w:tcPr>
            <w:tcW w:w="621" w:type="pct"/>
          </w:tcPr>
          <w:p w14:paraId="573E74BD"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12115F30"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006D9A40" w14:textId="77777777" w:rsidTr="00230B13">
        <w:trPr>
          <w:trHeight w:val="602"/>
        </w:trPr>
        <w:tc>
          <w:tcPr>
            <w:tcW w:w="405" w:type="pct"/>
            <w:vMerge/>
          </w:tcPr>
          <w:p w14:paraId="4B4453F2"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175535D8"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3AFF6B86"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73CCB52A" w14:textId="7AF52323"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Metal</w:t>
            </w:r>
            <w:r w:rsidRPr="00AB7D1E">
              <w:rPr>
                <w:rFonts w:eastAsia="Times New Roman"/>
                <w:sz w:val="18"/>
                <w:szCs w:val="18"/>
                <w:lang w:val="en-US"/>
              </w:rPr>
              <w:t xml:space="preserve"> (</w:t>
            </w:r>
            <w:proofErr w:type="spellStart"/>
            <w:r w:rsidR="001E64E6" w:rsidRPr="00AB7D1E">
              <w:rPr>
                <w:rFonts w:eastAsia="Times New Roman"/>
                <w:sz w:val="18"/>
                <w:szCs w:val="18"/>
                <w:lang w:val="en-US"/>
              </w:rPr>
              <w:t>aluminium</w:t>
            </w:r>
            <w:proofErr w:type="spellEnd"/>
            <w:r w:rsidRPr="00AB7D1E">
              <w:rPr>
                <w:rFonts w:eastAsia="Times New Roman"/>
                <w:sz w:val="18"/>
                <w:szCs w:val="18"/>
                <w:lang w:val="en-US"/>
              </w:rPr>
              <w:t xml:space="preserve"> beverage cans, </w:t>
            </w:r>
            <w:proofErr w:type="spellStart"/>
            <w:r w:rsidR="001E64E6" w:rsidRPr="00AB7D1E">
              <w:rPr>
                <w:rFonts w:eastAsia="Times New Roman"/>
                <w:sz w:val="18"/>
                <w:szCs w:val="18"/>
                <w:lang w:val="en-US"/>
              </w:rPr>
              <w:t>aluminium</w:t>
            </w:r>
            <w:proofErr w:type="spellEnd"/>
            <w:r w:rsidRPr="00AB7D1E">
              <w:rPr>
                <w:rFonts w:eastAsia="Times New Roman"/>
                <w:sz w:val="18"/>
                <w:szCs w:val="18"/>
                <w:lang w:val="en-US"/>
              </w:rPr>
              <w:t xml:space="preserve"> containers, food tin cans, metal containers, spoons etc.) </w:t>
            </w:r>
          </w:p>
        </w:tc>
        <w:tc>
          <w:tcPr>
            <w:tcW w:w="621" w:type="pct"/>
          </w:tcPr>
          <w:p w14:paraId="0F4F0306"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15 01 04, 20 01 40</w:t>
            </w:r>
          </w:p>
        </w:tc>
        <w:tc>
          <w:tcPr>
            <w:tcW w:w="621" w:type="pct"/>
          </w:tcPr>
          <w:p w14:paraId="6533ACE8"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0A7D352C"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293F87E4" w14:textId="77777777" w:rsidTr="00230B13">
        <w:trPr>
          <w:trHeight w:val="602"/>
        </w:trPr>
        <w:tc>
          <w:tcPr>
            <w:tcW w:w="405" w:type="pct"/>
            <w:vMerge/>
          </w:tcPr>
          <w:p w14:paraId="07C344BF"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69310F67"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1A28DAB8"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2C5B7D0B" w14:textId="59F1542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Glass</w:t>
            </w:r>
            <w:r w:rsidRPr="00AB7D1E">
              <w:rPr>
                <w:rFonts w:eastAsia="Times New Roman"/>
                <w:sz w:val="18"/>
                <w:szCs w:val="18"/>
                <w:lang w:val="en-US"/>
              </w:rPr>
              <w:t xml:space="preserve"> (glass bottle etc.)</w:t>
            </w:r>
          </w:p>
        </w:tc>
        <w:tc>
          <w:tcPr>
            <w:tcW w:w="621" w:type="pct"/>
          </w:tcPr>
          <w:p w14:paraId="4CD8CB50"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15 01 07, 20 01 02</w:t>
            </w:r>
          </w:p>
        </w:tc>
        <w:tc>
          <w:tcPr>
            <w:tcW w:w="621" w:type="pct"/>
          </w:tcPr>
          <w:p w14:paraId="33FC9E5F"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7D5461F9"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7E19867D" w14:textId="77777777" w:rsidTr="00230B13">
        <w:trPr>
          <w:trHeight w:val="602"/>
        </w:trPr>
        <w:tc>
          <w:tcPr>
            <w:tcW w:w="405" w:type="pct"/>
            <w:vMerge/>
          </w:tcPr>
          <w:p w14:paraId="054D082E"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773F71B9"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57FABC11"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490DCDBD" w14:textId="7777777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 xml:space="preserve">Wood </w:t>
            </w:r>
            <w:r w:rsidRPr="00AB7D1E">
              <w:rPr>
                <w:rFonts w:eastAsia="Times New Roman"/>
                <w:sz w:val="18"/>
                <w:szCs w:val="18"/>
                <w:lang w:val="en-US"/>
              </w:rPr>
              <w:t>(shipping pallets etc.)</w:t>
            </w:r>
          </w:p>
        </w:tc>
        <w:tc>
          <w:tcPr>
            <w:tcW w:w="621" w:type="pct"/>
          </w:tcPr>
          <w:p w14:paraId="319AA547"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15 01 03, 20 01 38</w:t>
            </w:r>
          </w:p>
        </w:tc>
        <w:tc>
          <w:tcPr>
            <w:tcW w:w="621" w:type="pct"/>
          </w:tcPr>
          <w:p w14:paraId="14C35190"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241CC0B4"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046E39A4" w14:textId="77777777" w:rsidTr="00232AF5">
        <w:trPr>
          <w:trHeight w:val="272"/>
        </w:trPr>
        <w:tc>
          <w:tcPr>
            <w:tcW w:w="405" w:type="pct"/>
            <w:vMerge/>
          </w:tcPr>
          <w:p w14:paraId="34496618" w14:textId="77777777" w:rsidR="00232AF5" w:rsidRPr="00AB7D1E" w:rsidRDefault="00232AF5" w:rsidP="00433783">
            <w:pPr>
              <w:widowControl w:val="0"/>
              <w:spacing w:after="0" w:line="240" w:lineRule="auto"/>
              <w:ind w:right="323"/>
              <w:rPr>
                <w:rFonts w:eastAsia="Times New Roman"/>
                <w:sz w:val="18"/>
                <w:szCs w:val="18"/>
                <w:lang w:val="en-US"/>
              </w:rPr>
            </w:pPr>
          </w:p>
        </w:tc>
        <w:tc>
          <w:tcPr>
            <w:tcW w:w="848" w:type="pct"/>
            <w:vMerge/>
          </w:tcPr>
          <w:p w14:paraId="7EDE63C8" w14:textId="77777777" w:rsidR="00232AF5" w:rsidRPr="00AB7D1E" w:rsidRDefault="00232AF5" w:rsidP="00433783">
            <w:pPr>
              <w:widowControl w:val="0"/>
              <w:spacing w:after="0" w:line="240" w:lineRule="auto"/>
              <w:ind w:right="323"/>
              <w:jc w:val="left"/>
              <w:rPr>
                <w:rFonts w:eastAsia="Times New Roman"/>
                <w:sz w:val="18"/>
                <w:szCs w:val="18"/>
                <w:lang w:val="en-US"/>
              </w:rPr>
            </w:pPr>
          </w:p>
        </w:tc>
        <w:tc>
          <w:tcPr>
            <w:tcW w:w="541" w:type="pct"/>
            <w:vMerge/>
          </w:tcPr>
          <w:p w14:paraId="34A6F149" w14:textId="77777777" w:rsidR="00232AF5" w:rsidRPr="00AB7D1E" w:rsidRDefault="00232AF5" w:rsidP="00433783">
            <w:pPr>
              <w:widowControl w:val="0"/>
              <w:spacing w:after="0" w:line="240" w:lineRule="auto"/>
              <w:ind w:right="323"/>
              <w:jc w:val="left"/>
              <w:rPr>
                <w:b/>
                <w:bCs/>
                <w:sz w:val="18"/>
                <w:szCs w:val="18"/>
                <w:lang w:val="en-US"/>
              </w:rPr>
            </w:pPr>
          </w:p>
        </w:tc>
        <w:tc>
          <w:tcPr>
            <w:tcW w:w="1276" w:type="pct"/>
          </w:tcPr>
          <w:p w14:paraId="03833A4A" w14:textId="77777777" w:rsidR="00232AF5" w:rsidRPr="00AB7D1E" w:rsidRDefault="00232AF5" w:rsidP="00433783">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 xml:space="preserve">Textile </w:t>
            </w:r>
            <w:r w:rsidRPr="00AB7D1E">
              <w:rPr>
                <w:rFonts w:eastAsia="Times New Roman"/>
                <w:sz w:val="18"/>
                <w:szCs w:val="18"/>
                <w:lang w:val="en-US"/>
              </w:rPr>
              <w:t xml:space="preserve">(old furniture, bed frames, carpets, curtains </w:t>
            </w:r>
            <w:proofErr w:type="spellStart"/>
            <w:r w:rsidRPr="00AB7D1E">
              <w:rPr>
                <w:rFonts w:eastAsia="Times New Roman"/>
                <w:sz w:val="18"/>
                <w:szCs w:val="18"/>
                <w:lang w:val="en-US"/>
              </w:rPr>
              <w:t>etc</w:t>
            </w:r>
            <w:proofErr w:type="spellEnd"/>
            <w:r w:rsidRPr="00AB7D1E">
              <w:rPr>
                <w:rFonts w:eastAsia="Times New Roman"/>
                <w:sz w:val="18"/>
                <w:szCs w:val="18"/>
                <w:lang w:val="en-US"/>
              </w:rPr>
              <w:t>)</w:t>
            </w:r>
          </w:p>
        </w:tc>
        <w:tc>
          <w:tcPr>
            <w:tcW w:w="621" w:type="pct"/>
          </w:tcPr>
          <w:p w14:paraId="5C5FE845"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20 03 07, 20 01 10, 20 01 11</w:t>
            </w:r>
          </w:p>
        </w:tc>
        <w:tc>
          <w:tcPr>
            <w:tcW w:w="621" w:type="pct"/>
          </w:tcPr>
          <w:p w14:paraId="665E9287"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552841B9" w14:textId="77777777" w:rsidR="00232AF5" w:rsidRPr="00AB7D1E" w:rsidRDefault="00232AF5" w:rsidP="00433783">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1E78517E" w14:textId="77777777" w:rsidTr="00230B13">
        <w:trPr>
          <w:trHeight w:val="271"/>
        </w:trPr>
        <w:tc>
          <w:tcPr>
            <w:tcW w:w="405" w:type="pct"/>
            <w:vMerge/>
          </w:tcPr>
          <w:p w14:paraId="1D76399D"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5B8CFFD8"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541" w:type="pct"/>
            <w:vMerge/>
          </w:tcPr>
          <w:p w14:paraId="4B3FEA11" w14:textId="77777777" w:rsidR="00232AF5" w:rsidRPr="00AB7D1E" w:rsidRDefault="00232AF5" w:rsidP="00232AF5">
            <w:pPr>
              <w:widowControl w:val="0"/>
              <w:spacing w:after="0" w:line="240" w:lineRule="auto"/>
              <w:ind w:right="323"/>
              <w:jc w:val="left"/>
              <w:rPr>
                <w:b/>
                <w:bCs/>
                <w:sz w:val="18"/>
                <w:szCs w:val="18"/>
                <w:lang w:val="en-US"/>
              </w:rPr>
            </w:pPr>
          </w:p>
        </w:tc>
        <w:tc>
          <w:tcPr>
            <w:tcW w:w="1276" w:type="pct"/>
          </w:tcPr>
          <w:p w14:paraId="6E037DE4" w14:textId="6C3AACB4"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Electrical and electronic equipment</w:t>
            </w:r>
            <w:r w:rsidRPr="00AB7D1E">
              <w:rPr>
                <w:rFonts w:eastAsia="Times New Roman"/>
                <w:bCs/>
                <w:sz w:val="18"/>
                <w:szCs w:val="18"/>
                <w:lang w:val="en-US"/>
              </w:rPr>
              <w:t xml:space="preserve"> that has not been in contact with infectious agents, hazardous chemicals, or radioactive substances (discarded computers,</w:t>
            </w:r>
            <w:r w:rsidRPr="00AB7D1E">
              <w:rPr>
                <w:rFonts w:eastAsia="Times New Roman"/>
                <w:b/>
                <w:bCs/>
                <w:sz w:val="18"/>
                <w:szCs w:val="18"/>
                <w:lang w:val="en-US"/>
              </w:rPr>
              <w:t xml:space="preserve"> </w:t>
            </w:r>
            <w:r w:rsidRPr="00AB7D1E">
              <w:rPr>
                <w:rFonts w:eastAsia="Times New Roman"/>
                <w:bCs/>
                <w:sz w:val="18"/>
                <w:szCs w:val="18"/>
                <w:lang w:val="en-US"/>
              </w:rPr>
              <w:t>hospital electrical equipment, fluorescent tubes and other mercury containing waste etc.)</w:t>
            </w:r>
          </w:p>
        </w:tc>
        <w:tc>
          <w:tcPr>
            <w:tcW w:w="621" w:type="pct"/>
          </w:tcPr>
          <w:p w14:paraId="17018D5D" w14:textId="1BBD6006"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20 01 35*, 20 01 36, 16 02 13, 16 02 14*, 20 01 21*</w:t>
            </w:r>
          </w:p>
        </w:tc>
        <w:tc>
          <w:tcPr>
            <w:tcW w:w="621" w:type="pct"/>
          </w:tcPr>
          <w:p w14:paraId="3198F43D" w14:textId="40C4B749"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 / Hazardous</w:t>
            </w:r>
          </w:p>
        </w:tc>
        <w:tc>
          <w:tcPr>
            <w:tcW w:w="688" w:type="pct"/>
          </w:tcPr>
          <w:p w14:paraId="53DE9EA0" w14:textId="698B27E2"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Recycling</w:t>
            </w:r>
          </w:p>
        </w:tc>
      </w:tr>
      <w:tr w:rsidR="00232AF5" w:rsidRPr="00AB7D1E" w14:paraId="06800219" w14:textId="77777777" w:rsidTr="00230B13">
        <w:trPr>
          <w:trHeight w:val="690"/>
        </w:trPr>
        <w:tc>
          <w:tcPr>
            <w:tcW w:w="405" w:type="pct"/>
            <w:vMerge/>
          </w:tcPr>
          <w:p w14:paraId="13A5FD7B"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61FA144D"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541" w:type="pct"/>
            <w:vMerge w:val="restart"/>
          </w:tcPr>
          <w:p w14:paraId="51E9A5CA"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A2. Compostable waste</w:t>
            </w:r>
          </w:p>
        </w:tc>
        <w:tc>
          <w:tcPr>
            <w:tcW w:w="1276" w:type="pct"/>
          </w:tcPr>
          <w:p w14:paraId="0B8A0BBB" w14:textId="3285A3E8"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b/>
                <w:bCs/>
                <w:sz w:val="18"/>
                <w:szCs w:val="18"/>
                <w:lang w:val="en-US"/>
              </w:rPr>
              <w:t xml:space="preserve">Food waste </w:t>
            </w:r>
            <w:r w:rsidRPr="00AB7D1E">
              <w:rPr>
                <w:rFonts w:eastAsia="Times New Roman"/>
                <w:sz w:val="18"/>
                <w:szCs w:val="18"/>
                <w:lang w:val="en-US"/>
              </w:rPr>
              <w:t>(leftover)</w:t>
            </w:r>
          </w:p>
        </w:tc>
        <w:tc>
          <w:tcPr>
            <w:tcW w:w="621" w:type="pct"/>
          </w:tcPr>
          <w:p w14:paraId="49F0B423"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20 01 08</w:t>
            </w:r>
          </w:p>
        </w:tc>
        <w:tc>
          <w:tcPr>
            <w:tcW w:w="621" w:type="pct"/>
          </w:tcPr>
          <w:p w14:paraId="323B8D3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31A4488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Composting / anaerobic digestion</w:t>
            </w:r>
          </w:p>
        </w:tc>
      </w:tr>
      <w:tr w:rsidR="00232AF5" w:rsidRPr="00AB7D1E" w14:paraId="3594ED04" w14:textId="77777777" w:rsidTr="00230B13">
        <w:trPr>
          <w:trHeight w:val="690"/>
        </w:trPr>
        <w:tc>
          <w:tcPr>
            <w:tcW w:w="405" w:type="pct"/>
            <w:vMerge/>
          </w:tcPr>
          <w:p w14:paraId="77DD2762"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7A3CE48B"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541" w:type="pct"/>
            <w:vMerge/>
          </w:tcPr>
          <w:p w14:paraId="0D1891C6"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1276" w:type="pct"/>
          </w:tcPr>
          <w:p w14:paraId="029D145A" w14:textId="77777777" w:rsidR="00232AF5" w:rsidRPr="00AB7D1E" w:rsidRDefault="00232AF5" w:rsidP="00232AF5">
            <w:pPr>
              <w:widowControl w:val="0"/>
              <w:spacing w:after="0" w:line="240" w:lineRule="auto"/>
              <w:ind w:right="323"/>
              <w:rPr>
                <w:rFonts w:eastAsia="Times New Roman"/>
                <w:b/>
                <w:bCs/>
                <w:sz w:val="18"/>
                <w:szCs w:val="18"/>
                <w:lang w:val="en-US"/>
              </w:rPr>
            </w:pPr>
            <w:r w:rsidRPr="00AB7D1E">
              <w:rPr>
                <w:rFonts w:eastAsia="Times New Roman"/>
                <w:b/>
                <w:bCs/>
                <w:sz w:val="18"/>
                <w:szCs w:val="18"/>
                <w:lang w:val="en-US"/>
              </w:rPr>
              <w:t xml:space="preserve">Compostable waste from parks and gardens </w:t>
            </w:r>
            <w:r w:rsidRPr="00AB7D1E">
              <w:rPr>
                <w:rFonts w:eastAsia="Times New Roman"/>
                <w:sz w:val="18"/>
                <w:szCs w:val="18"/>
                <w:lang w:val="en-US"/>
              </w:rPr>
              <w:t>(waste from maintenance of gardens and parks around the healthcare institutions)</w:t>
            </w:r>
          </w:p>
        </w:tc>
        <w:tc>
          <w:tcPr>
            <w:tcW w:w="621" w:type="pct"/>
          </w:tcPr>
          <w:p w14:paraId="5F2275BE"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20 02 01</w:t>
            </w:r>
          </w:p>
        </w:tc>
        <w:tc>
          <w:tcPr>
            <w:tcW w:w="621" w:type="pct"/>
          </w:tcPr>
          <w:p w14:paraId="480BEAF1"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0C410622"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Composting / anaerobic digestion</w:t>
            </w:r>
          </w:p>
        </w:tc>
      </w:tr>
      <w:tr w:rsidR="00232AF5" w:rsidRPr="00AB7D1E" w14:paraId="142D4367" w14:textId="77777777" w:rsidTr="00230B13">
        <w:trPr>
          <w:trHeight w:val="1384"/>
        </w:trPr>
        <w:tc>
          <w:tcPr>
            <w:tcW w:w="405" w:type="pct"/>
            <w:vMerge/>
          </w:tcPr>
          <w:p w14:paraId="2D5581CE"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44617D06" w14:textId="77777777" w:rsidR="00232AF5" w:rsidRPr="00AB7D1E" w:rsidRDefault="00232AF5" w:rsidP="00232AF5">
            <w:pPr>
              <w:widowControl w:val="0"/>
              <w:spacing w:after="0" w:line="240" w:lineRule="auto"/>
              <w:ind w:right="323"/>
              <w:jc w:val="left"/>
              <w:rPr>
                <w:rFonts w:eastAsia="Times New Roman"/>
                <w:sz w:val="18"/>
                <w:szCs w:val="18"/>
                <w:lang w:val="en-US"/>
              </w:rPr>
            </w:pPr>
          </w:p>
        </w:tc>
        <w:tc>
          <w:tcPr>
            <w:tcW w:w="541" w:type="pct"/>
          </w:tcPr>
          <w:p w14:paraId="6B062A11" w14:textId="1F9EEF5C"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A3. Other non-risk waste</w:t>
            </w:r>
          </w:p>
        </w:tc>
        <w:tc>
          <w:tcPr>
            <w:tcW w:w="1276" w:type="pct"/>
          </w:tcPr>
          <w:p w14:paraId="6688B4AD" w14:textId="6A8BD60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All the non-risk waste that do not belong to above mentioned two categories (</w:t>
            </w:r>
            <w:proofErr w:type="spellStart"/>
            <w:r w:rsidRPr="00AB7D1E">
              <w:rPr>
                <w:rFonts w:eastAsia="Times New Roman"/>
                <w:sz w:val="18"/>
                <w:szCs w:val="18"/>
                <w:lang w:val="en-US"/>
              </w:rPr>
              <w:t>eg</w:t>
            </w:r>
            <w:proofErr w:type="spellEnd"/>
            <w:r w:rsidRPr="00AB7D1E">
              <w:rPr>
                <w:rFonts w:eastAsia="Times New Roman"/>
                <w:sz w:val="18"/>
                <w:szCs w:val="18"/>
                <w:lang w:val="en-US"/>
              </w:rPr>
              <w:t xml:space="preserve"> mixed municipal waste, PEE (masks, gloves) from waiting rooms etc.), sludge from wastewater treatment, grease and oil mixture from oil/water separation containing edible oils and fats etc.</w:t>
            </w:r>
          </w:p>
        </w:tc>
        <w:tc>
          <w:tcPr>
            <w:tcW w:w="621" w:type="pct"/>
          </w:tcPr>
          <w:p w14:paraId="25883D45" w14:textId="7A2DABE9"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20 03 01, 19 08 05, 19 08 09, 20 03 07 and other appropriate waste codes from Waste Catalogue (mostly from sub-group 15 01 and group 20 of waste catalogue) related to waste that has not been in contact with infectious agents, hazardous chemicals, or radioactive substances.</w:t>
            </w:r>
          </w:p>
        </w:tc>
        <w:tc>
          <w:tcPr>
            <w:tcW w:w="621" w:type="pct"/>
          </w:tcPr>
          <w:p w14:paraId="76A35389" w14:textId="01C8D721"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Non-hazardous/Hazardous</w:t>
            </w:r>
          </w:p>
        </w:tc>
        <w:tc>
          <w:tcPr>
            <w:tcW w:w="688" w:type="pct"/>
          </w:tcPr>
          <w:p w14:paraId="72C895F1"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Priority must be given to reuse/ recycling / recovery process. If it isn’t applicable, disposal operation is unavoidable.</w:t>
            </w:r>
          </w:p>
        </w:tc>
      </w:tr>
      <w:tr w:rsidR="00232AF5" w:rsidRPr="00AB7D1E" w14:paraId="2D1A6831" w14:textId="77777777" w:rsidTr="00230B13">
        <w:trPr>
          <w:trHeight w:val="576"/>
        </w:trPr>
        <w:tc>
          <w:tcPr>
            <w:tcW w:w="405" w:type="pct"/>
            <w:vMerge w:val="restart"/>
          </w:tcPr>
          <w:p w14:paraId="277F7BD8" w14:textId="77777777" w:rsidR="00232AF5" w:rsidRPr="00AB7D1E" w:rsidRDefault="00232AF5" w:rsidP="00BE60A0">
            <w:pPr>
              <w:pStyle w:val="ListParagraph"/>
              <w:widowControl w:val="0"/>
              <w:numPr>
                <w:ilvl w:val="0"/>
                <w:numId w:val="55"/>
              </w:numPr>
              <w:spacing w:after="0" w:line="240" w:lineRule="auto"/>
              <w:ind w:left="306" w:right="323"/>
              <w:contextualSpacing/>
              <w:rPr>
                <w:rFonts w:eastAsia="Times New Roman"/>
                <w:b/>
                <w:bCs/>
                <w:sz w:val="18"/>
                <w:szCs w:val="18"/>
                <w:lang w:val="en-US"/>
              </w:rPr>
            </w:pPr>
            <w:r w:rsidRPr="00AB7D1E">
              <w:rPr>
                <w:rFonts w:eastAsia="Times New Roman"/>
                <w:b/>
                <w:bCs/>
                <w:sz w:val="18"/>
                <w:szCs w:val="18"/>
                <w:lang w:val="en-US"/>
              </w:rPr>
              <w:t>Biological (infectious) risks</w:t>
            </w:r>
          </w:p>
        </w:tc>
        <w:tc>
          <w:tcPr>
            <w:tcW w:w="848" w:type="pct"/>
            <w:vMerge w:val="restart"/>
          </w:tcPr>
          <w:p w14:paraId="60BED48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 xml:space="preserve">Healthcare wastes that are suspected to contain pathogens (or their toxins) in </w:t>
            </w:r>
            <w:proofErr w:type="gramStart"/>
            <w:r w:rsidRPr="00AB7D1E">
              <w:rPr>
                <w:rFonts w:eastAsia="Times New Roman"/>
                <w:sz w:val="18"/>
                <w:szCs w:val="18"/>
                <w:lang w:val="en-US"/>
              </w:rPr>
              <w:t>sufficient</w:t>
            </w:r>
            <w:proofErr w:type="gramEnd"/>
            <w:r w:rsidRPr="00AB7D1E">
              <w:rPr>
                <w:rFonts w:eastAsia="Times New Roman"/>
                <w:sz w:val="18"/>
                <w:szCs w:val="18"/>
                <w:lang w:val="en-US"/>
              </w:rPr>
              <w:t xml:space="preserve"> concentration to cause diseases to a potential host after exposure.</w:t>
            </w:r>
          </w:p>
        </w:tc>
        <w:tc>
          <w:tcPr>
            <w:tcW w:w="541" w:type="pct"/>
          </w:tcPr>
          <w:p w14:paraId="13EB13D6"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B1. Sharps waste</w:t>
            </w:r>
          </w:p>
        </w:tc>
        <w:tc>
          <w:tcPr>
            <w:tcW w:w="1276" w:type="pct"/>
          </w:tcPr>
          <w:p w14:paraId="3C64AA58"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Syringes, needles, disposable scalpels and blades</w:t>
            </w:r>
          </w:p>
        </w:tc>
        <w:tc>
          <w:tcPr>
            <w:tcW w:w="621" w:type="pct"/>
          </w:tcPr>
          <w:p w14:paraId="7CE7D53F"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18 01 01</w:t>
            </w:r>
          </w:p>
        </w:tc>
        <w:tc>
          <w:tcPr>
            <w:tcW w:w="621" w:type="pct"/>
          </w:tcPr>
          <w:p w14:paraId="64ECC593"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6A64839F"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Physical procedures of dry or steam sterilization, and in the absence of a device, other procedures can be applied to achieve the removal of microorganisms.</w:t>
            </w:r>
          </w:p>
        </w:tc>
      </w:tr>
      <w:tr w:rsidR="00232AF5" w:rsidRPr="00AB7D1E" w14:paraId="2FFDF27C" w14:textId="77777777" w:rsidTr="00230B13">
        <w:trPr>
          <w:trHeight w:val="576"/>
        </w:trPr>
        <w:tc>
          <w:tcPr>
            <w:tcW w:w="405" w:type="pct"/>
            <w:vMerge/>
          </w:tcPr>
          <w:p w14:paraId="691BFC2F" w14:textId="77777777" w:rsidR="00232AF5" w:rsidRPr="00AB7D1E" w:rsidRDefault="00232AF5" w:rsidP="00232AF5">
            <w:pPr>
              <w:widowControl w:val="0"/>
              <w:spacing w:after="0" w:line="240" w:lineRule="auto"/>
              <w:ind w:right="323"/>
              <w:rPr>
                <w:rFonts w:eastAsia="Times New Roman"/>
                <w:b/>
                <w:bCs/>
                <w:sz w:val="18"/>
                <w:szCs w:val="18"/>
                <w:lang w:val="en-US"/>
              </w:rPr>
            </w:pPr>
          </w:p>
        </w:tc>
        <w:tc>
          <w:tcPr>
            <w:tcW w:w="848" w:type="pct"/>
            <w:vMerge/>
          </w:tcPr>
          <w:p w14:paraId="71A695DA"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1ECFB2ED"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B2. Infectious waste</w:t>
            </w:r>
          </w:p>
        </w:tc>
        <w:tc>
          <w:tcPr>
            <w:tcW w:w="1276" w:type="pct"/>
          </w:tcPr>
          <w:p w14:paraId="210FE2C6" w14:textId="3E2AEB86"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Waste contaminated with blood (e.g. from discarded diagnostic samples), cultures and stocks of infectious agents from laboratory work (e.g. waste from autopsies), PPE (personal protective equipment) from staff, or waste from patients with infections (e.g. swabs, bandages and disposable medical devices</w:t>
            </w:r>
            <w:r w:rsidR="002A580E">
              <w:rPr>
                <w:rFonts w:eastAsia="Times New Roman"/>
                <w:sz w:val="18"/>
                <w:szCs w:val="18"/>
                <w:lang w:val="en-US"/>
              </w:rPr>
              <w:t>, used swab kits</w:t>
            </w:r>
            <w:r w:rsidRPr="00AB7D1E">
              <w:rPr>
                <w:rFonts w:eastAsia="Times New Roman"/>
                <w:sz w:val="18"/>
                <w:szCs w:val="18"/>
                <w:lang w:val="en-US"/>
              </w:rPr>
              <w:t>)</w:t>
            </w:r>
          </w:p>
        </w:tc>
        <w:tc>
          <w:tcPr>
            <w:tcW w:w="621" w:type="pct"/>
          </w:tcPr>
          <w:p w14:paraId="797B940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03*</w:t>
            </w:r>
          </w:p>
        </w:tc>
        <w:tc>
          <w:tcPr>
            <w:tcW w:w="621" w:type="pct"/>
          </w:tcPr>
          <w:p w14:paraId="14E9CE8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68A57ECA"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Physical procedures of dry or steam sterilization, and in the absence of a device, other procedures can be applied to achieve the removal of microorganisms.</w:t>
            </w:r>
          </w:p>
        </w:tc>
      </w:tr>
      <w:tr w:rsidR="00232AF5" w:rsidRPr="00AB7D1E" w14:paraId="049CE3ED" w14:textId="77777777" w:rsidTr="00230B13">
        <w:trPr>
          <w:trHeight w:val="576"/>
        </w:trPr>
        <w:tc>
          <w:tcPr>
            <w:tcW w:w="405" w:type="pct"/>
            <w:vMerge/>
          </w:tcPr>
          <w:p w14:paraId="3C4C567D" w14:textId="77777777" w:rsidR="00232AF5" w:rsidRPr="00AB7D1E" w:rsidRDefault="00232AF5" w:rsidP="00232AF5">
            <w:pPr>
              <w:widowControl w:val="0"/>
              <w:spacing w:after="0" w:line="240" w:lineRule="auto"/>
              <w:ind w:right="323"/>
              <w:rPr>
                <w:rFonts w:eastAsia="Times New Roman"/>
                <w:b/>
                <w:bCs/>
                <w:sz w:val="18"/>
                <w:szCs w:val="18"/>
                <w:lang w:val="en-US"/>
              </w:rPr>
            </w:pPr>
          </w:p>
        </w:tc>
        <w:tc>
          <w:tcPr>
            <w:tcW w:w="848" w:type="pct"/>
            <w:vMerge/>
          </w:tcPr>
          <w:p w14:paraId="579ED246"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02F5B19B"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B3. Pathological waste</w:t>
            </w:r>
          </w:p>
        </w:tc>
        <w:tc>
          <w:tcPr>
            <w:tcW w:w="1276" w:type="pct"/>
          </w:tcPr>
          <w:p w14:paraId="26AB498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Body parts, human tissue, organs or fluids</w:t>
            </w:r>
          </w:p>
        </w:tc>
        <w:tc>
          <w:tcPr>
            <w:tcW w:w="621" w:type="pct"/>
          </w:tcPr>
          <w:p w14:paraId="14314938"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18 01 02</w:t>
            </w:r>
          </w:p>
        </w:tc>
        <w:tc>
          <w:tcPr>
            <w:tcW w:w="621" w:type="pct"/>
          </w:tcPr>
          <w:p w14:paraId="41D2AD27"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Non-hazardous</w:t>
            </w:r>
          </w:p>
        </w:tc>
        <w:tc>
          <w:tcPr>
            <w:tcW w:w="688" w:type="pct"/>
          </w:tcPr>
          <w:p w14:paraId="4A4999C4"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Cremation in crematoria or burial in cemeteries</w:t>
            </w:r>
          </w:p>
        </w:tc>
      </w:tr>
      <w:tr w:rsidR="00232AF5" w:rsidRPr="00AB7D1E" w14:paraId="634ABE4E" w14:textId="77777777" w:rsidTr="00230B13">
        <w:trPr>
          <w:trHeight w:val="576"/>
        </w:trPr>
        <w:tc>
          <w:tcPr>
            <w:tcW w:w="405" w:type="pct"/>
            <w:vMerge/>
          </w:tcPr>
          <w:p w14:paraId="11E0A7E8" w14:textId="77777777" w:rsidR="00232AF5" w:rsidRPr="00AB7D1E" w:rsidRDefault="00232AF5" w:rsidP="00232AF5">
            <w:pPr>
              <w:widowControl w:val="0"/>
              <w:spacing w:after="0" w:line="240" w:lineRule="auto"/>
              <w:ind w:right="323"/>
              <w:rPr>
                <w:rFonts w:eastAsia="Times New Roman"/>
                <w:b/>
                <w:bCs/>
                <w:sz w:val="18"/>
                <w:szCs w:val="18"/>
                <w:lang w:val="en-US"/>
              </w:rPr>
            </w:pPr>
          </w:p>
        </w:tc>
        <w:tc>
          <w:tcPr>
            <w:tcW w:w="848" w:type="pct"/>
            <w:vMerge/>
          </w:tcPr>
          <w:p w14:paraId="72963A95"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08525507"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B4. Amalgam waste from dental care</w:t>
            </w:r>
          </w:p>
        </w:tc>
        <w:tc>
          <w:tcPr>
            <w:tcW w:w="1276" w:type="pct"/>
          </w:tcPr>
          <w:p w14:paraId="59949A6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Amalgam waste from dental care</w:t>
            </w:r>
          </w:p>
        </w:tc>
        <w:tc>
          <w:tcPr>
            <w:tcW w:w="621" w:type="pct"/>
          </w:tcPr>
          <w:p w14:paraId="34F519DF"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10*</w:t>
            </w:r>
          </w:p>
        </w:tc>
        <w:tc>
          <w:tcPr>
            <w:tcW w:w="621" w:type="pct"/>
          </w:tcPr>
          <w:p w14:paraId="39EE446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04C3B6D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Prior to permanent disposal</w:t>
            </w:r>
            <w:r w:rsidRPr="00AB7D1E">
              <w:rPr>
                <w:rStyle w:val="FootnoteReference"/>
                <w:rFonts w:eastAsia="Times New Roman"/>
                <w:sz w:val="18"/>
                <w:szCs w:val="18"/>
                <w:lang w:val="en-US"/>
              </w:rPr>
              <w:footnoteReference w:id="122"/>
            </w:r>
            <w:r w:rsidRPr="00AB7D1E">
              <w:rPr>
                <w:rFonts w:eastAsia="Times New Roman"/>
                <w:sz w:val="18"/>
                <w:szCs w:val="18"/>
                <w:lang w:val="en-US"/>
              </w:rPr>
              <w:t xml:space="preserve">, waste mercury undergoes conversion and, if intended for disposal in above-ground facilities, conversion and solidification. </w:t>
            </w:r>
          </w:p>
        </w:tc>
      </w:tr>
      <w:tr w:rsidR="00232AF5" w:rsidRPr="00AB7D1E" w14:paraId="3746D1BF" w14:textId="77777777" w:rsidTr="00230B13">
        <w:trPr>
          <w:trHeight w:val="220"/>
        </w:trPr>
        <w:tc>
          <w:tcPr>
            <w:tcW w:w="405" w:type="pct"/>
            <w:vMerge w:val="restart"/>
          </w:tcPr>
          <w:p w14:paraId="4573B2DE" w14:textId="77777777" w:rsidR="00232AF5" w:rsidRPr="00AB7D1E" w:rsidRDefault="00232AF5" w:rsidP="00BE60A0">
            <w:pPr>
              <w:pStyle w:val="ListParagraph"/>
              <w:widowControl w:val="0"/>
              <w:numPr>
                <w:ilvl w:val="0"/>
                <w:numId w:val="55"/>
              </w:numPr>
              <w:spacing w:after="0" w:line="240" w:lineRule="auto"/>
              <w:ind w:left="306" w:right="323"/>
              <w:contextualSpacing/>
              <w:rPr>
                <w:rFonts w:eastAsia="Times New Roman"/>
                <w:b/>
                <w:bCs/>
                <w:sz w:val="18"/>
                <w:szCs w:val="18"/>
                <w:lang w:val="en-US"/>
              </w:rPr>
            </w:pPr>
            <w:r w:rsidRPr="00AB7D1E">
              <w:rPr>
                <w:rFonts w:eastAsia="Times New Roman"/>
                <w:b/>
                <w:bCs/>
                <w:sz w:val="18"/>
                <w:szCs w:val="18"/>
                <w:lang w:val="en-US"/>
              </w:rPr>
              <w:t>Chemical risks</w:t>
            </w:r>
          </w:p>
        </w:tc>
        <w:tc>
          <w:tcPr>
            <w:tcW w:w="848" w:type="pct"/>
            <w:vMerge w:val="restart"/>
          </w:tcPr>
          <w:p w14:paraId="02A1C425"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Discarded solid, liquid and gaseous chemicals from diagnostic and experimental work and from cleaning and disinfection.</w:t>
            </w:r>
          </w:p>
        </w:tc>
        <w:tc>
          <w:tcPr>
            <w:tcW w:w="541" w:type="pct"/>
          </w:tcPr>
          <w:p w14:paraId="12EE7C96"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C1. Pharmaceutical waste</w:t>
            </w:r>
          </w:p>
        </w:tc>
        <w:tc>
          <w:tcPr>
            <w:tcW w:w="1276" w:type="pct"/>
          </w:tcPr>
          <w:p w14:paraId="622E425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Expired drugs, expired vaccines</w:t>
            </w:r>
          </w:p>
        </w:tc>
        <w:tc>
          <w:tcPr>
            <w:tcW w:w="621" w:type="pct"/>
          </w:tcPr>
          <w:p w14:paraId="23B4B949"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18 01 09</w:t>
            </w:r>
          </w:p>
        </w:tc>
        <w:tc>
          <w:tcPr>
            <w:tcW w:w="621" w:type="pct"/>
          </w:tcPr>
          <w:p w14:paraId="6734F4A4"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759A3096"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Incineration (D10) / Energy recovery (R1)</w:t>
            </w:r>
          </w:p>
        </w:tc>
      </w:tr>
      <w:tr w:rsidR="00232AF5" w:rsidRPr="00AB7D1E" w14:paraId="12D4FD9E" w14:textId="77777777" w:rsidTr="00230B13">
        <w:trPr>
          <w:trHeight w:val="220"/>
        </w:trPr>
        <w:tc>
          <w:tcPr>
            <w:tcW w:w="405" w:type="pct"/>
            <w:vMerge/>
          </w:tcPr>
          <w:p w14:paraId="32E94B8D" w14:textId="77777777" w:rsidR="00232AF5" w:rsidRPr="00AB7D1E" w:rsidRDefault="00232AF5" w:rsidP="00232AF5">
            <w:pPr>
              <w:widowControl w:val="0"/>
              <w:spacing w:after="0" w:line="240" w:lineRule="auto"/>
              <w:ind w:right="323"/>
              <w:rPr>
                <w:rFonts w:eastAsia="Times New Roman"/>
                <w:b/>
                <w:bCs/>
                <w:sz w:val="18"/>
                <w:szCs w:val="18"/>
                <w:lang w:val="en-US"/>
              </w:rPr>
            </w:pPr>
          </w:p>
        </w:tc>
        <w:tc>
          <w:tcPr>
            <w:tcW w:w="848" w:type="pct"/>
            <w:vMerge/>
          </w:tcPr>
          <w:p w14:paraId="3B043EC8"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2CE96157"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C2. Cytotoxic waste</w:t>
            </w:r>
          </w:p>
        </w:tc>
        <w:tc>
          <w:tcPr>
            <w:tcW w:w="1276" w:type="pct"/>
          </w:tcPr>
          <w:p w14:paraId="1048028D"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Waste containing substances with genotoxic properties (i.e. highly hazardous substances that are, mutagenic, teratogenic or carcinogenic), such as cytotoxic drugs used in cancer treatment and their metabolites</w:t>
            </w:r>
          </w:p>
        </w:tc>
        <w:tc>
          <w:tcPr>
            <w:tcW w:w="621" w:type="pct"/>
          </w:tcPr>
          <w:p w14:paraId="35969AB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08*</w:t>
            </w:r>
          </w:p>
        </w:tc>
        <w:tc>
          <w:tcPr>
            <w:tcW w:w="621" w:type="pct"/>
          </w:tcPr>
          <w:p w14:paraId="6DB92601"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72F3ECE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Incineration (D10) / Energy recovery(R1)</w:t>
            </w:r>
          </w:p>
        </w:tc>
      </w:tr>
      <w:tr w:rsidR="00232AF5" w:rsidRPr="00AB7D1E" w14:paraId="7A46F1C7" w14:textId="77777777" w:rsidTr="00230B13">
        <w:trPr>
          <w:trHeight w:val="220"/>
        </w:trPr>
        <w:tc>
          <w:tcPr>
            <w:tcW w:w="405" w:type="pct"/>
            <w:vMerge/>
          </w:tcPr>
          <w:p w14:paraId="10124ED3"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29669F83"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61023A88"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C3. Chemical waste</w:t>
            </w:r>
          </w:p>
        </w:tc>
        <w:tc>
          <w:tcPr>
            <w:tcW w:w="1276" w:type="pct"/>
          </w:tcPr>
          <w:p w14:paraId="2D8C5A5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 xml:space="preserve">Solvents and reagents used for laboratory preparations, disinfectants, </w:t>
            </w:r>
            <w:proofErr w:type="spellStart"/>
            <w:r w:rsidRPr="00AB7D1E">
              <w:rPr>
                <w:rFonts w:eastAsia="Times New Roman"/>
                <w:sz w:val="18"/>
                <w:szCs w:val="18"/>
                <w:lang w:val="en-US"/>
              </w:rPr>
              <w:t>sterilants</w:t>
            </w:r>
            <w:proofErr w:type="spellEnd"/>
            <w:r w:rsidRPr="00AB7D1E">
              <w:rPr>
                <w:rFonts w:eastAsia="Times New Roman"/>
                <w:sz w:val="18"/>
                <w:szCs w:val="18"/>
                <w:lang w:val="en-US"/>
              </w:rPr>
              <w:t xml:space="preserve"> and heavy metals contained in medical devices (e.g. mercury in broken thermometers), and batteries</w:t>
            </w:r>
          </w:p>
        </w:tc>
        <w:tc>
          <w:tcPr>
            <w:tcW w:w="621" w:type="pct"/>
          </w:tcPr>
          <w:p w14:paraId="7C7344EC"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18 01 06*, 18 01 07</w:t>
            </w:r>
          </w:p>
        </w:tc>
        <w:tc>
          <w:tcPr>
            <w:tcW w:w="621" w:type="pct"/>
          </w:tcPr>
          <w:p w14:paraId="6D281934"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Hazardous</w:t>
            </w:r>
          </w:p>
        </w:tc>
        <w:tc>
          <w:tcPr>
            <w:tcW w:w="688" w:type="pct"/>
          </w:tcPr>
          <w:p w14:paraId="365BC951"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Incineration (D10) / Energy recovery (R1)</w:t>
            </w:r>
          </w:p>
        </w:tc>
      </w:tr>
      <w:tr w:rsidR="00232AF5" w:rsidRPr="00AB7D1E" w14:paraId="4B3798B5" w14:textId="77777777" w:rsidTr="00230B13">
        <w:trPr>
          <w:trHeight w:val="220"/>
        </w:trPr>
        <w:tc>
          <w:tcPr>
            <w:tcW w:w="405" w:type="pct"/>
            <w:vMerge/>
          </w:tcPr>
          <w:p w14:paraId="0EB658D4" w14:textId="77777777" w:rsidR="00232AF5" w:rsidRPr="00AB7D1E" w:rsidRDefault="00232AF5" w:rsidP="00232AF5">
            <w:pPr>
              <w:widowControl w:val="0"/>
              <w:spacing w:after="0" w:line="240" w:lineRule="auto"/>
              <w:ind w:right="323"/>
              <w:rPr>
                <w:rFonts w:eastAsia="Times New Roman"/>
                <w:sz w:val="18"/>
                <w:szCs w:val="18"/>
                <w:lang w:val="en-US"/>
              </w:rPr>
            </w:pPr>
          </w:p>
        </w:tc>
        <w:tc>
          <w:tcPr>
            <w:tcW w:w="848" w:type="pct"/>
            <w:vMerge/>
          </w:tcPr>
          <w:p w14:paraId="047A8879" w14:textId="77777777" w:rsidR="00232AF5" w:rsidRPr="00AB7D1E" w:rsidRDefault="00232AF5" w:rsidP="00232AF5">
            <w:pPr>
              <w:widowControl w:val="0"/>
              <w:spacing w:after="0" w:line="240" w:lineRule="auto"/>
              <w:ind w:right="323"/>
              <w:rPr>
                <w:rFonts w:eastAsia="Times New Roman"/>
                <w:sz w:val="18"/>
                <w:szCs w:val="18"/>
                <w:lang w:val="en-US"/>
              </w:rPr>
            </w:pPr>
          </w:p>
        </w:tc>
        <w:tc>
          <w:tcPr>
            <w:tcW w:w="541" w:type="pct"/>
          </w:tcPr>
          <w:p w14:paraId="6BD23A0F" w14:textId="77777777" w:rsidR="00232AF5" w:rsidRPr="00AB7D1E" w:rsidRDefault="00232AF5" w:rsidP="00232AF5">
            <w:pPr>
              <w:widowControl w:val="0"/>
              <w:spacing w:after="0" w:line="240" w:lineRule="auto"/>
              <w:ind w:right="323"/>
              <w:jc w:val="left"/>
              <w:rPr>
                <w:rFonts w:eastAsia="Times New Roman"/>
                <w:b/>
                <w:bCs/>
                <w:sz w:val="18"/>
                <w:szCs w:val="18"/>
                <w:lang w:val="en-US"/>
              </w:rPr>
            </w:pPr>
            <w:r w:rsidRPr="00AB7D1E">
              <w:rPr>
                <w:rFonts w:eastAsia="Times New Roman"/>
                <w:b/>
                <w:bCs/>
                <w:sz w:val="18"/>
                <w:szCs w:val="18"/>
                <w:lang w:val="en-US"/>
              </w:rPr>
              <w:t>C4. Radioactive waste</w:t>
            </w:r>
          </w:p>
        </w:tc>
        <w:tc>
          <w:tcPr>
            <w:tcW w:w="1276" w:type="pct"/>
          </w:tcPr>
          <w:p w14:paraId="7B0A42D0"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Products contaminated by radionuclides including radioactive diagnostic material or radiotherapeutic materials (radionuclides, vials with radioactive residues)</w:t>
            </w:r>
            <w:r w:rsidRPr="00AB7D1E">
              <w:rPr>
                <w:rFonts w:eastAsia="Times New Roman"/>
                <w:sz w:val="18"/>
                <w:szCs w:val="18"/>
                <w:lang w:val="en-US"/>
              </w:rPr>
              <w:cr/>
              <w:t>.</w:t>
            </w:r>
          </w:p>
        </w:tc>
        <w:tc>
          <w:tcPr>
            <w:tcW w:w="621" w:type="pct"/>
          </w:tcPr>
          <w:p w14:paraId="53B21F05"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Radioactive waste falls under the scope of the Act on radiological and nuclear safety</w:t>
            </w:r>
            <w:r w:rsidRPr="00AB7D1E">
              <w:rPr>
                <w:rStyle w:val="FootnoteReference"/>
                <w:rFonts w:eastAsia="Times New Roman"/>
                <w:sz w:val="18"/>
                <w:szCs w:val="18"/>
                <w:lang w:val="en-US"/>
              </w:rPr>
              <w:footnoteReference w:id="123"/>
            </w:r>
            <w:r w:rsidRPr="00AB7D1E">
              <w:rPr>
                <w:rFonts w:eastAsia="Times New Roman"/>
                <w:sz w:val="18"/>
                <w:szCs w:val="18"/>
                <w:lang w:val="en-US"/>
              </w:rPr>
              <w:t xml:space="preserve"> but not under the waste legislation. </w:t>
            </w:r>
          </w:p>
          <w:p w14:paraId="735CED96" w14:textId="15DD2672"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 xml:space="preserve">Therefore, it </w:t>
            </w:r>
            <w:proofErr w:type="spellStart"/>
            <w:r w:rsidRPr="00AB7D1E">
              <w:rPr>
                <w:rFonts w:eastAsia="Times New Roman"/>
                <w:sz w:val="18"/>
                <w:szCs w:val="18"/>
                <w:lang w:val="en-US"/>
              </w:rPr>
              <w:t>can not</w:t>
            </w:r>
            <w:proofErr w:type="spellEnd"/>
            <w:r w:rsidRPr="00AB7D1E">
              <w:rPr>
                <w:rFonts w:eastAsia="Times New Roman"/>
                <w:sz w:val="18"/>
                <w:szCs w:val="18"/>
                <w:lang w:val="en-US"/>
              </w:rPr>
              <w:t xml:space="preserve"> be classified by any waste code.</w:t>
            </w:r>
          </w:p>
        </w:tc>
        <w:tc>
          <w:tcPr>
            <w:tcW w:w="621" w:type="pct"/>
          </w:tcPr>
          <w:p w14:paraId="4F138D7A"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Not applicable</w:t>
            </w:r>
          </w:p>
        </w:tc>
        <w:tc>
          <w:tcPr>
            <w:tcW w:w="688" w:type="pct"/>
          </w:tcPr>
          <w:p w14:paraId="3C275012" w14:textId="77777777" w:rsidR="00232AF5" w:rsidRPr="00AB7D1E" w:rsidRDefault="00232AF5" w:rsidP="00232AF5">
            <w:pPr>
              <w:widowControl w:val="0"/>
              <w:spacing w:after="0" w:line="240" w:lineRule="auto"/>
              <w:ind w:right="323"/>
              <w:rPr>
                <w:rFonts w:eastAsia="Times New Roman"/>
                <w:sz w:val="18"/>
                <w:szCs w:val="18"/>
                <w:lang w:val="en-US"/>
              </w:rPr>
            </w:pPr>
            <w:r w:rsidRPr="00AB7D1E">
              <w:rPr>
                <w:rFonts w:eastAsia="Times New Roman"/>
                <w:sz w:val="18"/>
                <w:szCs w:val="18"/>
                <w:lang w:val="en-US"/>
              </w:rPr>
              <w:t>Since it is about low radioactive waste</w:t>
            </w:r>
            <w:r w:rsidRPr="00AB7D1E">
              <w:rPr>
                <w:rStyle w:val="FootnoteReference"/>
                <w:rFonts w:eastAsia="Times New Roman"/>
                <w:sz w:val="18"/>
                <w:szCs w:val="18"/>
                <w:lang w:val="en-US"/>
              </w:rPr>
              <w:footnoteReference w:id="124"/>
            </w:r>
            <w:r w:rsidRPr="00AB7D1E">
              <w:rPr>
                <w:rFonts w:eastAsia="Times New Roman"/>
                <w:sz w:val="18"/>
                <w:szCs w:val="18"/>
                <w:lang w:val="en-US"/>
              </w:rPr>
              <w:t>, required treatment process is storage in a specially designed building with appropriate characteristics and then disposal in a surface or underground landfill</w:t>
            </w:r>
            <w:r w:rsidRPr="00AB7D1E">
              <w:rPr>
                <w:rStyle w:val="FootnoteReference"/>
                <w:rFonts w:eastAsia="Times New Roman"/>
                <w:sz w:val="18"/>
                <w:szCs w:val="18"/>
                <w:lang w:val="en-US"/>
              </w:rPr>
              <w:footnoteReference w:id="125"/>
            </w:r>
            <w:r w:rsidRPr="00AB7D1E">
              <w:rPr>
                <w:rFonts w:eastAsia="Times New Roman"/>
                <w:sz w:val="18"/>
                <w:szCs w:val="18"/>
                <w:lang w:val="en-US"/>
              </w:rPr>
              <w:t>.</w:t>
            </w:r>
          </w:p>
        </w:tc>
      </w:tr>
    </w:tbl>
    <w:p w14:paraId="2EEA2D40" w14:textId="77777777" w:rsidR="0002353F" w:rsidRPr="00AB7D1E" w:rsidRDefault="0002353F" w:rsidP="0002353F">
      <w:pPr>
        <w:widowControl w:val="0"/>
        <w:spacing w:after="0" w:line="240" w:lineRule="auto"/>
        <w:ind w:right="323"/>
        <w:rPr>
          <w:rFonts w:eastAsia="Times New Roman"/>
          <w:lang w:val="en-US"/>
        </w:rPr>
        <w:sectPr w:rsidR="0002353F" w:rsidRPr="00AB7D1E" w:rsidSect="00433783">
          <w:pgSz w:w="23811" w:h="16838" w:orient="landscape" w:code="8"/>
          <w:pgMar w:top="1440" w:right="1440" w:bottom="1440" w:left="1440" w:header="708" w:footer="708" w:gutter="0"/>
          <w:cols w:space="708"/>
          <w:docGrid w:linePitch="360"/>
        </w:sectPr>
      </w:pPr>
    </w:p>
    <w:p w14:paraId="68D6AD64" w14:textId="6543B7CD" w:rsidR="0002353F" w:rsidRPr="00AB7D1E" w:rsidRDefault="0002353F" w:rsidP="0002353F">
      <w:pPr>
        <w:rPr>
          <w:b/>
          <w:bCs/>
          <w:u w:val="single"/>
          <w:lang w:val="en-US"/>
        </w:rPr>
      </w:pPr>
      <w:r w:rsidRPr="00AB7D1E">
        <w:rPr>
          <w:b/>
          <w:bCs/>
          <w:u w:val="single"/>
          <w:lang w:val="en-US"/>
        </w:rPr>
        <w:lastRenderedPageBreak/>
        <w:t>Management of waste from healthcare institutions</w:t>
      </w:r>
    </w:p>
    <w:p w14:paraId="0EC6B790" w14:textId="7BF9406D" w:rsidR="0002353F" w:rsidRPr="00AB7D1E" w:rsidRDefault="0002353F" w:rsidP="0002353F">
      <w:pPr>
        <w:rPr>
          <w:lang w:val="en-US"/>
        </w:rPr>
      </w:pPr>
      <w:r w:rsidRPr="00AB7D1E">
        <w:rPr>
          <w:lang w:val="en-US"/>
        </w:rPr>
        <w:t xml:space="preserve">In </w:t>
      </w:r>
      <w:r w:rsidR="00625BA4" w:rsidRPr="00AB7D1E">
        <w:rPr>
          <w:lang w:val="en-US"/>
        </w:rPr>
        <w:t xml:space="preserve">the Republic of </w:t>
      </w:r>
      <w:r w:rsidRPr="00AB7D1E">
        <w:rPr>
          <w:lang w:val="en-US"/>
        </w:rPr>
        <w:t>Croatia, management of waste from healthcare institutions is regulated by waste legislation</w:t>
      </w:r>
      <w:r w:rsidR="00230B13" w:rsidRPr="00AB7D1E">
        <w:rPr>
          <w:lang w:val="en-US"/>
        </w:rPr>
        <w:t>,</w:t>
      </w:r>
      <w:r w:rsidRPr="00AB7D1E">
        <w:rPr>
          <w:lang w:val="en-US"/>
        </w:rPr>
        <w:t xml:space="preserve"> excluding the radioactive waste which falls under the scope of radiological and nuclear safety legislation. Responsible bodies for establishment of medical waste management </w:t>
      </w:r>
      <w:bookmarkStart w:id="167" w:name="_Hlk48845958"/>
      <w:r w:rsidRPr="00AB7D1E">
        <w:rPr>
          <w:lang w:val="en-US"/>
        </w:rPr>
        <w:t xml:space="preserve">system are </w:t>
      </w:r>
      <w:proofErr w:type="spellStart"/>
      <w:r w:rsidRPr="00AB7D1E">
        <w:rPr>
          <w:lang w:val="en-US"/>
        </w:rPr>
        <w:t>MoESD</w:t>
      </w:r>
      <w:proofErr w:type="spellEnd"/>
      <w:r w:rsidRPr="00AB7D1E">
        <w:rPr>
          <w:lang w:val="en-US"/>
        </w:rPr>
        <w:t xml:space="preserve"> for medical waste and </w:t>
      </w:r>
      <w:r w:rsidR="009E4323" w:rsidRPr="00AB7D1E">
        <w:rPr>
          <w:lang w:val="en-US"/>
        </w:rPr>
        <w:t>Ministry of Interior (</w:t>
      </w:r>
      <w:proofErr w:type="spellStart"/>
      <w:r w:rsidRPr="00AB7D1E">
        <w:rPr>
          <w:lang w:val="en-US"/>
        </w:rPr>
        <w:t>Mo</w:t>
      </w:r>
      <w:r w:rsidR="006213C6" w:rsidRPr="00AB7D1E">
        <w:rPr>
          <w:lang w:val="en-US"/>
        </w:rPr>
        <w:t>I</w:t>
      </w:r>
      <w:proofErr w:type="spellEnd"/>
      <w:r w:rsidR="009E4323" w:rsidRPr="00AB7D1E">
        <w:rPr>
          <w:lang w:val="en-US"/>
        </w:rPr>
        <w:t>)</w:t>
      </w:r>
      <w:r w:rsidRPr="00AB7D1E">
        <w:rPr>
          <w:lang w:val="en-US"/>
        </w:rPr>
        <w:t xml:space="preserve"> for radioactive medical waste.</w:t>
      </w:r>
    </w:p>
    <w:bookmarkEnd w:id="167"/>
    <w:p w14:paraId="787CC7CE" w14:textId="6CEEE222" w:rsidR="0002353F" w:rsidRPr="00AB7D1E" w:rsidRDefault="0002353F" w:rsidP="0002353F">
      <w:pPr>
        <w:rPr>
          <w:rFonts w:cstheme="minorHAnsi"/>
          <w:lang w:val="en-US"/>
        </w:rPr>
      </w:pPr>
      <w:r w:rsidRPr="00AB7D1E">
        <w:rPr>
          <w:lang w:val="en-US"/>
        </w:rPr>
        <w:t>Framework legislation are</w:t>
      </w:r>
      <w:r w:rsidR="006A42B5">
        <w:rPr>
          <w:lang w:val="en-US"/>
        </w:rPr>
        <w:t xml:space="preserve"> the</w:t>
      </w:r>
      <w:r w:rsidRPr="00AB7D1E">
        <w:rPr>
          <w:lang w:val="en-US"/>
        </w:rPr>
        <w:t xml:space="preserve"> Act on </w:t>
      </w:r>
      <w:r w:rsidR="006A42B5">
        <w:rPr>
          <w:lang w:val="en-US"/>
        </w:rPr>
        <w:t>S</w:t>
      </w:r>
      <w:r w:rsidRPr="00AB7D1E">
        <w:rPr>
          <w:lang w:val="en-US"/>
        </w:rPr>
        <w:t xml:space="preserve">ustainable </w:t>
      </w:r>
      <w:r w:rsidR="006A42B5">
        <w:rPr>
          <w:lang w:val="en-US"/>
        </w:rPr>
        <w:t>W</w:t>
      </w:r>
      <w:r w:rsidRPr="00AB7D1E">
        <w:rPr>
          <w:lang w:val="en-US"/>
        </w:rPr>
        <w:t xml:space="preserve">aste </w:t>
      </w:r>
      <w:r w:rsidR="006A42B5">
        <w:rPr>
          <w:lang w:val="en-US"/>
        </w:rPr>
        <w:t>M</w:t>
      </w:r>
      <w:r w:rsidRPr="00AB7D1E">
        <w:rPr>
          <w:lang w:val="en-US"/>
        </w:rPr>
        <w:t xml:space="preserve">anagement </w:t>
      </w:r>
      <w:r w:rsidRPr="00AB7D1E">
        <w:rPr>
          <w:rFonts w:cstheme="minorHAnsi"/>
          <w:lang w:val="en-US"/>
        </w:rPr>
        <w:t xml:space="preserve">(OG 94/13, 73/17, 14/19, 98/19) and </w:t>
      </w:r>
      <w:r w:rsidR="006A42B5">
        <w:rPr>
          <w:rFonts w:cstheme="minorHAnsi"/>
          <w:lang w:val="en-US"/>
        </w:rPr>
        <w:t xml:space="preserve">the </w:t>
      </w:r>
      <w:r w:rsidRPr="00AB7D1E">
        <w:rPr>
          <w:rFonts w:cstheme="minorHAnsi"/>
          <w:lang w:val="en-US"/>
        </w:rPr>
        <w:t xml:space="preserve">Act on </w:t>
      </w:r>
      <w:r w:rsidR="006A42B5">
        <w:rPr>
          <w:rFonts w:cstheme="minorHAnsi"/>
          <w:lang w:val="en-US"/>
        </w:rPr>
        <w:t>R</w:t>
      </w:r>
      <w:r w:rsidRPr="00AB7D1E">
        <w:rPr>
          <w:rFonts w:cstheme="minorHAnsi"/>
          <w:lang w:val="en-US"/>
        </w:rPr>
        <w:t xml:space="preserve">adiological and </w:t>
      </w:r>
      <w:r w:rsidR="006A42B5">
        <w:rPr>
          <w:rFonts w:cstheme="minorHAnsi"/>
          <w:lang w:val="en-US"/>
        </w:rPr>
        <w:t>N</w:t>
      </w:r>
      <w:r w:rsidRPr="00AB7D1E">
        <w:rPr>
          <w:rFonts w:cstheme="minorHAnsi"/>
          <w:lang w:val="en-US"/>
        </w:rPr>
        <w:t xml:space="preserve">uclear </w:t>
      </w:r>
      <w:r w:rsidR="006A42B5">
        <w:rPr>
          <w:rFonts w:cstheme="minorHAnsi"/>
          <w:lang w:val="en-US"/>
        </w:rPr>
        <w:t>S</w:t>
      </w:r>
      <w:r w:rsidRPr="00AB7D1E">
        <w:rPr>
          <w:rFonts w:cstheme="minorHAnsi"/>
          <w:lang w:val="en-US"/>
        </w:rPr>
        <w:t xml:space="preserve">afety (OG </w:t>
      </w:r>
      <w:r w:rsidRPr="00AB7D1E">
        <w:rPr>
          <w:rFonts w:cstheme="minorHAnsi"/>
          <w:color w:val="231F20"/>
          <w:shd w:val="clear" w:color="auto" w:fill="FFFFFF"/>
          <w:lang w:val="en-US"/>
        </w:rPr>
        <w:t>141/13, 39/15, 130/17, 118/18).</w:t>
      </w:r>
    </w:p>
    <w:p w14:paraId="22F36B9D" w14:textId="77777777" w:rsidR="00EA6FB5" w:rsidRPr="00AB7D1E" w:rsidRDefault="00EA6FB5" w:rsidP="00EA6FB5">
      <w:pPr>
        <w:rPr>
          <w:lang w:val="en-US"/>
        </w:rPr>
      </w:pPr>
      <w:r w:rsidRPr="00AB7D1E">
        <w:rPr>
          <w:bCs/>
          <w:lang w:val="en-US"/>
        </w:rPr>
        <w:t>Non-risk waste (Groups A1, A2, A3 – table above),</w:t>
      </w:r>
      <w:r w:rsidRPr="00AB7D1E">
        <w:rPr>
          <w:lang w:val="en-US"/>
        </w:rPr>
        <w:t xml:space="preserve"> mostly </w:t>
      </w:r>
      <w:r w:rsidRPr="00AB7D1E">
        <w:rPr>
          <w:bCs/>
          <w:lang w:val="en-US"/>
        </w:rPr>
        <w:t xml:space="preserve">is </w:t>
      </w:r>
      <w:proofErr w:type="gramStart"/>
      <w:r w:rsidRPr="00AB7D1E">
        <w:rPr>
          <w:bCs/>
          <w:lang w:val="en-US"/>
        </w:rPr>
        <w:t>similar to</w:t>
      </w:r>
      <w:proofErr w:type="gramEnd"/>
      <w:r w:rsidRPr="00AB7D1E">
        <w:rPr>
          <w:bCs/>
          <w:lang w:val="en-US"/>
        </w:rPr>
        <w:t xml:space="preserve"> the waste originating from households (packaging waste, food waste, electrical and electronic waste etc.). Conditions for the storage and handling non-risk waste are stipulated by Ordinance on waste management (OG 81/20).</w:t>
      </w:r>
    </w:p>
    <w:p w14:paraId="2EBC563A" w14:textId="4E38A029" w:rsidR="0002353F" w:rsidRPr="00AB7D1E" w:rsidRDefault="0002353F" w:rsidP="0002353F">
      <w:pPr>
        <w:rPr>
          <w:lang w:val="en-US"/>
        </w:rPr>
      </w:pPr>
      <w:r w:rsidRPr="00AB7D1E">
        <w:rPr>
          <w:lang w:val="en-US"/>
        </w:rPr>
        <w:t>Other waste which belongs to a certain level of risk is regulated additionally by special sub-low legislation.</w:t>
      </w:r>
      <w:r w:rsidR="006213C6" w:rsidRPr="00AB7D1E">
        <w:rPr>
          <w:lang w:val="en-US"/>
        </w:rPr>
        <w:t xml:space="preserve"> </w:t>
      </w:r>
      <w:r w:rsidRPr="00AB7D1E">
        <w:rPr>
          <w:lang w:val="en-US"/>
        </w:rPr>
        <w:t xml:space="preserve">Thereby, special conditions for handling medical waste (Groups B1-B4, C1-C3) are stipulated by Ordinance on medical waste management (OG 50/15, 56/19) (hereafter: Ordinance). </w:t>
      </w:r>
    </w:p>
    <w:p w14:paraId="0A44B701" w14:textId="77777777" w:rsidR="0002353F" w:rsidRPr="00AB7D1E" w:rsidRDefault="0002353F" w:rsidP="0002353F">
      <w:pPr>
        <w:rPr>
          <w:lang w:val="en-US"/>
        </w:rPr>
      </w:pPr>
      <w:r w:rsidRPr="00AB7D1E">
        <w:rPr>
          <w:lang w:val="en-US"/>
        </w:rPr>
        <w:t>By that Ordinance, groups B1, B2, B4, C1-C3 are considered as hazardous medical waste, and special conditions for handling are required, especially when it comes about waste from group B2 (Infectious waste).</w:t>
      </w:r>
    </w:p>
    <w:p w14:paraId="092D633B" w14:textId="77777777" w:rsidR="0002353F" w:rsidRPr="00AB7D1E" w:rsidRDefault="0002353F" w:rsidP="0002353F">
      <w:pPr>
        <w:rPr>
          <w:rFonts w:eastAsia="Times New Roman"/>
          <w:lang w:val="en-US"/>
        </w:rPr>
      </w:pPr>
      <w:r w:rsidRPr="00AB7D1E">
        <w:rPr>
          <w:lang w:val="en-US"/>
        </w:rPr>
        <w:t xml:space="preserve">Depending on the quantities generated, medical waste generators are divided into </w:t>
      </w:r>
      <w:r w:rsidRPr="00AB7D1E">
        <w:rPr>
          <w:rFonts w:eastAsia="Times New Roman"/>
          <w:lang w:val="en-US"/>
        </w:rPr>
        <w:t xml:space="preserve">large sources (annually generate 200 or more kilograms of hazardous medical waste at one location) and small sources (annually generates less than 200 kilograms of hazardous medical waste at one location). </w:t>
      </w:r>
    </w:p>
    <w:p w14:paraId="2D4474F3" w14:textId="4AC04978" w:rsidR="0002353F" w:rsidRPr="00AB7D1E" w:rsidRDefault="0002353F" w:rsidP="0002353F">
      <w:pPr>
        <w:rPr>
          <w:rFonts w:eastAsia="Times New Roman"/>
          <w:lang w:val="en-US"/>
        </w:rPr>
      </w:pPr>
      <w:r w:rsidRPr="00AB7D1E">
        <w:rPr>
          <w:rFonts w:eastAsia="Times New Roman"/>
          <w:lang w:val="en-US"/>
        </w:rPr>
        <w:t>Obligations of medical waste generators regarding handling the medical waste</w:t>
      </w:r>
      <w:r w:rsidRPr="00AB7D1E">
        <w:rPr>
          <w:lang w:val="en-US"/>
        </w:rPr>
        <w:t xml:space="preserve"> (Groups B1-B4, C1-C3) </w:t>
      </w:r>
      <w:r w:rsidRPr="00AB7D1E">
        <w:rPr>
          <w:rFonts w:eastAsia="Times New Roman"/>
          <w:lang w:val="en-US"/>
        </w:rPr>
        <w:t xml:space="preserve">are given in the </w:t>
      </w:r>
      <w:r w:rsidRPr="00AB7D1E">
        <w:rPr>
          <w:rFonts w:eastAsia="Times New Roman"/>
          <w:lang w:val="en-US"/>
        </w:rPr>
        <w:fldChar w:fldCharType="begin"/>
      </w:r>
      <w:r w:rsidRPr="00AB7D1E">
        <w:rPr>
          <w:rFonts w:eastAsia="Times New Roman"/>
          <w:lang w:val="en-US"/>
        </w:rPr>
        <w:instrText xml:space="preserve"> REF _Ref48475682 \h  \* MERGEFORMAT </w:instrText>
      </w:r>
      <w:r w:rsidRPr="00AB7D1E">
        <w:rPr>
          <w:rFonts w:eastAsia="Times New Roman"/>
          <w:lang w:val="en-US"/>
        </w:rPr>
      </w:r>
      <w:r w:rsidRPr="00AB7D1E">
        <w:rPr>
          <w:rFonts w:eastAsia="Times New Roman"/>
          <w:lang w:val="en-US"/>
        </w:rPr>
        <w:fldChar w:fldCharType="separate"/>
      </w:r>
      <w:r w:rsidR="007D1E1B" w:rsidRPr="007D1E1B">
        <w:rPr>
          <w:lang w:val="en-US"/>
        </w:rPr>
        <w:t>Table 16</w:t>
      </w:r>
      <w:r w:rsidRPr="00AB7D1E">
        <w:rPr>
          <w:rFonts w:eastAsia="Times New Roman"/>
          <w:lang w:val="en-US"/>
        </w:rPr>
        <w:fldChar w:fldCharType="end"/>
      </w:r>
      <w:r w:rsidRPr="00AB7D1E">
        <w:rPr>
          <w:rFonts w:eastAsia="Times New Roman"/>
          <w:lang w:val="en-US"/>
        </w:rPr>
        <w:t xml:space="preserve"> below. </w:t>
      </w:r>
    </w:p>
    <w:p w14:paraId="36474FB1" w14:textId="488B2951" w:rsidR="0002353F" w:rsidRPr="00AB7D1E" w:rsidRDefault="0002353F" w:rsidP="007D1E1B">
      <w:pPr>
        <w:pStyle w:val="Style1"/>
        <w:rPr>
          <w:rFonts w:eastAsia="Times New Roman"/>
        </w:rPr>
      </w:pPr>
      <w:bookmarkStart w:id="168" w:name="_Ref48475682"/>
      <w:bookmarkStart w:id="169" w:name="_Toc56952716"/>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16</w:t>
      </w:r>
      <w:r w:rsidR="00DF4A34" w:rsidRPr="00AB7D1E">
        <w:fldChar w:fldCharType="end"/>
      </w:r>
      <w:bookmarkEnd w:id="168"/>
      <w:r w:rsidRPr="00AB7D1E">
        <w:t>. Obligations of medical waste generators regarding handling the medical waste</w:t>
      </w:r>
      <w:r w:rsidR="00B86986" w:rsidRPr="00AB7D1E">
        <w:t xml:space="preserve"> (Groups B1-B4, C1-C3)</w:t>
      </w:r>
      <w:r w:rsidRPr="00AB7D1E">
        <w:t>, according to the waste legislation</w:t>
      </w:r>
      <w:bookmarkEnd w:id="169"/>
      <w:r w:rsidR="00B86986" w:rsidRPr="00AB7D1E">
        <w:t xml:space="preserve"> </w:t>
      </w:r>
    </w:p>
    <w:tbl>
      <w:tblPr>
        <w:tblStyle w:val="TableGrid"/>
        <w:tblW w:w="5000" w:type="pct"/>
        <w:tblLook w:val="04A0" w:firstRow="1" w:lastRow="0" w:firstColumn="1" w:lastColumn="0" w:noHBand="0" w:noVBand="1"/>
      </w:tblPr>
      <w:tblGrid>
        <w:gridCol w:w="9016"/>
      </w:tblGrid>
      <w:tr w:rsidR="0002353F" w:rsidRPr="00AB7D1E" w14:paraId="027A9A14" w14:textId="77777777" w:rsidTr="00C9010D">
        <w:tc>
          <w:tcPr>
            <w:tcW w:w="5000" w:type="pct"/>
            <w:shd w:val="clear" w:color="auto" w:fill="CEDBE6" w:themeFill="background2"/>
            <w:vAlign w:val="center"/>
          </w:tcPr>
          <w:p w14:paraId="68C902BA" w14:textId="77777777" w:rsidR="0002353F" w:rsidRPr="00AB7D1E" w:rsidRDefault="0002353F" w:rsidP="00433783">
            <w:pPr>
              <w:widowControl w:val="0"/>
              <w:spacing w:after="0" w:line="240" w:lineRule="auto"/>
              <w:ind w:right="323"/>
              <w:rPr>
                <w:rFonts w:eastAsia="Times New Roman"/>
                <w:b/>
                <w:bCs/>
                <w:i/>
                <w:iCs/>
                <w:sz w:val="20"/>
                <w:szCs w:val="20"/>
                <w:lang w:val="en-US"/>
              </w:rPr>
            </w:pPr>
            <w:r w:rsidRPr="00AB7D1E">
              <w:rPr>
                <w:rFonts w:eastAsia="Times New Roman"/>
                <w:b/>
                <w:bCs/>
                <w:i/>
                <w:iCs/>
                <w:sz w:val="20"/>
                <w:szCs w:val="20"/>
                <w:lang w:val="en-US"/>
              </w:rPr>
              <w:t>Storage of medical waste at the place of generator</w:t>
            </w:r>
          </w:p>
        </w:tc>
      </w:tr>
      <w:tr w:rsidR="0002353F" w:rsidRPr="00AB7D1E" w14:paraId="1D721EE7" w14:textId="77777777" w:rsidTr="00433783">
        <w:tc>
          <w:tcPr>
            <w:tcW w:w="5000" w:type="pct"/>
          </w:tcPr>
          <w:p w14:paraId="34759216"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Medical waste must be stored in a locked, covered, temporary storage area in which the inflow of rainwater to the waste is prevented. The storage must be separate from the main activity (healthcare activity).</w:t>
            </w:r>
          </w:p>
        </w:tc>
      </w:tr>
      <w:tr w:rsidR="0002353F" w:rsidRPr="00AB7D1E" w14:paraId="6299BAC3" w14:textId="77777777" w:rsidTr="00433783">
        <w:tc>
          <w:tcPr>
            <w:tcW w:w="5000" w:type="pct"/>
          </w:tcPr>
          <w:p w14:paraId="3E184448"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 xml:space="preserve">The area of medical waste storage, in addition to the conditions for waste storage in accordance with </w:t>
            </w:r>
            <w:proofErr w:type="spellStart"/>
            <w:proofErr w:type="gramStart"/>
            <w:r w:rsidRPr="00AB7D1E">
              <w:rPr>
                <w:rFonts w:eastAsia="Times New Roman"/>
                <w:sz w:val="20"/>
                <w:szCs w:val="20"/>
                <w:lang w:val="en-US"/>
              </w:rPr>
              <w:t>a</w:t>
            </w:r>
            <w:proofErr w:type="spellEnd"/>
            <w:proofErr w:type="gramEnd"/>
            <w:r w:rsidRPr="00AB7D1E">
              <w:rPr>
                <w:rFonts w:eastAsia="Times New Roman"/>
                <w:sz w:val="20"/>
                <w:szCs w:val="20"/>
                <w:lang w:val="en-US"/>
              </w:rPr>
              <w:t xml:space="preserve"> Ordinance on waste management</w:t>
            </w:r>
            <w:r w:rsidRPr="00AB7D1E">
              <w:rPr>
                <w:rStyle w:val="FootnoteReference"/>
                <w:rFonts w:eastAsia="Times New Roman"/>
                <w:sz w:val="20"/>
                <w:szCs w:val="20"/>
                <w:vertAlign w:val="baseline"/>
                <w:lang w:val="en-US"/>
              </w:rPr>
              <w:t xml:space="preserve"> </w:t>
            </w:r>
            <w:r w:rsidRPr="00AB7D1E">
              <w:rPr>
                <w:rStyle w:val="FootnoteReference"/>
                <w:rFonts w:eastAsia="Times New Roman"/>
                <w:sz w:val="20"/>
                <w:szCs w:val="20"/>
                <w:lang w:val="en-US"/>
              </w:rPr>
              <w:footnoteReference w:id="126"/>
            </w:r>
            <w:r w:rsidRPr="00AB7D1E">
              <w:rPr>
                <w:rFonts w:eastAsia="Times New Roman"/>
                <w:sz w:val="20"/>
                <w:szCs w:val="20"/>
                <w:lang w:val="en-US"/>
              </w:rPr>
              <w:t>, must meet the following conditions:</w:t>
            </w:r>
          </w:p>
          <w:p w14:paraId="4400591F"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have impermeable and resistant floor surfaces that are easy to clean and disinfect</w:t>
            </w:r>
          </w:p>
          <w:p w14:paraId="5C67C15E"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equipped with water and sewage</w:t>
            </w:r>
          </w:p>
          <w:p w14:paraId="13721B74"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easily accessible to the staff in charge for internal waste management at the place of medical waste generator</w:t>
            </w:r>
          </w:p>
          <w:p w14:paraId="1B93DEA0"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locked in order to prevent access by unauthorized persons</w:t>
            </w:r>
          </w:p>
          <w:p w14:paraId="12D05D6B"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easily accessible with devices and equipment for waste collection (trolleys, etc.)</w:t>
            </w:r>
          </w:p>
          <w:p w14:paraId="5E9C9BAD"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inaccessible to animals, especially rodents, birds and insects</w:t>
            </w:r>
          </w:p>
          <w:p w14:paraId="390D1277"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must be well lit and ventilated</w:t>
            </w:r>
          </w:p>
          <w:p w14:paraId="458A382C" w14:textId="77777777" w:rsidR="0002353F" w:rsidRPr="00AB7D1E" w:rsidRDefault="0002353F" w:rsidP="00BE60A0">
            <w:pPr>
              <w:pStyle w:val="ListParagraph"/>
              <w:widowControl w:val="0"/>
              <w:numPr>
                <w:ilvl w:val="0"/>
                <w:numId w:val="56"/>
              </w:numPr>
              <w:spacing w:after="0" w:line="240" w:lineRule="auto"/>
              <w:ind w:right="323"/>
              <w:contextualSpacing/>
              <w:rPr>
                <w:rFonts w:eastAsia="Times New Roman"/>
                <w:sz w:val="20"/>
                <w:szCs w:val="20"/>
                <w:lang w:val="en-US"/>
              </w:rPr>
            </w:pPr>
            <w:r w:rsidRPr="00AB7D1E">
              <w:rPr>
                <w:rFonts w:eastAsia="Times New Roman"/>
                <w:sz w:val="20"/>
                <w:szCs w:val="20"/>
                <w:lang w:val="en-US"/>
              </w:rPr>
              <w:t xml:space="preserve">must </w:t>
            </w:r>
            <w:proofErr w:type="gramStart"/>
            <w:r w:rsidRPr="00AB7D1E">
              <w:rPr>
                <w:rFonts w:eastAsia="Times New Roman"/>
                <w:sz w:val="20"/>
                <w:szCs w:val="20"/>
                <w:lang w:val="en-US"/>
              </w:rPr>
              <w:t>be located in</w:t>
            </w:r>
            <w:proofErr w:type="gramEnd"/>
            <w:r w:rsidRPr="00AB7D1E">
              <w:rPr>
                <w:rFonts w:eastAsia="Times New Roman"/>
                <w:sz w:val="20"/>
                <w:szCs w:val="20"/>
                <w:lang w:val="en-US"/>
              </w:rPr>
              <w:t xml:space="preserve"> such a way that the waste cannot come into contact with food and the place for food preparation</w:t>
            </w:r>
          </w:p>
        </w:tc>
      </w:tr>
      <w:tr w:rsidR="0002353F" w:rsidRPr="00AB7D1E" w14:paraId="68B8A684" w14:textId="77777777" w:rsidTr="00433783">
        <w:tc>
          <w:tcPr>
            <w:tcW w:w="5000" w:type="pct"/>
          </w:tcPr>
          <w:p w14:paraId="3E9EAF52"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Containers for the collection of hazardous medical waste must be resistant to the hazardous properties of the contents, to cracking and puncture in the case of sharp objects, to aggressive chemicals etc. and must withstand normal handling and transport conditions such as vibration and temperature changes, humidity and pressure.</w:t>
            </w:r>
          </w:p>
        </w:tc>
      </w:tr>
      <w:tr w:rsidR="0002353F" w:rsidRPr="00AB7D1E" w14:paraId="37ACDFCB" w14:textId="77777777" w:rsidTr="00433783">
        <w:tc>
          <w:tcPr>
            <w:tcW w:w="5000" w:type="pct"/>
          </w:tcPr>
          <w:p w14:paraId="0ED90BF8" w14:textId="1C039C6C"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lastRenderedPageBreak/>
              <w:t xml:space="preserve">Each container must be marked with an inscription containing basic information about the waste producer with the name of the institution and department, key number and name of the type of waste in accordance with a Waste Catalogue and the date of delivery to an authorized person. The inscription with the data shall be printed on the container or on a label which may not be less than 50 x 75 </w:t>
            </w:r>
            <w:proofErr w:type="spellStart"/>
            <w:r w:rsidR="001E64E6" w:rsidRPr="00AB7D1E">
              <w:rPr>
                <w:rFonts w:eastAsia="Times New Roman"/>
                <w:sz w:val="20"/>
                <w:szCs w:val="20"/>
                <w:lang w:val="en-US"/>
              </w:rPr>
              <w:t>millimetres</w:t>
            </w:r>
            <w:proofErr w:type="spellEnd"/>
            <w:r w:rsidRPr="00AB7D1E">
              <w:rPr>
                <w:rFonts w:eastAsia="Times New Roman"/>
                <w:sz w:val="20"/>
                <w:szCs w:val="20"/>
                <w:lang w:val="en-US"/>
              </w:rPr>
              <w:t>.</w:t>
            </w:r>
          </w:p>
        </w:tc>
      </w:tr>
      <w:tr w:rsidR="0002353F" w:rsidRPr="00AB7D1E" w14:paraId="1C274ECF" w14:textId="77777777" w:rsidTr="00433783">
        <w:tc>
          <w:tcPr>
            <w:tcW w:w="5000" w:type="pct"/>
          </w:tcPr>
          <w:p w14:paraId="7E123925"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Infectious medical waste must be collected separately at the place of origin in hermetically sealed containers resistant to puncture and leakage of liquids from them and transported to a temporary storage without sorting and transfer to other containers, in a way that prevents direct contact of endangered persons with waste.</w:t>
            </w:r>
          </w:p>
        </w:tc>
      </w:tr>
      <w:tr w:rsidR="0002353F" w:rsidRPr="00AB7D1E" w14:paraId="49774CC2" w14:textId="77777777" w:rsidTr="00433783">
        <w:tc>
          <w:tcPr>
            <w:tcW w:w="5000" w:type="pct"/>
          </w:tcPr>
          <w:p w14:paraId="2B07132C"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Storage of infectious medical waste (group B2) may last for a maximum of 15 days at a temperature of up to +8°C, and at a temperature between +8°C and +15°C for a maximum of eight days.</w:t>
            </w:r>
          </w:p>
        </w:tc>
      </w:tr>
      <w:tr w:rsidR="0002353F" w:rsidRPr="00AB7D1E" w14:paraId="2B417926" w14:textId="77777777" w:rsidTr="00433783">
        <w:tc>
          <w:tcPr>
            <w:tcW w:w="5000" w:type="pct"/>
          </w:tcPr>
          <w:p w14:paraId="00C89D26"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 xml:space="preserve">A small source is not obliged to have a waste storage at the place of </w:t>
            </w:r>
            <w:proofErr w:type="gramStart"/>
            <w:r w:rsidRPr="00AB7D1E">
              <w:rPr>
                <w:rFonts w:eastAsia="Times New Roman"/>
                <w:sz w:val="20"/>
                <w:szCs w:val="20"/>
                <w:lang w:val="en-US"/>
              </w:rPr>
              <w:t>origin, but</w:t>
            </w:r>
            <w:proofErr w:type="gramEnd"/>
            <w:r w:rsidRPr="00AB7D1E">
              <w:rPr>
                <w:rFonts w:eastAsia="Times New Roman"/>
                <w:sz w:val="20"/>
                <w:szCs w:val="20"/>
                <w:lang w:val="en-US"/>
              </w:rPr>
              <w:t xml:space="preserve"> is obliged to collect hazardous medical waste separately in appropriate containers. For infectious medical waste the storage must be conducted at temperature up to +8°C and treated</w:t>
            </w:r>
            <w:r w:rsidRPr="00AB7D1E">
              <w:rPr>
                <w:rStyle w:val="FootnoteReference"/>
                <w:rFonts w:eastAsia="Times New Roman"/>
                <w:sz w:val="20"/>
                <w:szCs w:val="20"/>
                <w:lang w:val="en-US"/>
              </w:rPr>
              <w:footnoteReference w:id="127"/>
            </w:r>
            <w:r w:rsidRPr="00AB7D1E">
              <w:rPr>
                <w:rFonts w:eastAsia="Times New Roman"/>
                <w:sz w:val="20"/>
                <w:szCs w:val="20"/>
                <w:lang w:val="en-US"/>
              </w:rPr>
              <w:t xml:space="preserve"> within 30 days on prescribed way at the location or handed over to an authorized treatment company or sent for export outside the Republic of Croatia.</w:t>
            </w:r>
          </w:p>
        </w:tc>
      </w:tr>
      <w:tr w:rsidR="0002353F" w:rsidRPr="00AB7D1E" w14:paraId="4039510E" w14:textId="77777777" w:rsidTr="00433783">
        <w:tc>
          <w:tcPr>
            <w:tcW w:w="5000" w:type="pct"/>
          </w:tcPr>
          <w:p w14:paraId="09D15F15"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If the producer of infectious medical waste cannot ensure the conditions for its storage in accordance with the Ordinance provisions, it must ensure that no more than 24 hours pass from the generation of infectious waste to its submission for treatment if the environment temperature exceeds 20°C or 72 hours if the environment temperature is between 15 and 20 °C.</w:t>
            </w:r>
          </w:p>
        </w:tc>
      </w:tr>
      <w:tr w:rsidR="0002353F" w:rsidRPr="00AB7D1E" w14:paraId="5170CA3D" w14:textId="77777777" w:rsidTr="00433783">
        <w:tc>
          <w:tcPr>
            <w:tcW w:w="5000" w:type="pct"/>
          </w:tcPr>
          <w:p w14:paraId="71E74C8E"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Pathological waste must be stored in a freezer, in airtight bags, in a healthcare institution that is the generator of that waste.</w:t>
            </w:r>
          </w:p>
        </w:tc>
      </w:tr>
      <w:tr w:rsidR="0002353F" w:rsidRPr="00AB7D1E" w14:paraId="21943B81" w14:textId="77777777" w:rsidTr="00230B13">
        <w:tc>
          <w:tcPr>
            <w:tcW w:w="5000" w:type="pct"/>
            <w:shd w:val="clear" w:color="auto" w:fill="CEDBE6" w:themeFill="background2"/>
          </w:tcPr>
          <w:p w14:paraId="6F0B5A4D" w14:textId="77777777" w:rsidR="0002353F" w:rsidRPr="00AB7D1E" w:rsidRDefault="0002353F" w:rsidP="00433783">
            <w:pPr>
              <w:widowControl w:val="0"/>
              <w:spacing w:after="0" w:line="240" w:lineRule="auto"/>
              <w:ind w:right="323"/>
              <w:rPr>
                <w:rFonts w:eastAsia="Times New Roman"/>
                <w:b/>
                <w:bCs/>
                <w:i/>
                <w:iCs/>
                <w:sz w:val="20"/>
                <w:szCs w:val="20"/>
                <w:lang w:val="en-US"/>
              </w:rPr>
            </w:pPr>
            <w:r w:rsidRPr="00AB7D1E">
              <w:rPr>
                <w:rFonts w:eastAsia="Times New Roman"/>
                <w:b/>
                <w:bCs/>
                <w:i/>
                <w:iCs/>
                <w:sz w:val="20"/>
                <w:szCs w:val="20"/>
                <w:lang w:val="en-US"/>
              </w:rPr>
              <w:t>Obligations regarding sharps waste</w:t>
            </w:r>
          </w:p>
        </w:tc>
      </w:tr>
      <w:tr w:rsidR="0002353F" w:rsidRPr="00AB7D1E" w14:paraId="09C40BEF" w14:textId="77777777" w:rsidTr="00433783">
        <w:tc>
          <w:tcPr>
            <w:tcW w:w="5000" w:type="pct"/>
          </w:tcPr>
          <w:p w14:paraId="4EBB7D55" w14:textId="579843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Sharps waste management requires taking measures to prevent injuries and infection during handling until processing in accordance with the rules of the profession, Ordinance and Ordinance on waste management</w:t>
            </w:r>
            <w:r w:rsidR="00702B9B" w:rsidRPr="00AB7D1E">
              <w:rPr>
                <w:rFonts w:eastAsia="Times New Roman"/>
                <w:sz w:val="20"/>
                <w:szCs w:val="20"/>
                <w:lang w:val="en-US"/>
              </w:rPr>
              <w:t xml:space="preserve"> (OG 81/20)</w:t>
            </w:r>
            <w:r w:rsidRPr="00AB7D1E">
              <w:rPr>
                <w:rFonts w:eastAsia="Times New Roman"/>
                <w:sz w:val="20"/>
                <w:szCs w:val="20"/>
                <w:lang w:val="en-US"/>
              </w:rPr>
              <w:t>.</w:t>
            </w:r>
          </w:p>
        </w:tc>
      </w:tr>
      <w:tr w:rsidR="0002353F" w:rsidRPr="00AB7D1E" w14:paraId="4DA09885" w14:textId="77777777" w:rsidTr="00433783">
        <w:tc>
          <w:tcPr>
            <w:tcW w:w="5000" w:type="pct"/>
          </w:tcPr>
          <w:p w14:paraId="410A9270"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Sharps waste must be collected and treated separately from other medical waste.</w:t>
            </w:r>
          </w:p>
        </w:tc>
      </w:tr>
      <w:tr w:rsidR="0002353F" w:rsidRPr="00AB7D1E" w14:paraId="40A43D10" w14:textId="77777777" w:rsidTr="00433783">
        <w:tc>
          <w:tcPr>
            <w:tcW w:w="5000" w:type="pct"/>
          </w:tcPr>
          <w:p w14:paraId="25080B3F"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Sharps waste originating from health protection must be managed as infectious medical waste.</w:t>
            </w:r>
          </w:p>
        </w:tc>
      </w:tr>
      <w:tr w:rsidR="0002353F" w:rsidRPr="00AB7D1E" w14:paraId="388ADA64" w14:textId="77777777" w:rsidTr="00230B13">
        <w:tc>
          <w:tcPr>
            <w:tcW w:w="5000" w:type="pct"/>
            <w:shd w:val="clear" w:color="auto" w:fill="CEDBE6" w:themeFill="background2"/>
          </w:tcPr>
          <w:p w14:paraId="77C76C18" w14:textId="77777777" w:rsidR="0002353F" w:rsidRPr="00AB7D1E" w:rsidRDefault="0002353F" w:rsidP="00433783">
            <w:pPr>
              <w:widowControl w:val="0"/>
              <w:spacing w:after="0" w:line="240" w:lineRule="auto"/>
              <w:ind w:right="323"/>
              <w:rPr>
                <w:rFonts w:eastAsia="Times New Roman"/>
                <w:b/>
                <w:bCs/>
                <w:i/>
                <w:iCs/>
                <w:sz w:val="20"/>
                <w:szCs w:val="20"/>
                <w:lang w:val="en-US"/>
              </w:rPr>
            </w:pPr>
            <w:r w:rsidRPr="00AB7D1E">
              <w:rPr>
                <w:rFonts w:eastAsia="Times New Roman"/>
                <w:b/>
                <w:bCs/>
                <w:i/>
                <w:iCs/>
                <w:sz w:val="20"/>
                <w:szCs w:val="20"/>
                <w:lang w:val="en-US"/>
              </w:rPr>
              <w:t xml:space="preserve">Treatment at the generator location </w:t>
            </w:r>
          </w:p>
        </w:tc>
      </w:tr>
      <w:tr w:rsidR="0002353F" w:rsidRPr="00AB7D1E" w14:paraId="24302831" w14:textId="77777777" w:rsidTr="00433783">
        <w:tc>
          <w:tcPr>
            <w:tcW w:w="5000" w:type="pct"/>
          </w:tcPr>
          <w:p w14:paraId="41E909F7"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Medical waste generator may treat medical waste at the location if he has appropriate equipment and obtains the appropriate permit for medical waste management according to the Act on sustainable waste management</w:t>
            </w:r>
            <w:r w:rsidRPr="00AB7D1E">
              <w:rPr>
                <w:rStyle w:val="FootnoteReference"/>
                <w:rFonts w:eastAsia="Times New Roman"/>
                <w:sz w:val="20"/>
                <w:szCs w:val="20"/>
                <w:lang w:val="en-US"/>
              </w:rPr>
              <w:footnoteReference w:id="128"/>
            </w:r>
            <w:r w:rsidRPr="00AB7D1E">
              <w:rPr>
                <w:rFonts w:eastAsia="Times New Roman"/>
                <w:sz w:val="20"/>
                <w:szCs w:val="20"/>
                <w:lang w:val="en-US"/>
              </w:rPr>
              <w:t>.</w:t>
            </w:r>
          </w:p>
        </w:tc>
      </w:tr>
      <w:tr w:rsidR="0002353F" w:rsidRPr="00AB7D1E" w14:paraId="3CB4814F" w14:textId="77777777" w:rsidTr="00433783">
        <w:tc>
          <w:tcPr>
            <w:tcW w:w="5000" w:type="pct"/>
          </w:tcPr>
          <w:p w14:paraId="6682A302"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Without obtained permit, medical waste may sterilize his own infectious medical waste and diapers at the location, if the sterilization procedure is performed in accordance with the internal protocol which ensures the implementation of Article 9, paragraph 1 of the Act on sustainable waste management</w:t>
            </w:r>
            <w:r w:rsidRPr="00AB7D1E">
              <w:rPr>
                <w:rStyle w:val="FootnoteReference"/>
                <w:rFonts w:eastAsia="Times New Roman"/>
                <w:sz w:val="20"/>
                <w:szCs w:val="20"/>
                <w:lang w:val="en-US"/>
              </w:rPr>
              <w:footnoteReference w:id="129"/>
            </w:r>
            <w:r w:rsidRPr="00AB7D1E">
              <w:rPr>
                <w:rFonts w:eastAsia="Times New Roman"/>
                <w:sz w:val="20"/>
                <w:szCs w:val="20"/>
                <w:lang w:val="en-US"/>
              </w:rPr>
              <w:t>; records containing the date and time performance of the treatment process, the parameters of the treatment process and the name of the person who performed the treatment process.</w:t>
            </w:r>
          </w:p>
        </w:tc>
      </w:tr>
      <w:tr w:rsidR="0002353F" w:rsidRPr="00AB7D1E" w14:paraId="45E85E91" w14:textId="77777777" w:rsidTr="00230B13">
        <w:tc>
          <w:tcPr>
            <w:tcW w:w="5000" w:type="pct"/>
            <w:shd w:val="clear" w:color="auto" w:fill="CEDBE6" w:themeFill="background2"/>
          </w:tcPr>
          <w:p w14:paraId="73D177A8" w14:textId="77777777" w:rsidR="0002353F" w:rsidRPr="00AB7D1E" w:rsidRDefault="0002353F" w:rsidP="00433783">
            <w:pPr>
              <w:widowControl w:val="0"/>
              <w:spacing w:after="0" w:line="240" w:lineRule="auto"/>
              <w:ind w:right="323"/>
              <w:rPr>
                <w:rFonts w:eastAsia="Times New Roman"/>
                <w:b/>
                <w:bCs/>
                <w:sz w:val="20"/>
                <w:szCs w:val="20"/>
                <w:lang w:val="en-US"/>
              </w:rPr>
            </w:pPr>
            <w:r w:rsidRPr="00AB7D1E">
              <w:rPr>
                <w:rFonts w:eastAsia="Times New Roman"/>
                <w:b/>
                <w:bCs/>
                <w:i/>
                <w:iCs/>
                <w:sz w:val="20"/>
                <w:szCs w:val="20"/>
                <w:lang w:val="en-US"/>
              </w:rPr>
              <w:t>Administrative and similar obligations</w:t>
            </w:r>
          </w:p>
        </w:tc>
      </w:tr>
      <w:tr w:rsidR="0002353F" w:rsidRPr="00AB7D1E" w14:paraId="2D9113D5" w14:textId="77777777" w:rsidTr="00433783">
        <w:tc>
          <w:tcPr>
            <w:tcW w:w="5000" w:type="pct"/>
          </w:tcPr>
          <w:p w14:paraId="7E80C84C"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lastRenderedPageBreak/>
              <w:t>The head of a large source is obliged to appoint a person responsible for medical waste management.</w:t>
            </w:r>
          </w:p>
        </w:tc>
      </w:tr>
      <w:tr w:rsidR="0002353F" w:rsidRPr="00AB7D1E" w14:paraId="2A13653B" w14:textId="77777777" w:rsidTr="00433783">
        <w:tc>
          <w:tcPr>
            <w:tcW w:w="5000" w:type="pct"/>
          </w:tcPr>
          <w:p w14:paraId="31B28E8C"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In the case of small source of medical waste, the responsible person for medical waste management is the head of the small source.</w:t>
            </w:r>
          </w:p>
        </w:tc>
      </w:tr>
      <w:tr w:rsidR="0002353F" w:rsidRPr="00AB7D1E" w14:paraId="5D524866" w14:textId="77777777" w:rsidTr="00433783">
        <w:tc>
          <w:tcPr>
            <w:tcW w:w="5000" w:type="pct"/>
          </w:tcPr>
          <w:p w14:paraId="451F5024" w14:textId="14DB6386"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 xml:space="preserve">Records of waste streams and amounts </w:t>
            </w:r>
            <w:proofErr w:type="gramStart"/>
            <w:r w:rsidRPr="00AB7D1E">
              <w:rPr>
                <w:rFonts w:eastAsia="Times New Roman"/>
                <w:sz w:val="20"/>
                <w:szCs w:val="20"/>
                <w:lang w:val="en-US"/>
              </w:rPr>
              <w:t>have to</w:t>
            </w:r>
            <w:proofErr w:type="gramEnd"/>
            <w:r w:rsidRPr="00AB7D1E">
              <w:rPr>
                <w:rFonts w:eastAsia="Times New Roman"/>
                <w:sz w:val="20"/>
                <w:szCs w:val="20"/>
                <w:lang w:val="en-US"/>
              </w:rPr>
              <w:t xml:space="preserve"> be kept for each type of generated waste at the location by using documentation defined by waste legislation. </w:t>
            </w:r>
          </w:p>
        </w:tc>
      </w:tr>
      <w:tr w:rsidR="0002353F" w:rsidRPr="00AB7D1E" w14:paraId="5E1F05E5" w14:textId="77777777" w:rsidTr="00433783">
        <w:tc>
          <w:tcPr>
            <w:tcW w:w="5000" w:type="pct"/>
          </w:tcPr>
          <w:p w14:paraId="38B04A4C" w14:textId="7783248F"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 xml:space="preserve">Waste must be handed over to authorized company in </w:t>
            </w:r>
            <w:r w:rsidR="000855B7" w:rsidRPr="00AB7D1E">
              <w:rPr>
                <w:rFonts w:eastAsia="Times New Roman"/>
                <w:sz w:val="20"/>
                <w:szCs w:val="20"/>
                <w:lang w:val="en-US"/>
              </w:rPr>
              <w:t>Croatia</w:t>
            </w:r>
            <w:r w:rsidRPr="00AB7D1E">
              <w:rPr>
                <w:rFonts w:eastAsia="Times New Roman"/>
                <w:sz w:val="20"/>
                <w:szCs w:val="20"/>
                <w:lang w:val="en-US"/>
              </w:rPr>
              <w:t xml:space="preserve"> or exported for treatment outside of </w:t>
            </w:r>
            <w:r w:rsidR="000855B7" w:rsidRPr="00AB7D1E">
              <w:rPr>
                <w:rFonts w:eastAsia="Times New Roman"/>
                <w:sz w:val="20"/>
                <w:szCs w:val="20"/>
                <w:lang w:val="en-US"/>
              </w:rPr>
              <w:t>Croatia</w:t>
            </w:r>
            <w:r w:rsidRPr="00AB7D1E">
              <w:rPr>
                <w:rFonts w:eastAsia="Times New Roman"/>
                <w:sz w:val="20"/>
                <w:szCs w:val="20"/>
                <w:lang w:val="en-US"/>
              </w:rPr>
              <w:t>.</w:t>
            </w:r>
            <w:r w:rsidR="008258AE" w:rsidRPr="00AB7D1E">
              <w:rPr>
                <w:rFonts w:eastAsia="Times New Roman"/>
                <w:sz w:val="20"/>
                <w:szCs w:val="20"/>
                <w:lang w:val="en-US"/>
              </w:rPr>
              <w:t xml:space="preserve"> </w:t>
            </w:r>
            <w:r w:rsidR="00A02218" w:rsidRPr="00AB7D1E">
              <w:rPr>
                <w:rFonts w:eastAsia="Times New Roman"/>
                <w:sz w:val="20"/>
                <w:szCs w:val="20"/>
                <w:lang w:val="en-US"/>
              </w:rPr>
              <w:t xml:space="preserve">When handing over the waste to waste collector/treatment facility, information on final treatment process must be obtained. </w:t>
            </w:r>
            <w:r w:rsidR="008258AE" w:rsidRPr="00AB7D1E">
              <w:rPr>
                <w:rFonts w:eastAsia="Times New Roman"/>
                <w:sz w:val="20"/>
                <w:szCs w:val="20"/>
                <w:lang w:val="en-US"/>
              </w:rPr>
              <w:t>As Croatia does not have waste energy recovery plant nor waste incineration plant</w:t>
            </w:r>
            <w:r w:rsidR="00A02218" w:rsidRPr="00AB7D1E">
              <w:rPr>
                <w:rFonts w:eastAsia="Times New Roman"/>
                <w:sz w:val="20"/>
                <w:szCs w:val="20"/>
                <w:lang w:val="en-US"/>
              </w:rPr>
              <w:t>,</w:t>
            </w:r>
            <w:r w:rsidR="008258AE" w:rsidRPr="00AB7D1E">
              <w:rPr>
                <w:rFonts w:eastAsia="Times New Roman"/>
                <w:sz w:val="20"/>
                <w:szCs w:val="20"/>
                <w:lang w:val="en-US"/>
              </w:rPr>
              <w:t xml:space="preserve"> certain quantities of waste are exported from Croatia (e.g. hazardous and non-hazardous waste chemicals, pharmaceuticals, cytotoxic and cytostatic, etc.). Export of hazardous waste is conducted </w:t>
            </w:r>
            <w:r w:rsidR="00DB4244" w:rsidRPr="00AB7D1E">
              <w:rPr>
                <w:rFonts w:eastAsia="Times New Roman"/>
                <w:sz w:val="20"/>
                <w:szCs w:val="20"/>
                <w:lang w:val="en-US"/>
              </w:rPr>
              <w:t>i</w:t>
            </w:r>
            <w:r w:rsidR="008258AE" w:rsidRPr="00AB7D1E">
              <w:rPr>
                <w:rFonts w:eastAsia="Times New Roman"/>
                <w:sz w:val="20"/>
                <w:szCs w:val="20"/>
                <w:lang w:val="en-US"/>
              </w:rPr>
              <w:t>n line with national waste management legislation and Basel Convention</w:t>
            </w:r>
            <w:r w:rsidR="00DB4244" w:rsidRPr="00AB7D1E">
              <w:rPr>
                <w:rStyle w:val="FootnoteReference"/>
                <w:rFonts w:eastAsia="Times New Roman"/>
                <w:sz w:val="20"/>
                <w:szCs w:val="20"/>
                <w:lang w:val="en-US"/>
              </w:rPr>
              <w:footnoteReference w:id="130"/>
            </w:r>
            <w:r w:rsidR="00DB4244" w:rsidRPr="00AB7D1E">
              <w:rPr>
                <w:rFonts w:eastAsia="Times New Roman"/>
                <w:sz w:val="20"/>
                <w:szCs w:val="20"/>
                <w:lang w:val="en-US"/>
              </w:rPr>
              <w:t>.</w:t>
            </w:r>
            <w:r w:rsidR="00A02218" w:rsidRPr="00AB7D1E">
              <w:rPr>
                <w:rFonts w:eastAsia="Times New Roman"/>
                <w:sz w:val="20"/>
                <w:szCs w:val="20"/>
                <w:lang w:val="en-US"/>
              </w:rPr>
              <w:t xml:space="preserve"> </w:t>
            </w:r>
          </w:p>
        </w:tc>
      </w:tr>
    </w:tbl>
    <w:p w14:paraId="095D1C21" w14:textId="77777777" w:rsidR="007D1E1B" w:rsidRPr="00AB7D1E" w:rsidRDefault="0002353F" w:rsidP="00A02218">
      <w:pPr>
        <w:rPr>
          <w:lang w:val="en-US"/>
        </w:rPr>
      </w:pPr>
      <w:r w:rsidRPr="00AB7D1E">
        <w:rPr>
          <w:lang w:val="en-US"/>
        </w:rPr>
        <w:t xml:space="preserve">Handling radioactive medical waste (Group C4) is stipulated by Ordinance on the disposal of radioactive waste and used sources (OG 12/18). </w:t>
      </w:r>
      <w:r w:rsidR="00954419">
        <w:rPr>
          <w:lang w:val="en-US"/>
        </w:rPr>
        <w:t xml:space="preserve">Generation of radioactive waste is not expected as a result of the project implementation, but it can be generated as a result of everyday work of laboratories. </w:t>
      </w:r>
      <w:r w:rsidRPr="00AB7D1E">
        <w:rPr>
          <w:lang w:val="en-US"/>
        </w:rPr>
        <w:t xml:space="preserve">Obligations of radioactive waste generator are given in the </w:t>
      </w:r>
      <w:r w:rsidRPr="00AB7D1E">
        <w:rPr>
          <w:highlight w:val="yellow"/>
          <w:lang w:val="en-US"/>
        </w:rPr>
        <w:fldChar w:fldCharType="begin"/>
      </w:r>
      <w:r w:rsidRPr="00AB7D1E">
        <w:rPr>
          <w:lang w:val="en-US"/>
        </w:rPr>
        <w:instrText xml:space="preserve"> REF _Ref48475715 \h </w:instrText>
      </w:r>
      <w:r w:rsidR="00A02218" w:rsidRPr="00AB7D1E">
        <w:rPr>
          <w:highlight w:val="yellow"/>
          <w:lang w:val="en-US"/>
        </w:rPr>
        <w:instrText xml:space="preserve"> \* MERGEFORMAT </w:instrText>
      </w:r>
      <w:r w:rsidRPr="00AB7D1E">
        <w:rPr>
          <w:highlight w:val="yellow"/>
          <w:lang w:val="en-US"/>
        </w:rPr>
      </w:r>
      <w:r w:rsidRPr="00AB7D1E">
        <w:rPr>
          <w:highlight w:val="yellow"/>
          <w:lang w:val="en-US"/>
        </w:rPr>
        <w:fldChar w:fldCharType="separate"/>
      </w:r>
    </w:p>
    <w:p w14:paraId="71EF12C2" w14:textId="0973A36D" w:rsidR="00E1664B" w:rsidRPr="00AB7D1E" w:rsidRDefault="007D1E1B" w:rsidP="00A02218">
      <w:pPr>
        <w:rPr>
          <w:lang w:val="en-US"/>
        </w:rPr>
      </w:pPr>
      <w:r w:rsidRPr="007D1E1B">
        <w:rPr>
          <w:lang w:val="en-US"/>
        </w:rPr>
        <w:t>Table</w:t>
      </w:r>
      <w:r w:rsidRPr="007D1E1B">
        <w:rPr>
          <w:noProof/>
          <w:lang w:val="en-US"/>
        </w:rPr>
        <w:t xml:space="preserve"> </w:t>
      </w:r>
      <w:r>
        <w:rPr>
          <w:noProof/>
        </w:rPr>
        <w:t>17</w:t>
      </w:r>
      <w:r w:rsidR="0002353F" w:rsidRPr="00AB7D1E">
        <w:rPr>
          <w:highlight w:val="yellow"/>
          <w:lang w:val="en-US"/>
        </w:rPr>
        <w:fldChar w:fldCharType="end"/>
      </w:r>
      <w:r w:rsidR="0002353F" w:rsidRPr="00AB7D1E">
        <w:rPr>
          <w:lang w:val="en-US"/>
        </w:rPr>
        <w:t xml:space="preserve"> below.</w:t>
      </w:r>
      <w:bookmarkStart w:id="170" w:name="_Ref48475715"/>
    </w:p>
    <w:p w14:paraId="087E1874" w14:textId="644E2395" w:rsidR="0002353F" w:rsidRPr="00AB7D1E" w:rsidRDefault="0002353F" w:rsidP="007D1E1B">
      <w:pPr>
        <w:pStyle w:val="Style1"/>
        <w:rPr>
          <w:rFonts w:eastAsia="Times New Roman"/>
        </w:rPr>
      </w:pPr>
      <w:bookmarkStart w:id="171" w:name="_Toc56952717"/>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17</w:t>
      </w:r>
      <w:r w:rsidR="00DF4A34" w:rsidRPr="00AB7D1E">
        <w:fldChar w:fldCharType="end"/>
      </w:r>
      <w:bookmarkEnd w:id="170"/>
      <w:r w:rsidRPr="00AB7D1E">
        <w:t xml:space="preserve">. Obligations of radioactive medical waste generators </w:t>
      </w:r>
      <w:r w:rsidR="000855B7" w:rsidRPr="00AB7D1E">
        <w:t>(Group C4)</w:t>
      </w:r>
      <w:bookmarkEnd w:id="171"/>
    </w:p>
    <w:tbl>
      <w:tblPr>
        <w:tblStyle w:val="TableGrid"/>
        <w:tblW w:w="0" w:type="auto"/>
        <w:tblLook w:val="04A0" w:firstRow="1" w:lastRow="0" w:firstColumn="1" w:lastColumn="0" w:noHBand="0" w:noVBand="1"/>
      </w:tblPr>
      <w:tblGrid>
        <w:gridCol w:w="9016"/>
      </w:tblGrid>
      <w:tr w:rsidR="0002353F" w:rsidRPr="00AB7D1E" w14:paraId="19055FC2" w14:textId="77777777" w:rsidTr="000855B7">
        <w:tc>
          <w:tcPr>
            <w:tcW w:w="9016" w:type="dxa"/>
            <w:shd w:val="clear" w:color="auto" w:fill="CEDBE6" w:themeFill="background2"/>
          </w:tcPr>
          <w:p w14:paraId="687CDBB3" w14:textId="77777777" w:rsidR="0002353F" w:rsidRPr="00AB7D1E" w:rsidRDefault="0002353F" w:rsidP="00433783">
            <w:pPr>
              <w:widowControl w:val="0"/>
              <w:spacing w:after="0" w:line="240" w:lineRule="auto"/>
              <w:ind w:right="323"/>
              <w:rPr>
                <w:rFonts w:eastAsia="Times New Roman"/>
                <w:b/>
                <w:bCs/>
                <w:i/>
                <w:iCs/>
                <w:sz w:val="20"/>
                <w:szCs w:val="20"/>
                <w:lang w:val="en-US"/>
              </w:rPr>
            </w:pPr>
            <w:r w:rsidRPr="00AB7D1E">
              <w:rPr>
                <w:rFonts w:eastAsia="Times New Roman"/>
                <w:b/>
                <w:bCs/>
                <w:i/>
                <w:iCs/>
                <w:sz w:val="20"/>
                <w:szCs w:val="20"/>
                <w:lang w:val="en-US"/>
              </w:rPr>
              <w:t>Obligations of radioactive waste generator</w:t>
            </w:r>
          </w:p>
        </w:tc>
      </w:tr>
      <w:tr w:rsidR="0002353F" w:rsidRPr="00AB7D1E" w14:paraId="2E8595CF" w14:textId="77777777" w:rsidTr="00433783">
        <w:tc>
          <w:tcPr>
            <w:tcW w:w="9016" w:type="dxa"/>
            <w:shd w:val="clear" w:color="auto" w:fill="auto"/>
          </w:tcPr>
          <w:p w14:paraId="7E37675F"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must ensure that radioactive waste and recovered sources are generated in the smallest possible quantities.</w:t>
            </w:r>
          </w:p>
        </w:tc>
      </w:tr>
      <w:tr w:rsidR="0002353F" w:rsidRPr="00AB7D1E" w14:paraId="4A637AB0" w14:textId="77777777" w:rsidTr="00433783">
        <w:tc>
          <w:tcPr>
            <w:tcW w:w="9016" w:type="dxa"/>
          </w:tcPr>
          <w:p w14:paraId="55D0E80F" w14:textId="6ED12F1B"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is responsible for the classification of radioactive waste</w:t>
            </w:r>
            <w:r w:rsidR="00AB3DF0" w:rsidRPr="00AB7D1E">
              <w:rPr>
                <w:rFonts w:eastAsia="Times New Roman"/>
                <w:sz w:val="20"/>
                <w:szCs w:val="20"/>
                <w:lang w:val="en-US"/>
              </w:rPr>
              <w:t>.</w:t>
            </w:r>
          </w:p>
        </w:tc>
      </w:tr>
      <w:tr w:rsidR="0002353F" w:rsidRPr="00AB7D1E" w14:paraId="77B1E15D" w14:textId="77777777" w:rsidTr="00433783">
        <w:tc>
          <w:tcPr>
            <w:tcW w:w="9016" w:type="dxa"/>
          </w:tcPr>
          <w:p w14:paraId="656699B6"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not located in the Center for disposal of radioactive waste must act in accordance with their own Plan for disposal of radioactive waste which must contain:</w:t>
            </w:r>
          </w:p>
          <w:p w14:paraId="2C23CAE9"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organization of procedures for disposal of radioactive waste and the name of the person responsible for disposal</w:t>
            </w:r>
          </w:p>
          <w:p w14:paraId="742C26C8" w14:textId="7B3C84BB" w:rsidR="0002353F" w:rsidRPr="00AB7D1E" w:rsidRDefault="00AB3DF0"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w</w:t>
            </w:r>
            <w:r w:rsidR="0002353F" w:rsidRPr="00AB7D1E">
              <w:rPr>
                <w:rFonts w:eastAsia="Times New Roman"/>
                <w:sz w:val="20"/>
                <w:szCs w:val="20"/>
                <w:lang w:val="en-US"/>
              </w:rPr>
              <w:t>ritten procedures in accordance with which the care is carried out</w:t>
            </w:r>
          </w:p>
          <w:p w14:paraId="5CD8B433" w14:textId="797C1D90" w:rsidR="0002353F" w:rsidRPr="00AB7D1E" w:rsidRDefault="00AB3DF0"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d</w:t>
            </w:r>
            <w:r w:rsidR="0002353F" w:rsidRPr="00AB7D1E">
              <w:rPr>
                <w:rFonts w:eastAsia="Times New Roman"/>
                <w:sz w:val="20"/>
                <w:szCs w:val="20"/>
                <w:lang w:val="en-US"/>
              </w:rPr>
              <w:t>escription of the method of generation of radioactive waste, classification, categorization and dynamics of generation</w:t>
            </w:r>
          </w:p>
          <w:p w14:paraId="0085F7F3"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technical, organizational and other measures to prevent the harmful impact of radioactive waste on employees, individual residents and the environment</w:t>
            </w:r>
          </w:p>
          <w:p w14:paraId="2E85DC93"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anticipated dynamics of handing over radioactive waste for disposal to the Center or its release from supervision</w:t>
            </w:r>
          </w:p>
          <w:p w14:paraId="606BCF30"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the manner of keeping records of radioactive waste in the repository as well as the manner of reporting to the central records of radioactive waste and spent sources.</w:t>
            </w:r>
          </w:p>
          <w:p w14:paraId="22F85D56" w14:textId="77777777" w:rsidR="0002353F" w:rsidRPr="00AB7D1E" w:rsidRDefault="0002353F"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the producers and / or owners and possessors of radioactive waste and spent sources must revise their Disposal Plan every five years.</w:t>
            </w:r>
          </w:p>
          <w:p w14:paraId="2D2175D3" w14:textId="3E61CFD6" w:rsidR="0002353F" w:rsidRPr="00AB7D1E" w:rsidRDefault="00AB3DF0" w:rsidP="00BE60A0">
            <w:pPr>
              <w:pStyle w:val="ListParagraph"/>
              <w:widowControl w:val="0"/>
              <w:numPr>
                <w:ilvl w:val="0"/>
                <w:numId w:val="57"/>
              </w:numPr>
              <w:spacing w:after="0" w:line="240" w:lineRule="auto"/>
              <w:ind w:right="323"/>
              <w:contextualSpacing/>
              <w:rPr>
                <w:rFonts w:eastAsia="Times New Roman"/>
                <w:sz w:val="20"/>
                <w:szCs w:val="20"/>
                <w:lang w:val="en-US"/>
              </w:rPr>
            </w:pPr>
            <w:r w:rsidRPr="00AB7D1E">
              <w:rPr>
                <w:rFonts w:eastAsia="Times New Roman"/>
                <w:sz w:val="20"/>
                <w:szCs w:val="20"/>
                <w:lang w:val="en-US"/>
              </w:rPr>
              <w:t>t</w:t>
            </w:r>
            <w:r w:rsidR="0002353F" w:rsidRPr="00AB7D1E">
              <w:rPr>
                <w:rFonts w:eastAsia="Times New Roman"/>
                <w:sz w:val="20"/>
                <w:szCs w:val="20"/>
                <w:lang w:val="en-US"/>
              </w:rPr>
              <w:t>he plan for the disposal of radioactive waste and its revision shall be approved by the Institute.</w:t>
            </w:r>
          </w:p>
        </w:tc>
      </w:tr>
      <w:tr w:rsidR="0002353F" w:rsidRPr="00AB7D1E" w14:paraId="1C344603" w14:textId="77777777" w:rsidTr="00433783">
        <w:tc>
          <w:tcPr>
            <w:tcW w:w="9016" w:type="dxa"/>
          </w:tcPr>
          <w:p w14:paraId="7E1F9216" w14:textId="34CA48AF"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bears full responsibility for radioactive waste and used sources and is obliged to implement the prescribed radiological safety measures and nuclear security measures and prevent unauthorized removal (</w:t>
            </w:r>
            <w:r w:rsidR="00C9010D" w:rsidRPr="00AB7D1E">
              <w:rPr>
                <w:rFonts w:eastAsia="Times New Roman"/>
                <w:sz w:val="20"/>
                <w:szCs w:val="20"/>
                <w:lang w:val="en-US"/>
              </w:rPr>
              <w:t>e.g.</w:t>
            </w:r>
            <w:r w:rsidRPr="00AB7D1E">
              <w:rPr>
                <w:rFonts w:eastAsia="Times New Roman"/>
                <w:sz w:val="20"/>
                <w:szCs w:val="20"/>
                <w:lang w:val="en-US"/>
              </w:rPr>
              <w:t xml:space="preserve"> theft), loss, sabotage, unauthorized access, damage, unauthorized transfer or other malicious acts, all for the purpose of enabling adequate protection of individuals, society and the environment from the harmful consequences of ionizing radiation and preventing the misuse of radioactive waste and spent sources.</w:t>
            </w:r>
          </w:p>
        </w:tc>
      </w:tr>
      <w:tr w:rsidR="0002353F" w:rsidRPr="00AB7D1E" w14:paraId="5C76AB9E" w14:textId="77777777" w:rsidTr="00433783">
        <w:tc>
          <w:tcPr>
            <w:tcW w:w="9016" w:type="dxa"/>
          </w:tcPr>
          <w:p w14:paraId="1C6EA9D9" w14:textId="1F5444E0"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lastRenderedPageBreak/>
              <w:t xml:space="preserve">Radioactive waste generator must ensure that radioactive waste </w:t>
            </w:r>
            <w:r w:rsidR="00E3536F" w:rsidRPr="00AB7D1E">
              <w:rPr>
                <w:rFonts w:eastAsia="Times New Roman"/>
                <w:sz w:val="20"/>
                <w:szCs w:val="20"/>
                <w:lang w:val="en-US"/>
              </w:rPr>
              <w:t>is</w:t>
            </w:r>
            <w:r w:rsidRPr="00AB7D1E">
              <w:rPr>
                <w:rFonts w:eastAsia="Times New Roman"/>
                <w:sz w:val="20"/>
                <w:szCs w:val="20"/>
                <w:lang w:val="en-US"/>
              </w:rPr>
              <w:t xml:space="preserve"> disposed of in accordance with the provisions of Ordinance on the disposal of radioactive waste and used sources</w:t>
            </w:r>
            <w:r w:rsidR="006E6556" w:rsidRPr="00AB7D1E">
              <w:rPr>
                <w:rFonts w:eastAsia="Times New Roman"/>
                <w:sz w:val="20"/>
                <w:szCs w:val="20"/>
                <w:lang w:val="en-US"/>
              </w:rPr>
              <w:t xml:space="preserve"> (OG 12/18)</w:t>
            </w:r>
            <w:r w:rsidRPr="00AB7D1E">
              <w:rPr>
                <w:rFonts w:eastAsia="Times New Roman"/>
                <w:sz w:val="20"/>
                <w:szCs w:val="20"/>
                <w:lang w:val="en-US"/>
              </w:rPr>
              <w:t>.</w:t>
            </w:r>
          </w:p>
        </w:tc>
      </w:tr>
      <w:tr w:rsidR="0002353F" w:rsidRPr="00AB7D1E" w14:paraId="30936405" w14:textId="77777777" w:rsidTr="00433783">
        <w:tc>
          <w:tcPr>
            <w:tcW w:w="9016" w:type="dxa"/>
          </w:tcPr>
          <w:p w14:paraId="4FA2B8AB"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is obliged to insure and bear the costs of radioactive waste disposal.</w:t>
            </w:r>
          </w:p>
        </w:tc>
      </w:tr>
      <w:tr w:rsidR="0002353F" w:rsidRPr="00AB7D1E" w14:paraId="01D634AD" w14:textId="77777777" w:rsidTr="00433783">
        <w:tc>
          <w:tcPr>
            <w:tcW w:w="9016" w:type="dxa"/>
          </w:tcPr>
          <w:p w14:paraId="2170DCE0"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Radioactive waste generator shall be obliged to appoint a person responsible for radioactive waste disposal.</w:t>
            </w:r>
          </w:p>
        </w:tc>
      </w:tr>
      <w:tr w:rsidR="0002353F" w:rsidRPr="00AB7D1E" w14:paraId="15BEF278" w14:textId="77777777" w:rsidTr="00433783">
        <w:tc>
          <w:tcPr>
            <w:tcW w:w="9016" w:type="dxa"/>
          </w:tcPr>
          <w:p w14:paraId="11AF8646"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The person responsible for the radioactive waste disposal must have completed undergraduate and graduate university study or integrated undergraduate and graduate university study of technical or natural profession, as well as special professional education for handling ionizing radiation sources and application of radiological safety measures acquired through regular education , specialist education or additional education, for which there must be written evidence, and for which there are no security obstacles to the performance of the undertaken obligation.</w:t>
            </w:r>
          </w:p>
        </w:tc>
      </w:tr>
      <w:tr w:rsidR="0002353F" w:rsidRPr="00AB7D1E" w14:paraId="1B9746CB" w14:textId="77777777" w:rsidTr="00433783">
        <w:tc>
          <w:tcPr>
            <w:tcW w:w="9016" w:type="dxa"/>
          </w:tcPr>
          <w:p w14:paraId="59689133" w14:textId="77777777" w:rsidR="0002353F" w:rsidRPr="00AB7D1E" w:rsidRDefault="0002353F" w:rsidP="00433783">
            <w:pPr>
              <w:widowControl w:val="0"/>
              <w:spacing w:after="0" w:line="240" w:lineRule="auto"/>
              <w:ind w:right="323"/>
              <w:rPr>
                <w:rFonts w:eastAsia="Times New Roman"/>
                <w:sz w:val="20"/>
                <w:szCs w:val="20"/>
                <w:lang w:val="en-US"/>
              </w:rPr>
            </w:pPr>
            <w:r w:rsidRPr="00AB7D1E">
              <w:rPr>
                <w:rFonts w:eastAsia="Times New Roman"/>
                <w:sz w:val="20"/>
                <w:szCs w:val="20"/>
                <w:lang w:val="en-US"/>
              </w:rPr>
              <w:t xml:space="preserve">Radioactive waste generator may perform certain disposal processes for the of radioactive waste, except for storage and disposal, but in accordance with the Law radiological and nuclear safety and </w:t>
            </w:r>
            <w:proofErr w:type="gramStart"/>
            <w:r w:rsidRPr="00AB7D1E">
              <w:rPr>
                <w:rFonts w:eastAsia="Times New Roman"/>
                <w:sz w:val="20"/>
                <w:szCs w:val="20"/>
                <w:lang w:val="en-US"/>
              </w:rPr>
              <w:t>on the basis of</w:t>
            </w:r>
            <w:proofErr w:type="gramEnd"/>
            <w:r w:rsidRPr="00AB7D1E">
              <w:rPr>
                <w:rFonts w:eastAsia="Times New Roman"/>
                <w:sz w:val="20"/>
                <w:szCs w:val="20"/>
                <w:lang w:val="en-US"/>
              </w:rPr>
              <w:t xml:space="preserve"> the approval for performing the activity of radioactive waste disposal.</w:t>
            </w:r>
          </w:p>
        </w:tc>
      </w:tr>
    </w:tbl>
    <w:p w14:paraId="57972EA6" w14:textId="2D0F25AB" w:rsidR="0002353F" w:rsidRPr="00AB7D1E" w:rsidRDefault="0002353F" w:rsidP="00476EDC">
      <w:pPr>
        <w:rPr>
          <w:lang w:val="en-US"/>
        </w:rPr>
      </w:pPr>
      <w:r w:rsidRPr="00AB7D1E">
        <w:rPr>
          <w:lang w:val="en-US"/>
        </w:rPr>
        <w:t>Additionally, due to the current epidemic COVID-19 inadequate implementation of defined preventive and mitigation measures poses sever risk of possible COVID-19 disease and its transmission.</w:t>
      </w:r>
    </w:p>
    <w:p w14:paraId="79865C4D" w14:textId="16BE4138" w:rsidR="00196BF6" w:rsidRPr="00AB7D1E" w:rsidRDefault="00F12217" w:rsidP="00196BF6">
      <w:pPr>
        <w:pStyle w:val="Heading2"/>
        <w:rPr>
          <w:rFonts w:eastAsia="Times New Roman"/>
          <w:lang w:val="en-US" w:eastAsia="hr-HR"/>
        </w:rPr>
      </w:pPr>
      <w:bookmarkStart w:id="172" w:name="_Toc56954075"/>
      <w:r w:rsidRPr="00AB7D1E">
        <w:rPr>
          <w:rFonts w:eastAsia="Times New Roman"/>
          <w:lang w:val="en-US" w:eastAsia="hr-HR"/>
        </w:rPr>
        <w:t>Social impacts</w:t>
      </w:r>
      <w:bookmarkEnd w:id="172"/>
    </w:p>
    <w:p w14:paraId="0F6BFF7A" w14:textId="047FC34F" w:rsidR="00F67A25" w:rsidRPr="00AB7D1E" w:rsidRDefault="00F67A25" w:rsidP="00E1664B">
      <w:pPr>
        <w:rPr>
          <w:lang w:val="en-US"/>
        </w:rPr>
      </w:pPr>
      <w:r w:rsidRPr="00AB7D1E">
        <w:rPr>
          <w:lang w:val="en-US"/>
        </w:rPr>
        <w:t xml:space="preserve">No major adverse social impacts are expected under </w:t>
      </w:r>
      <w:r w:rsidR="00AE3521" w:rsidRPr="00AB7D1E">
        <w:rPr>
          <w:lang w:val="en-US"/>
        </w:rPr>
        <w:t>project (</w:t>
      </w:r>
      <w:r w:rsidRPr="00AB7D1E">
        <w:rPr>
          <w:lang w:val="en-US"/>
        </w:rPr>
        <w:t>Component 2</w:t>
      </w:r>
      <w:r w:rsidR="00AE3521" w:rsidRPr="00AB7D1E">
        <w:rPr>
          <w:lang w:val="en-US"/>
        </w:rPr>
        <w:t>)</w:t>
      </w:r>
      <w:r w:rsidRPr="00AB7D1E">
        <w:rPr>
          <w:lang w:val="en-US"/>
        </w:rPr>
        <w:t>. Implementation of the Component 2 activities will have positive social impacts and urgently needed.</w:t>
      </w:r>
    </w:p>
    <w:p w14:paraId="3D34925C" w14:textId="77777777" w:rsidR="00F67A25" w:rsidRPr="00AB7D1E" w:rsidRDefault="00F67A25" w:rsidP="00E1664B">
      <w:pPr>
        <w:rPr>
          <w:lang w:val="en-US"/>
        </w:rPr>
      </w:pPr>
      <w:r w:rsidRPr="00AB7D1E">
        <w:rPr>
          <w:lang w:val="en-US"/>
        </w:rPr>
        <w:t>Under the project, people with disabilities will benefit from the universal access design features of the rehabilitated public health laboratories.</w:t>
      </w:r>
    </w:p>
    <w:p w14:paraId="24DF9F40" w14:textId="77777777" w:rsidR="00F67A25" w:rsidRPr="00AB7D1E" w:rsidRDefault="00F67A25" w:rsidP="00E1664B">
      <w:pPr>
        <w:rPr>
          <w:lang w:val="en-US"/>
        </w:rPr>
      </w:pPr>
      <w:r w:rsidRPr="00AB7D1E">
        <w:rPr>
          <w:lang w:val="en-US"/>
        </w:rPr>
        <w:t>Furthermore, energy efficiency measures are also likely to produce positive outcomes, by contributing to national objectives of reducing energy consumption and GHG emissions.</w:t>
      </w:r>
    </w:p>
    <w:p w14:paraId="2987327C" w14:textId="576ECB72" w:rsidR="007F480B" w:rsidRPr="00AB7D1E" w:rsidRDefault="00F67A25" w:rsidP="00E1664B">
      <w:pPr>
        <w:rPr>
          <w:lang w:val="en-US"/>
        </w:rPr>
      </w:pPr>
      <w:r w:rsidRPr="00AB7D1E">
        <w:rPr>
          <w:lang w:val="en-US"/>
        </w:rPr>
        <w:t>The envisaged civil works are expected to take place in existing health care facilities, producing predictable, localized, limited, and temporary social impacts that are easily mitigated.</w:t>
      </w:r>
      <w:r w:rsidR="007F480B" w:rsidRPr="00AB7D1E">
        <w:rPr>
          <w:lang w:val="en-US"/>
        </w:rPr>
        <w:t xml:space="preserve"> </w:t>
      </w:r>
      <w:r w:rsidR="007F480B" w:rsidRPr="00AB7D1E">
        <w:rPr>
          <w:bCs/>
          <w:iCs/>
          <w:lang w:val="en-US"/>
        </w:rPr>
        <w:t>Risks involve general occupational health and safety hazards such</w:t>
      </w:r>
      <w:r w:rsidR="007F480B" w:rsidRPr="00AB7D1E">
        <w:rPr>
          <w:lang w:val="en-US"/>
        </w:rPr>
        <w:t xml:space="preserve"> as: use of heavy equipment, trip and fall hazards, exposure to noise and dust, falling objects, exposure to hazardous materials </w:t>
      </w:r>
      <w:r w:rsidR="00AE3521" w:rsidRPr="00AB7D1E">
        <w:rPr>
          <w:lang w:val="en-US"/>
        </w:rPr>
        <w:t xml:space="preserve">(e.g. paints and varnished) </w:t>
      </w:r>
      <w:r w:rsidR="007F480B" w:rsidRPr="00AB7D1E">
        <w:rPr>
          <w:lang w:val="en-US"/>
        </w:rPr>
        <w:t xml:space="preserve">and exposure to electrical hazards from the use of tools and machinery. Persons under the age of 18 will not be employed under the </w:t>
      </w:r>
      <w:r w:rsidR="00AE3521" w:rsidRPr="00AB7D1E">
        <w:rPr>
          <w:lang w:val="en-US"/>
        </w:rPr>
        <w:t>p</w:t>
      </w:r>
      <w:r w:rsidR="007F480B" w:rsidRPr="00AB7D1E">
        <w:rPr>
          <w:lang w:val="en-US"/>
        </w:rPr>
        <w:t>roject. Many workers will be exposed to occupational health and safety hazards, primarily including but not limited to:</w:t>
      </w:r>
    </w:p>
    <w:p w14:paraId="42A897FD" w14:textId="7BB086F6"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Working at height</w:t>
      </w:r>
      <w:r w:rsidR="00E24694" w:rsidRPr="00AB7D1E">
        <w:rPr>
          <w:rFonts w:cstheme="minorHAnsi"/>
          <w:lang w:val="en-US"/>
        </w:rPr>
        <w:t>;</w:t>
      </w:r>
    </w:p>
    <w:p w14:paraId="58DB8FB0" w14:textId="4C86FDF1"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Electrocutions and Electrical works</w:t>
      </w:r>
      <w:r w:rsidR="00E24694" w:rsidRPr="00AB7D1E">
        <w:rPr>
          <w:rFonts w:cstheme="minorHAnsi"/>
          <w:lang w:val="en-US"/>
        </w:rPr>
        <w:t>;</w:t>
      </w:r>
    </w:p>
    <w:p w14:paraId="7A24376A" w14:textId="71C8EAA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Traffic accidents</w:t>
      </w:r>
      <w:r w:rsidR="00E24694" w:rsidRPr="00AB7D1E">
        <w:rPr>
          <w:rFonts w:cstheme="minorHAnsi"/>
          <w:lang w:val="en-US"/>
        </w:rPr>
        <w:t>;</w:t>
      </w:r>
    </w:p>
    <w:p w14:paraId="5A6ECD99" w14:textId="43DEFC48"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Lifting of heavy structures</w:t>
      </w:r>
      <w:r w:rsidR="00E24694" w:rsidRPr="00AB7D1E">
        <w:rPr>
          <w:rFonts w:cstheme="minorHAnsi"/>
          <w:lang w:val="en-US"/>
        </w:rPr>
        <w:t>;</w:t>
      </w:r>
    </w:p>
    <w:p w14:paraId="67D25C98" w14:textId="5C813A7C"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Accidents with exposed rebars</w:t>
      </w:r>
      <w:r w:rsidR="00E24694" w:rsidRPr="00AB7D1E">
        <w:rPr>
          <w:rFonts w:cstheme="minorHAnsi"/>
          <w:lang w:val="en-US"/>
        </w:rPr>
        <w:t>;</w:t>
      </w:r>
    </w:p>
    <w:p w14:paraId="0C371048" w14:textId="64AD8933"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Exposure to construction airborne agents (dust, etc.)</w:t>
      </w:r>
      <w:r w:rsidR="00E24694" w:rsidRPr="00AB7D1E">
        <w:rPr>
          <w:rFonts w:cstheme="minorHAnsi"/>
          <w:lang w:val="en-US"/>
        </w:rPr>
        <w:t>;</w:t>
      </w:r>
    </w:p>
    <w:p w14:paraId="37786490" w14:textId="707567C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Ergonomic hazards during construction</w:t>
      </w:r>
      <w:r w:rsidR="00E24694" w:rsidRPr="00AB7D1E">
        <w:rPr>
          <w:rFonts w:cstheme="minorHAnsi"/>
          <w:lang w:val="en-US"/>
        </w:rPr>
        <w:t>;</w:t>
      </w:r>
    </w:p>
    <w:p w14:paraId="20B6A9F4" w14:textId="631B3FF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Vibration of heavy construction equipment</w:t>
      </w:r>
      <w:r w:rsidR="00E24694" w:rsidRPr="00AB7D1E">
        <w:rPr>
          <w:rFonts w:cstheme="minorHAnsi"/>
          <w:lang w:val="en-US"/>
        </w:rPr>
        <w:t>;</w:t>
      </w:r>
    </w:p>
    <w:p w14:paraId="1AA2AD9D" w14:textId="7777777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Use of rotating and moving equipment;</w:t>
      </w:r>
    </w:p>
    <w:p w14:paraId="6DEB2DCF" w14:textId="77777777"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Lack of workers’ awareness on occupational health and safety requirements such as the use of personal protective equipment (PPE) and safe workplace practices;</w:t>
      </w:r>
    </w:p>
    <w:p w14:paraId="72494CDE" w14:textId="2771DE8B" w:rsidR="007F480B"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Exposure to hazardous substances (e.g. paints and varnishes)</w:t>
      </w:r>
      <w:r w:rsidR="00E24694" w:rsidRPr="00AB7D1E">
        <w:rPr>
          <w:rFonts w:cstheme="minorHAnsi"/>
          <w:lang w:val="en-US"/>
        </w:rPr>
        <w:t>;</w:t>
      </w:r>
    </w:p>
    <w:p w14:paraId="31ED2D32" w14:textId="2B566715" w:rsidR="00F67A25" w:rsidRPr="00AB7D1E" w:rsidRDefault="007F480B" w:rsidP="00BE60A0">
      <w:pPr>
        <w:numPr>
          <w:ilvl w:val="0"/>
          <w:numId w:val="44"/>
        </w:numPr>
        <w:suppressAutoHyphens w:val="0"/>
        <w:autoSpaceDN/>
        <w:spacing w:before="0" w:after="0" w:line="276" w:lineRule="auto"/>
        <w:contextualSpacing/>
        <w:textAlignment w:val="auto"/>
        <w:rPr>
          <w:rFonts w:cstheme="minorHAnsi"/>
          <w:lang w:val="en-US"/>
        </w:rPr>
      </w:pPr>
      <w:r w:rsidRPr="00AB7D1E">
        <w:rPr>
          <w:rFonts w:cstheme="minorHAnsi"/>
          <w:lang w:val="en-US"/>
        </w:rPr>
        <w:t>COVID-19 risk.</w:t>
      </w:r>
    </w:p>
    <w:p w14:paraId="62F84594" w14:textId="2662985F" w:rsidR="007F480B" w:rsidRPr="00AB7D1E" w:rsidRDefault="007F480B" w:rsidP="00E1664B">
      <w:pPr>
        <w:rPr>
          <w:lang w:val="en-US"/>
        </w:rPr>
      </w:pPr>
      <w:r w:rsidRPr="00AB7D1E">
        <w:rPr>
          <w:lang w:val="en-US"/>
        </w:rPr>
        <w:lastRenderedPageBreak/>
        <w:t>Civil works may case temporary disruptions to nearby communities such as: increased levels of noise, dust, or temporary disruptions to traffic, risk of road accidents for pedestrians, disruptions in utility services due to accidents or planned interventions (water, gas, electricity) and poor occupational health and safety practices, including those that do not prevent COVID-19</w:t>
      </w:r>
      <w:r w:rsidR="00AE3521" w:rsidRPr="00AB7D1E">
        <w:rPr>
          <w:lang w:val="en-US"/>
        </w:rPr>
        <w:t xml:space="preserve"> transmission</w:t>
      </w:r>
      <w:r w:rsidRPr="00AB7D1E">
        <w:rPr>
          <w:lang w:val="en-US"/>
        </w:rPr>
        <w:t xml:space="preserve">. </w:t>
      </w:r>
    </w:p>
    <w:p w14:paraId="2F0F1F81" w14:textId="4AE4E492" w:rsidR="007F480B" w:rsidRPr="00AB7D1E" w:rsidRDefault="00F67A25" w:rsidP="00E1664B">
      <w:pPr>
        <w:rPr>
          <w:rFonts w:cstheme="minorHAnsi"/>
          <w:lang w:val="en-US"/>
        </w:rPr>
      </w:pPr>
      <w:r w:rsidRPr="00AB7D1E">
        <w:rPr>
          <w:rFonts w:cstheme="minorHAnsi"/>
          <w:lang w:val="en-US"/>
        </w:rPr>
        <w:t>No involuntary resettlement impacts are anticipated, and no resettlement and land acquisition will take place. Any activities that might cause land acquisition or involuntary resettlement will not be eligible for financing.</w:t>
      </w:r>
    </w:p>
    <w:p w14:paraId="74096578" w14:textId="6EC88272" w:rsidR="00F67A25" w:rsidRPr="00AB7D1E" w:rsidRDefault="00F67A25" w:rsidP="00E1664B">
      <w:pPr>
        <w:rPr>
          <w:rFonts w:cstheme="minorHAnsi"/>
          <w:lang w:val="en-US"/>
        </w:rPr>
      </w:pPr>
      <w:r w:rsidRPr="00AB7D1E">
        <w:rPr>
          <w:rFonts w:cstheme="minorHAnsi"/>
          <w:lang w:val="en-US"/>
        </w:rPr>
        <w:t>The adverse social impacts might be associated with the labor safety and health issues in case the prescribed mitigation measures are not followed by contractors during the execution of the civil work</w:t>
      </w:r>
      <w:r w:rsidR="00AE3521" w:rsidRPr="00AB7D1E">
        <w:rPr>
          <w:rFonts w:cstheme="minorHAnsi"/>
          <w:lang w:val="en-US"/>
        </w:rPr>
        <w:t>s</w:t>
      </w:r>
      <w:r w:rsidRPr="00AB7D1E">
        <w:rPr>
          <w:rFonts w:cstheme="minorHAnsi"/>
          <w:lang w:val="en-US"/>
        </w:rPr>
        <w:t xml:space="preserve"> or installation of the new equipment in laborator</w:t>
      </w:r>
      <w:r w:rsidR="00F046EB" w:rsidRPr="00AB7D1E">
        <w:rPr>
          <w:rFonts w:cstheme="minorHAnsi"/>
          <w:lang w:val="en-US"/>
        </w:rPr>
        <w:t>ies</w:t>
      </w:r>
      <w:r w:rsidRPr="00AB7D1E">
        <w:rPr>
          <w:rFonts w:cstheme="minorHAnsi"/>
          <w:lang w:val="en-US"/>
        </w:rPr>
        <w:t>.</w:t>
      </w:r>
    </w:p>
    <w:p w14:paraId="0141F97F" w14:textId="6165E3CE" w:rsidR="00D562BF" w:rsidRPr="00AB7D1E" w:rsidRDefault="00F67A25" w:rsidP="00E1664B">
      <w:pPr>
        <w:rPr>
          <w:rFonts w:eastAsia="Malgun Gothic" w:cstheme="minorHAnsi"/>
          <w:lang w:val="en-US"/>
        </w:rPr>
      </w:pPr>
      <w:r w:rsidRPr="00AB7D1E">
        <w:rPr>
          <w:rFonts w:cstheme="minorHAnsi"/>
          <w:lang w:val="en-US"/>
        </w:rPr>
        <w:t xml:space="preserve">The procurement of supplies and medical equipment have limited, if any, impacts. </w:t>
      </w:r>
      <w:r w:rsidR="00D562BF" w:rsidRPr="00AB7D1E">
        <w:rPr>
          <w:rFonts w:eastAsia="Malgun Gothic" w:cstheme="minorHAnsi"/>
          <w:lang w:val="en-US"/>
        </w:rPr>
        <w:t>The distribution of medical supplies and equipment procured with World Bank funding to health facilities is anticipated to commence immediately.</w:t>
      </w:r>
    </w:p>
    <w:p w14:paraId="26816C84" w14:textId="77777777" w:rsidR="00D562BF" w:rsidRPr="00AB7D1E" w:rsidRDefault="00D562BF" w:rsidP="00E1664B">
      <w:pPr>
        <w:rPr>
          <w:lang w:val="en-US"/>
        </w:rPr>
      </w:pPr>
      <w:r w:rsidRPr="00AB7D1E">
        <w:rPr>
          <w:lang w:val="en-US"/>
        </w:rPr>
        <w:t>The potential risks associated with this activity include:</w:t>
      </w:r>
    </w:p>
    <w:p w14:paraId="2ED08673" w14:textId="77777777" w:rsidR="00D562BF" w:rsidRPr="00AB7D1E" w:rsidRDefault="00D562BF" w:rsidP="00BE60A0">
      <w:pPr>
        <w:pStyle w:val="ListParagraph"/>
        <w:numPr>
          <w:ilvl w:val="0"/>
          <w:numId w:val="50"/>
        </w:numPr>
        <w:suppressAutoHyphens w:val="0"/>
        <w:autoSpaceDN/>
        <w:spacing w:before="0" w:after="0" w:line="240" w:lineRule="auto"/>
        <w:contextualSpacing/>
        <w:textAlignment w:val="auto"/>
        <w:rPr>
          <w:rFonts w:eastAsia="Malgun Gothic" w:cstheme="minorHAnsi"/>
          <w:lang w:val="en-US"/>
        </w:rPr>
      </w:pPr>
      <w:r w:rsidRPr="00AB7D1E">
        <w:rPr>
          <w:rFonts w:eastAsia="Malgun Gothic" w:cstheme="minorHAnsi"/>
          <w:lang w:val="en-US"/>
        </w:rPr>
        <w:t xml:space="preserve">the emergency nature of these activities and the urgency of the tasks pose the risk of excessive working hours by drivers and potential risks of accidents and </w:t>
      </w:r>
    </w:p>
    <w:p w14:paraId="2984EF16" w14:textId="561FE315" w:rsidR="00D562BF" w:rsidRPr="00AB7D1E" w:rsidRDefault="00D562BF" w:rsidP="00BE60A0">
      <w:pPr>
        <w:pStyle w:val="ListParagraph"/>
        <w:numPr>
          <w:ilvl w:val="0"/>
          <w:numId w:val="49"/>
        </w:numPr>
        <w:suppressAutoHyphens w:val="0"/>
        <w:autoSpaceDN/>
        <w:spacing w:before="0" w:after="0" w:line="240" w:lineRule="auto"/>
        <w:contextualSpacing/>
        <w:textAlignment w:val="auto"/>
        <w:rPr>
          <w:rFonts w:eastAsia="Malgun Gothic" w:cstheme="minorHAnsi"/>
          <w:lang w:val="en-US"/>
        </w:rPr>
      </w:pPr>
      <w:r w:rsidRPr="00AB7D1E">
        <w:rPr>
          <w:rFonts w:eastAsia="Malgun Gothic" w:cstheme="minorHAnsi"/>
          <w:lang w:val="en-US"/>
        </w:rPr>
        <w:t>there is the possibility of interactions with health care workers and exposure to contaminated materials at health care facilities</w:t>
      </w:r>
    </w:p>
    <w:p w14:paraId="27869066" w14:textId="739B7BA7" w:rsidR="00F67A25" w:rsidRPr="00AB7D1E" w:rsidRDefault="00D562BF" w:rsidP="00E1664B">
      <w:pPr>
        <w:rPr>
          <w:lang w:val="en-US"/>
        </w:rPr>
      </w:pPr>
      <w:r w:rsidRPr="00AB7D1E">
        <w:rPr>
          <w:lang w:val="en-US"/>
        </w:rPr>
        <w:t xml:space="preserve">Both these risks are considered low, </w:t>
      </w:r>
      <w:proofErr w:type="gramStart"/>
      <w:r w:rsidRPr="00AB7D1E">
        <w:rPr>
          <w:lang w:val="en-US"/>
        </w:rPr>
        <w:t>in light of</w:t>
      </w:r>
      <w:proofErr w:type="gramEnd"/>
      <w:r w:rsidRPr="00AB7D1E">
        <w:rPr>
          <w:lang w:val="en-US"/>
        </w:rPr>
        <w:t xml:space="preserve"> the finite duration of the activity, and will be mitigated in accordance with national labor and OHS policies as well as adhering to appropriate </w:t>
      </w:r>
      <w:r w:rsidR="006D7894" w:rsidRPr="00AB7D1E">
        <w:rPr>
          <w:lang w:val="en-US"/>
        </w:rPr>
        <w:t>measures</w:t>
      </w:r>
      <w:r w:rsidRPr="00AB7D1E">
        <w:rPr>
          <w:lang w:val="en-US"/>
        </w:rPr>
        <w:t xml:space="preserve"> </w:t>
      </w:r>
      <w:r w:rsidR="006D7894" w:rsidRPr="00AB7D1E">
        <w:rPr>
          <w:lang w:val="en-US"/>
        </w:rPr>
        <w:t>defined in this ESMF</w:t>
      </w:r>
      <w:r w:rsidRPr="00AB7D1E">
        <w:rPr>
          <w:lang w:val="en-US"/>
        </w:rPr>
        <w:t>.</w:t>
      </w:r>
    </w:p>
    <w:p w14:paraId="721A107B" w14:textId="61A64542" w:rsidR="00F67A25" w:rsidRPr="00AB7D1E" w:rsidRDefault="00F67A25" w:rsidP="00E1664B">
      <w:pPr>
        <w:rPr>
          <w:lang w:val="en-US"/>
        </w:rPr>
      </w:pPr>
      <w:r w:rsidRPr="00AB7D1E">
        <w:rPr>
          <w:lang w:val="en-US"/>
        </w:rPr>
        <w:t>Attention is required to ensure all Good International Industry Practices (GIIP), WHO guidance</w:t>
      </w:r>
      <w:r w:rsidR="00486567" w:rsidRPr="00AB7D1E">
        <w:rPr>
          <w:lang w:val="en-US"/>
        </w:rPr>
        <w:t>, Environmental Health and Safety (EHS) Guidelines of the World Bank Group,</w:t>
      </w:r>
      <w:r w:rsidRPr="00AB7D1E">
        <w:rPr>
          <w:lang w:val="en-US"/>
        </w:rPr>
        <w:t xml:space="preserve"> and national </w:t>
      </w:r>
      <w:proofErr w:type="spellStart"/>
      <w:r w:rsidRPr="00AB7D1E">
        <w:rPr>
          <w:lang w:val="en-US"/>
        </w:rPr>
        <w:t>guidances</w:t>
      </w:r>
      <w:proofErr w:type="spellEnd"/>
      <w:r w:rsidRPr="00AB7D1E">
        <w:rPr>
          <w:lang w:val="en-US"/>
        </w:rPr>
        <w:t xml:space="preserve"> are applied to the COVID-19 waste stream as part of the medical waste management system in place.</w:t>
      </w:r>
    </w:p>
    <w:p w14:paraId="6CF73EE2" w14:textId="6E6F2C99" w:rsidR="00F67A25" w:rsidRPr="00AB7D1E" w:rsidRDefault="00F67A25" w:rsidP="00E1664B">
      <w:pPr>
        <w:rPr>
          <w:lang w:val="en-US"/>
        </w:rPr>
      </w:pPr>
      <w:r w:rsidRPr="00AB7D1E">
        <w:rPr>
          <w:lang w:val="en-US"/>
        </w:rPr>
        <w:t xml:space="preserve">Labor related risks, typically associated with a large and diverse workforce which is not case for this project, child labor, labor influx and gender-based violence issues are not likely to occur. All contractors and workers employed in construction activities are likely to be local. Risk related to labor influx is minimal as </w:t>
      </w:r>
      <w:r w:rsidR="00F046EB" w:rsidRPr="00AB7D1E">
        <w:rPr>
          <w:lang w:val="en-US"/>
        </w:rPr>
        <w:t xml:space="preserve">repair and </w:t>
      </w:r>
      <w:r w:rsidRPr="00AB7D1E">
        <w:rPr>
          <w:lang w:val="en-US"/>
        </w:rPr>
        <w:t>rehabilitation works are of small</w:t>
      </w:r>
      <w:r w:rsidR="0068779C" w:rsidRPr="00AB7D1E">
        <w:rPr>
          <w:lang w:val="en-US"/>
        </w:rPr>
        <w:t xml:space="preserve"> to medium </w:t>
      </w:r>
      <w:r w:rsidRPr="00AB7D1E">
        <w:rPr>
          <w:lang w:val="en-US"/>
        </w:rPr>
        <w:t>scale nature and procurement of supplies and equipment, and staff trainings will be conducted by PIU staff and local consultants.</w:t>
      </w:r>
    </w:p>
    <w:p w14:paraId="64345C36" w14:textId="77777777" w:rsidR="00F67A25" w:rsidRPr="00AB7D1E" w:rsidRDefault="00F67A25" w:rsidP="00E1664B">
      <w:pPr>
        <w:rPr>
          <w:lang w:val="en-US"/>
        </w:rPr>
      </w:pPr>
      <w:r w:rsidRPr="00AB7D1E">
        <w:rPr>
          <w:lang w:val="en-US"/>
        </w:rPr>
        <w:t>The project will be implemented in strict adherence to the principles of equality and non-discrimination.</w:t>
      </w:r>
    </w:p>
    <w:p w14:paraId="47C2640D" w14:textId="2C0A9891" w:rsidR="00F67A25" w:rsidRPr="00AB7D1E" w:rsidRDefault="00F67A25" w:rsidP="00E1664B">
      <w:pPr>
        <w:rPr>
          <w:rFonts w:cstheme="minorHAnsi"/>
          <w:lang w:val="en-US"/>
        </w:rPr>
      </w:pPr>
      <w:r w:rsidRPr="00AB7D1E">
        <w:rPr>
          <w:rFonts w:cstheme="minorHAnsi"/>
          <w:lang w:val="en-US"/>
        </w:rPr>
        <w:t>Access to services and supplies, funded under the project, will be provided to all people, regardless of their social status, based on the urgency of the need.</w:t>
      </w:r>
    </w:p>
    <w:p w14:paraId="5AEE69F1" w14:textId="238D9039" w:rsidR="00F67A25" w:rsidRPr="00AB7D1E" w:rsidRDefault="00F67A25" w:rsidP="00511136">
      <w:pPr>
        <w:pStyle w:val="Heading3"/>
        <w:rPr>
          <w:color w:val="2683C6" w:themeColor="accent6"/>
          <w:lang w:val="en-US"/>
        </w:rPr>
      </w:pPr>
      <w:bookmarkStart w:id="173" w:name="_Toc56954076"/>
      <w:r w:rsidRPr="00AB7D1E">
        <w:rPr>
          <w:lang w:val="en-US"/>
        </w:rPr>
        <w:t>Labor and working conditions</w:t>
      </w:r>
      <w:bookmarkEnd w:id="173"/>
    </w:p>
    <w:p w14:paraId="07633605" w14:textId="77777777" w:rsidR="00F67A25" w:rsidRPr="00AB7D1E" w:rsidRDefault="00F67A25" w:rsidP="00E1664B">
      <w:pPr>
        <w:rPr>
          <w:lang w:val="en-US"/>
        </w:rPr>
      </w:pPr>
      <w:r w:rsidRPr="00AB7D1E">
        <w:rPr>
          <w:lang w:val="en-US"/>
        </w:rPr>
        <w:t xml:space="preserve">ESS2 categorizes the workers </w:t>
      </w:r>
      <w:proofErr w:type="gramStart"/>
      <w:r w:rsidRPr="00AB7D1E">
        <w:rPr>
          <w:lang w:val="en-US"/>
        </w:rPr>
        <w:t>into:</w:t>
      </w:r>
      <w:proofErr w:type="gramEnd"/>
      <w:r w:rsidRPr="00AB7D1E">
        <w:rPr>
          <w:lang w:val="en-US"/>
        </w:rPr>
        <w:t xml:space="preserve"> direct workers, contracted workers, community workers and primary supply workers.</w:t>
      </w:r>
    </w:p>
    <w:p w14:paraId="041C0DC6" w14:textId="12159170" w:rsidR="00F67A25" w:rsidRPr="00AB7D1E" w:rsidRDefault="00F67A25" w:rsidP="00E1664B">
      <w:pPr>
        <w:rPr>
          <w:lang w:val="en-US"/>
        </w:rPr>
      </w:pPr>
      <w:r w:rsidRPr="00AB7D1E">
        <w:rPr>
          <w:lang w:val="en-US"/>
        </w:rPr>
        <w:t xml:space="preserve">Project workers include the </w:t>
      </w:r>
      <w:proofErr w:type="spellStart"/>
      <w:r w:rsidRPr="00AB7D1E">
        <w:rPr>
          <w:lang w:val="en-US"/>
        </w:rPr>
        <w:t>MoPPCS</w:t>
      </w:r>
      <w:r w:rsidR="00125CE2">
        <w:rPr>
          <w:lang w:val="en-US"/>
        </w:rPr>
        <w:t>A</w:t>
      </w:r>
      <w:proofErr w:type="spellEnd"/>
      <w:r w:rsidRPr="00AB7D1E">
        <w:rPr>
          <w:lang w:val="en-US"/>
        </w:rPr>
        <w:t xml:space="preserve"> and </w:t>
      </w:r>
      <w:proofErr w:type="spellStart"/>
      <w:r w:rsidRPr="00AB7D1E">
        <w:rPr>
          <w:lang w:val="en-US"/>
        </w:rPr>
        <w:t>MoH</w:t>
      </w:r>
      <w:proofErr w:type="spellEnd"/>
      <w:r w:rsidRPr="00AB7D1E">
        <w:rPr>
          <w:lang w:val="en-US"/>
        </w:rPr>
        <w:t xml:space="preserve"> staff, consultants, and contracted /subcontracted workers. Project activities will not require hiring of community workers.</w:t>
      </w:r>
    </w:p>
    <w:p w14:paraId="67AA0EE6" w14:textId="77777777" w:rsidR="00F67A25" w:rsidRPr="00AB7D1E" w:rsidRDefault="00F67A25" w:rsidP="00E1664B">
      <w:pPr>
        <w:rPr>
          <w:lang w:val="en-US"/>
        </w:rPr>
      </w:pPr>
      <w:r w:rsidRPr="00AB7D1E">
        <w:rPr>
          <w:lang w:val="en-US"/>
        </w:rPr>
        <w:t xml:space="preserve">The project footprint is relatively small and does not entail a significant amount of </w:t>
      </w:r>
      <w:proofErr w:type="spellStart"/>
      <w:r w:rsidRPr="00AB7D1E">
        <w:rPr>
          <w:lang w:val="en-US"/>
        </w:rPr>
        <w:t>labour</w:t>
      </w:r>
      <w:proofErr w:type="spellEnd"/>
      <w:r w:rsidRPr="00AB7D1E">
        <w:rPr>
          <w:lang w:val="en-US"/>
        </w:rPr>
        <w:t xml:space="preserve">, as the rehabilitation works will be small to medium scale, so it is unlikely that </w:t>
      </w:r>
      <w:proofErr w:type="gramStart"/>
      <w:r w:rsidRPr="00AB7D1E">
        <w:rPr>
          <w:lang w:val="en-US"/>
        </w:rPr>
        <w:t>a large number of</w:t>
      </w:r>
      <w:proofErr w:type="gramEnd"/>
      <w:r w:rsidRPr="00AB7D1E">
        <w:rPr>
          <w:lang w:val="en-US"/>
        </w:rPr>
        <w:t xml:space="preserve"> workers would be needed. </w:t>
      </w:r>
    </w:p>
    <w:p w14:paraId="658C0F95" w14:textId="77777777" w:rsidR="00F67A25" w:rsidRPr="00AB7D1E" w:rsidRDefault="00F67A25" w:rsidP="00E1664B">
      <w:pPr>
        <w:rPr>
          <w:lang w:val="en-US"/>
        </w:rPr>
      </w:pPr>
      <w:r w:rsidRPr="00AB7D1E">
        <w:rPr>
          <w:lang w:val="en-US"/>
        </w:rPr>
        <w:lastRenderedPageBreak/>
        <w:t xml:space="preserve">Primary supply workers are not relevant as the project will unlikely source goods or materials from a single supplier on an on-going basis. </w:t>
      </w:r>
    </w:p>
    <w:p w14:paraId="07C57851" w14:textId="23DF39EA" w:rsidR="00F67A25" w:rsidRPr="00AB7D1E" w:rsidRDefault="00F67A25" w:rsidP="00E1664B">
      <w:pPr>
        <w:rPr>
          <w:lang w:val="en-US"/>
        </w:rPr>
      </w:pPr>
      <w:r w:rsidRPr="00AB7D1E">
        <w:rPr>
          <w:lang w:val="en-US"/>
        </w:rPr>
        <w:t xml:space="preserve">The main Project Implementation Unit (PIU) will be established within the </w:t>
      </w:r>
      <w:proofErr w:type="spellStart"/>
      <w:r w:rsidRPr="00AB7D1E">
        <w:rPr>
          <w:lang w:val="en-US"/>
        </w:rPr>
        <w:t>MoPPCS</w:t>
      </w:r>
      <w:r w:rsidR="00125CE2">
        <w:rPr>
          <w:lang w:val="en-US"/>
        </w:rPr>
        <w:t>A</w:t>
      </w:r>
      <w:proofErr w:type="spellEnd"/>
      <w:r w:rsidRPr="00AB7D1E">
        <w:rPr>
          <w:lang w:val="en-US"/>
        </w:rPr>
        <w:t xml:space="preserve">. The </w:t>
      </w:r>
      <w:proofErr w:type="spellStart"/>
      <w:r w:rsidRPr="00AB7D1E">
        <w:rPr>
          <w:lang w:val="en-US"/>
        </w:rPr>
        <w:t>MoPPCS</w:t>
      </w:r>
      <w:r w:rsidR="00125CE2">
        <w:rPr>
          <w:lang w:val="en-US"/>
        </w:rPr>
        <w:t>A</w:t>
      </w:r>
      <w:proofErr w:type="spellEnd"/>
      <w:r w:rsidRPr="00AB7D1E">
        <w:rPr>
          <w:lang w:val="en-US"/>
        </w:rPr>
        <w:t xml:space="preserve"> PIU (PIU-1) will be responsible for civil works under Component 2 (repair and rehabilitation of public health laboratories). A second PIU, the </w:t>
      </w:r>
      <w:proofErr w:type="spellStart"/>
      <w:r w:rsidRPr="00AB7D1E">
        <w:rPr>
          <w:lang w:val="en-US"/>
        </w:rPr>
        <w:t>MoH</w:t>
      </w:r>
      <w:proofErr w:type="spellEnd"/>
      <w:r w:rsidRPr="00AB7D1E">
        <w:rPr>
          <w:lang w:val="en-US"/>
        </w:rPr>
        <w:t xml:space="preserve"> PIU (PIU-2), will be established within the </w:t>
      </w:r>
      <w:proofErr w:type="spellStart"/>
      <w:r w:rsidRPr="00AB7D1E">
        <w:rPr>
          <w:lang w:val="en-US"/>
        </w:rPr>
        <w:t>MoH</w:t>
      </w:r>
      <w:proofErr w:type="spellEnd"/>
      <w:r w:rsidRPr="00AB7D1E">
        <w:rPr>
          <w:lang w:val="en-US"/>
        </w:rPr>
        <w:t xml:space="preserve"> and will be responsible for all activities under Component 2, except civil works</w:t>
      </w:r>
    </w:p>
    <w:p w14:paraId="0FBEB888" w14:textId="32F2B6ED" w:rsidR="00F67A25" w:rsidRPr="00AB7D1E" w:rsidRDefault="00F67A25" w:rsidP="00E1664B">
      <w:pPr>
        <w:rPr>
          <w:rFonts w:cstheme="minorHAnsi"/>
          <w:lang w:val="en-US"/>
        </w:rPr>
      </w:pPr>
      <w:proofErr w:type="spellStart"/>
      <w:r w:rsidRPr="00AB7D1E">
        <w:rPr>
          <w:rFonts w:cstheme="minorHAnsi"/>
          <w:lang w:val="en-US"/>
        </w:rPr>
        <w:t>MoPPCS</w:t>
      </w:r>
      <w:r w:rsidR="00125CE2">
        <w:rPr>
          <w:rFonts w:cstheme="minorHAnsi"/>
          <w:lang w:val="en-US"/>
        </w:rPr>
        <w:t>A</w:t>
      </w:r>
      <w:proofErr w:type="spellEnd"/>
      <w:r w:rsidRPr="00AB7D1E">
        <w:rPr>
          <w:rFonts w:cstheme="minorHAnsi"/>
          <w:lang w:val="en-US"/>
        </w:rPr>
        <w:t xml:space="preserve"> and </w:t>
      </w:r>
      <w:proofErr w:type="spellStart"/>
      <w:r w:rsidRPr="00AB7D1E">
        <w:rPr>
          <w:rFonts w:cstheme="minorHAnsi"/>
          <w:lang w:val="en-US"/>
        </w:rPr>
        <w:t>MoH</w:t>
      </w:r>
      <w:proofErr w:type="spellEnd"/>
      <w:r w:rsidRPr="00AB7D1E">
        <w:rPr>
          <w:rFonts w:cstheme="minorHAnsi"/>
          <w:lang w:val="en-US"/>
        </w:rPr>
        <w:t xml:space="preserve"> staff are civil servants and will remain subject to the terms and conditions of their existing public sector employment agreements. </w:t>
      </w:r>
      <w:r w:rsidRPr="003A0A28">
        <w:rPr>
          <w:rFonts w:cstheme="minorHAnsi"/>
          <w:lang w:val="en-US"/>
        </w:rPr>
        <w:t>Potential institutional capacity strengthening will be done through hiring consultant to perform specialized tasks such as: environmental and social safeguards functions. Th</w:t>
      </w:r>
      <w:r w:rsidR="00C5739D" w:rsidRPr="003A0A28">
        <w:rPr>
          <w:rFonts w:cstheme="minorHAnsi"/>
          <w:lang w:val="en-US"/>
        </w:rPr>
        <w:t>is</w:t>
      </w:r>
      <w:r w:rsidRPr="003A0A28">
        <w:rPr>
          <w:rFonts w:cstheme="minorHAnsi"/>
          <w:lang w:val="en-US"/>
        </w:rPr>
        <w:t xml:space="preserve"> consultant would be part of PIU and paid through the loan funds.</w:t>
      </w:r>
      <w:r w:rsidRPr="00AB7D1E">
        <w:rPr>
          <w:rFonts w:cstheme="minorHAnsi"/>
          <w:lang w:val="en-US"/>
        </w:rPr>
        <w:t xml:space="preserve"> The project will also deploy contractors and very likely subcontractors for civil works, providing medical supplies and equipment and trainings, but the number of workers to be contracted/subcontracted is not known yet. </w:t>
      </w:r>
    </w:p>
    <w:p w14:paraId="22B9F234" w14:textId="2112BF4E" w:rsidR="00F67A25" w:rsidRPr="00AB7D1E" w:rsidRDefault="00F67A25" w:rsidP="00E1664B">
      <w:pPr>
        <w:rPr>
          <w:highlight w:val="yellow"/>
          <w:lang w:val="en-US"/>
        </w:rPr>
      </w:pPr>
      <w:r w:rsidRPr="00AB7D1E">
        <w:rPr>
          <w:b/>
          <w:bCs/>
          <w:lang w:val="en-US"/>
        </w:rPr>
        <w:t xml:space="preserve">Direct Workers: </w:t>
      </w:r>
      <w:r w:rsidRPr="00AB7D1E">
        <w:rPr>
          <w:lang w:val="en-US"/>
        </w:rPr>
        <w:t xml:space="preserve">The </w:t>
      </w:r>
      <w:proofErr w:type="spellStart"/>
      <w:r w:rsidRPr="00AB7D1E">
        <w:rPr>
          <w:lang w:val="en-US"/>
        </w:rPr>
        <w:t>MoPPCS</w:t>
      </w:r>
      <w:r w:rsidR="00125CE2">
        <w:rPr>
          <w:lang w:val="en-US"/>
        </w:rPr>
        <w:t>A</w:t>
      </w:r>
      <w:proofErr w:type="spellEnd"/>
      <w:r w:rsidRPr="00AB7D1E">
        <w:rPr>
          <w:lang w:val="en-US"/>
        </w:rPr>
        <w:t xml:space="preserve"> and </w:t>
      </w:r>
      <w:proofErr w:type="spellStart"/>
      <w:r w:rsidRPr="00AB7D1E">
        <w:rPr>
          <w:lang w:val="en-US"/>
        </w:rPr>
        <w:t>MoH</w:t>
      </w:r>
      <w:proofErr w:type="spellEnd"/>
      <w:r w:rsidRPr="00AB7D1E">
        <w:rPr>
          <w:lang w:val="en-US"/>
        </w:rPr>
        <w:t xml:space="preserve"> staff, who are civil servants involved in project activities. In addition, potential institutional capacity strengthening will take place through the hiring of a consultants. These consultants, along with </w:t>
      </w:r>
      <w:proofErr w:type="spellStart"/>
      <w:r w:rsidRPr="00AB7D1E">
        <w:rPr>
          <w:lang w:val="en-US"/>
        </w:rPr>
        <w:t>MoPPCS</w:t>
      </w:r>
      <w:r w:rsidR="00125CE2">
        <w:rPr>
          <w:lang w:val="en-US"/>
        </w:rPr>
        <w:t>A</w:t>
      </w:r>
      <w:proofErr w:type="spellEnd"/>
      <w:r w:rsidRPr="00AB7D1E">
        <w:rPr>
          <w:lang w:val="en-US"/>
        </w:rPr>
        <w:t xml:space="preserve"> and </w:t>
      </w:r>
      <w:proofErr w:type="spellStart"/>
      <w:r w:rsidRPr="00AB7D1E">
        <w:rPr>
          <w:lang w:val="en-US"/>
        </w:rPr>
        <w:t>MoH</w:t>
      </w:r>
      <w:proofErr w:type="spellEnd"/>
      <w:r w:rsidRPr="00AB7D1E">
        <w:rPr>
          <w:lang w:val="en-US"/>
        </w:rPr>
        <w:t xml:space="preserve"> staff would be part of project implementing units. </w:t>
      </w:r>
    </w:p>
    <w:p w14:paraId="120DF2E9" w14:textId="4A186BEA" w:rsidR="00F67A25" w:rsidRPr="00AB7D1E" w:rsidRDefault="00F67A25" w:rsidP="00E1664B">
      <w:pPr>
        <w:rPr>
          <w:lang w:val="en-US"/>
        </w:rPr>
      </w:pPr>
      <w:r w:rsidRPr="00AB7D1E">
        <w:rPr>
          <w:b/>
          <w:bCs/>
          <w:lang w:val="en-US"/>
        </w:rPr>
        <w:t xml:space="preserve">Contracted Workers: </w:t>
      </w:r>
      <w:r w:rsidRPr="00AB7D1E">
        <w:rPr>
          <w:lang w:val="en-US"/>
        </w:rPr>
        <w:t>The civil works, procurement of supplies and equipment and trainings</w:t>
      </w:r>
      <w:r w:rsidR="008D2316" w:rsidRPr="00AB7D1E">
        <w:rPr>
          <w:lang w:val="en-US"/>
        </w:rPr>
        <w:t xml:space="preserve"> (e.g. develop</w:t>
      </w:r>
      <w:r w:rsidR="00511136" w:rsidRPr="00AB7D1E">
        <w:rPr>
          <w:lang w:val="en-US"/>
        </w:rPr>
        <w:t>ing</w:t>
      </w:r>
      <w:r w:rsidR="008D2316" w:rsidRPr="00AB7D1E">
        <w:rPr>
          <w:lang w:val="en-US"/>
        </w:rPr>
        <w:t xml:space="preserve"> and implement</w:t>
      </w:r>
      <w:r w:rsidR="00511136" w:rsidRPr="00AB7D1E">
        <w:rPr>
          <w:lang w:val="en-US"/>
        </w:rPr>
        <w:t>ing</w:t>
      </w:r>
      <w:r w:rsidR="008D2316" w:rsidRPr="00AB7D1E">
        <w:rPr>
          <w:lang w:val="en-US"/>
        </w:rPr>
        <w:t xml:space="preserve"> trainings, communication and educational materials on COVID-19)</w:t>
      </w:r>
      <w:r w:rsidRPr="00AB7D1E">
        <w:rPr>
          <w:lang w:val="en-US"/>
        </w:rPr>
        <w:t xml:space="preserve"> are expected to be conducted by </w:t>
      </w:r>
      <w:proofErr w:type="spellStart"/>
      <w:r w:rsidRPr="00AB7D1E">
        <w:rPr>
          <w:lang w:val="en-US"/>
        </w:rPr>
        <w:t>authorised</w:t>
      </w:r>
      <w:proofErr w:type="spellEnd"/>
      <w:r w:rsidRPr="00AB7D1E">
        <w:rPr>
          <w:lang w:val="en-US"/>
        </w:rPr>
        <w:t xml:space="preserve"> contractors for varying durations depending on the works requirements. It is not known at this time whether the contractor will engage any subcontractors to carry out some aspects of the work. The contractor must perform and ensure work and workers related to the core function of the project. Such functions of a project constitute those production and/or service processes essential for a specific project activity or activities without which the project cannot continue. At this stage the exact number of workers is not known, and it will be known when implementation of sub</w:t>
      </w:r>
      <w:r w:rsidR="00435818" w:rsidRPr="00AB7D1E">
        <w:rPr>
          <w:lang w:val="en-US"/>
        </w:rPr>
        <w:t>-</w:t>
      </w:r>
      <w:r w:rsidRPr="00AB7D1E">
        <w:rPr>
          <w:lang w:val="en-US"/>
        </w:rPr>
        <w:t>projects begins.</w:t>
      </w:r>
    </w:p>
    <w:p w14:paraId="1E4F0F45" w14:textId="1AECDDA7" w:rsidR="009B0310" w:rsidRPr="00AB7D1E" w:rsidRDefault="009E5E6B" w:rsidP="00E1664B">
      <w:pPr>
        <w:rPr>
          <w:lang w:val="en-US"/>
        </w:rPr>
      </w:pPr>
      <w:r w:rsidRPr="00AB7D1E">
        <w:rPr>
          <w:b/>
          <w:bCs/>
          <w:lang w:val="en-US"/>
        </w:rPr>
        <w:t>Primary supply workers</w:t>
      </w:r>
      <w:r w:rsidRPr="00AB7D1E">
        <w:rPr>
          <w:lang w:val="en-US"/>
        </w:rPr>
        <w:t xml:space="preserve"> are those that work for companies involved in the provision of medical supplies, PPE, chemicals, reagents</w:t>
      </w:r>
      <w:r w:rsidR="00707520" w:rsidRPr="00AB7D1E">
        <w:rPr>
          <w:lang w:val="en-US"/>
        </w:rPr>
        <w:t>, construction materials for repairs and rehabilitation of laboratories,</w:t>
      </w:r>
      <w:r w:rsidRPr="00AB7D1E">
        <w:rPr>
          <w:lang w:val="en-US"/>
        </w:rPr>
        <w:t xml:space="preserve"> etc. </w:t>
      </w:r>
    </w:p>
    <w:p w14:paraId="0C000159" w14:textId="77777777" w:rsidR="009B0310" w:rsidRPr="00AB7D1E" w:rsidRDefault="009B0310">
      <w:pPr>
        <w:suppressAutoHyphens w:val="0"/>
        <w:spacing w:before="0" w:after="160" w:line="256" w:lineRule="auto"/>
        <w:jc w:val="left"/>
        <w:rPr>
          <w:lang w:val="en-US"/>
        </w:rPr>
      </w:pPr>
      <w:r w:rsidRPr="00AB7D1E">
        <w:rPr>
          <w:lang w:val="en-US"/>
        </w:rPr>
        <w:br w:type="page"/>
      </w:r>
    </w:p>
    <w:p w14:paraId="7388EBB1" w14:textId="4D6D34D9" w:rsidR="006B3B3C" w:rsidRPr="00AB7D1E" w:rsidRDefault="00EF6477" w:rsidP="00511136">
      <w:pPr>
        <w:pStyle w:val="Heading1"/>
        <w:rPr>
          <w:lang w:val="en-US"/>
        </w:rPr>
      </w:pPr>
      <w:bookmarkStart w:id="174" w:name="_Toc56954077"/>
      <w:bookmarkEnd w:id="3"/>
      <w:r w:rsidRPr="00AB7D1E">
        <w:rPr>
          <w:lang w:val="en-US"/>
        </w:rPr>
        <w:lastRenderedPageBreak/>
        <w:t>IMPACT MITIGATION AND DUE DILIGENCE DOCUMENTS AND DECISIONS</w:t>
      </w:r>
      <w:bookmarkEnd w:id="174"/>
    </w:p>
    <w:p w14:paraId="558035EE" w14:textId="774874EA" w:rsidR="006B3B3C" w:rsidRPr="00AB7D1E" w:rsidRDefault="008C578C" w:rsidP="003002AF">
      <w:pPr>
        <w:rPr>
          <w:b/>
          <w:bCs/>
          <w:u w:val="single"/>
          <w:lang w:val="en-US"/>
        </w:rPr>
      </w:pPr>
      <w:r w:rsidRPr="00AB7D1E">
        <w:rPr>
          <w:b/>
          <w:bCs/>
          <w:u w:val="single"/>
          <w:lang w:val="en-US"/>
        </w:rPr>
        <w:t>Construction Phase</w:t>
      </w:r>
    </w:p>
    <w:p w14:paraId="62E51E12" w14:textId="2D3089C1" w:rsidR="003002AF" w:rsidRPr="00AB7D1E" w:rsidRDefault="003002AF" w:rsidP="003002AF">
      <w:pPr>
        <w:rPr>
          <w:lang w:val="en-US"/>
        </w:rPr>
      </w:pPr>
      <w:r w:rsidRPr="00AB7D1E">
        <w:rPr>
          <w:lang w:val="en-US"/>
        </w:rPr>
        <w:t xml:space="preserve">Under the Component </w:t>
      </w:r>
      <w:r w:rsidR="006B3B3C" w:rsidRPr="00AB7D1E">
        <w:rPr>
          <w:lang w:val="en-US"/>
        </w:rPr>
        <w:t>2</w:t>
      </w:r>
      <w:r w:rsidR="00EF6477" w:rsidRPr="00AB7D1E">
        <w:rPr>
          <w:lang w:val="en-US"/>
        </w:rPr>
        <w:t>,</w:t>
      </w:r>
      <w:r w:rsidRPr="00AB7D1E">
        <w:rPr>
          <w:lang w:val="en-US"/>
        </w:rPr>
        <w:t xml:space="preserve"> </w:t>
      </w:r>
      <w:r w:rsidR="00EF6477" w:rsidRPr="00AB7D1E">
        <w:rPr>
          <w:lang w:val="en-US"/>
        </w:rPr>
        <w:t>S</w:t>
      </w:r>
      <w:r w:rsidR="008C578C" w:rsidRPr="00AB7D1E">
        <w:rPr>
          <w:lang w:val="en-US"/>
        </w:rPr>
        <w:t xml:space="preserve">ubcomponent 2.1. </w:t>
      </w:r>
      <w:r w:rsidR="00EF6477" w:rsidRPr="00AB7D1E">
        <w:rPr>
          <w:lang w:val="en-US"/>
        </w:rPr>
        <w:t xml:space="preserve">- </w:t>
      </w:r>
      <w:r w:rsidR="008C578C" w:rsidRPr="00AB7D1E">
        <w:rPr>
          <w:b/>
          <w:bCs/>
          <w:i/>
          <w:iCs/>
          <w:lang w:val="en-US"/>
        </w:rPr>
        <w:t>Case management and surveillance</w:t>
      </w:r>
      <w:r w:rsidR="00EF6477" w:rsidRPr="00AB7D1E">
        <w:rPr>
          <w:lang w:val="en-US"/>
        </w:rPr>
        <w:t>,</w:t>
      </w:r>
      <w:r w:rsidR="008C578C" w:rsidRPr="00AB7D1E">
        <w:rPr>
          <w:lang w:val="en-US"/>
        </w:rPr>
        <w:t xml:space="preserve"> </w:t>
      </w:r>
      <w:r w:rsidRPr="00AB7D1E">
        <w:rPr>
          <w:lang w:val="en-US"/>
        </w:rPr>
        <w:t>pose environmental risks since they include civil works</w:t>
      </w:r>
      <w:r w:rsidR="008C578C" w:rsidRPr="00AB7D1E">
        <w:rPr>
          <w:lang w:val="en-US"/>
        </w:rPr>
        <w:t xml:space="preserve"> – repair and rehabilitation of public health laboratories.</w:t>
      </w:r>
    </w:p>
    <w:p w14:paraId="7014C811" w14:textId="5B0E5EBB" w:rsidR="003002AF" w:rsidRPr="00AB7D1E" w:rsidRDefault="009F4D0B" w:rsidP="003002AF">
      <w:pPr>
        <w:rPr>
          <w:b/>
          <w:bCs/>
          <w:lang w:val="en-US"/>
        </w:rPr>
      </w:pPr>
      <w:r w:rsidRPr="00AB7D1E">
        <w:rPr>
          <w:b/>
          <w:bCs/>
          <w:lang w:val="en-US"/>
        </w:rPr>
        <w:t>A</w:t>
      </w:r>
      <w:r w:rsidR="003002AF" w:rsidRPr="00AB7D1E">
        <w:rPr>
          <w:b/>
          <w:bCs/>
          <w:lang w:val="en-US"/>
        </w:rPr>
        <w:t xml:space="preserve">ctivities </w:t>
      </w:r>
      <w:r w:rsidRPr="00AB7D1E">
        <w:rPr>
          <w:b/>
          <w:bCs/>
          <w:lang w:val="en-US"/>
        </w:rPr>
        <w:t xml:space="preserve">under </w:t>
      </w:r>
      <w:r w:rsidR="00EF6477" w:rsidRPr="00AB7D1E">
        <w:rPr>
          <w:b/>
          <w:bCs/>
          <w:lang w:val="en-US"/>
        </w:rPr>
        <w:t>S</w:t>
      </w:r>
      <w:r w:rsidRPr="00AB7D1E">
        <w:rPr>
          <w:b/>
          <w:bCs/>
          <w:lang w:val="en-US"/>
        </w:rPr>
        <w:t xml:space="preserve">ubcomponent </w:t>
      </w:r>
      <w:r w:rsidR="008C578C" w:rsidRPr="00AB7D1E">
        <w:rPr>
          <w:b/>
          <w:bCs/>
          <w:lang w:val="en-US"/>
        </w:rPr>
        <w:t>2.1</w:t>
      </w:r>
      <w:r w:rsidRPr="00AB7D1E">
        <w:rPr>
          <w:b/>
          <w:bCs/>
          <w:lang w:val="en-US"/>
        </w:rPr>
        <w:t xml:space="preserve"> </w:t>
      </w:r>
      <w:r w:rsidR="003002AF" w:rsidRPr="00AB7D1E">
        <w:rPr>
          <w:b/>
          <w:bCs/>
          <w:lang w:val="en-US"/>
        </w:rPr>
        <w:t xml:space="preserve">carry risks typical for construction works: </w:t>
      </w:r>
      <w:r w:rsidR="00435818" w:rsidRPr="00AB7D1E">
        <w:rPr>
          <w:b/>
          <w:bCs/>
          <w:lang w:val="en-US"/>
        </w:rPr>
        <w:t>dust and noise emissions, accidental spillage of machine oil, lubricants, traffic disruption, generation of large quantities of construction waste, unsafe working conditions, poor occupational health and safety practices</w:t>
      </w:r>
      <w:r w:rsidR="003002AF" w:rsidRPr="00AB7D1E">
        <w:rPr>
          <w:b/>
          <w:bCs/>
          <w:lang w:val="en-US"/>
        </w:rPr>
        <w:t>.</w:t>
      </w:r>
    </w:p>
    <w:p w14:paraId="3910D109" w14:textId="1E32201E" w:rsidR="00E5726E" w:rsidRPr="00AB7D1E" w:rsidRDefault="003002AF" w:rsidP="00EC03E7">
      <w:pPr>
        <w:rPr>
          <w:b/>
          <w:bCs/>
          <w:lang w:val="en-US"/>
        </w:rPr>
      </w:pPr>
      <w:r w:rsidRPr="00AB7D1E">
        <w:rPr>
          <w:b/>
          <w:bCs/>
          <w:lang w:val="en-US"/>
        </w:rPr>
        <w:t xml:space="preserve">The potential risks and impacts are (i) predictable and expected to be temporary (ii) low </w:t>
      </w:r>
      <w:r w:rsidR="00435818" w:rsidRPr="00DA3BAE">
        <w:rPr>
          <w:b/>
          <w:bCs/>
          <w:lang w:val="en-US"/>
        </w:rPr>
        <w:t>to medium</w:t>
      </w:r>
      <w:r w:rsidR="00435818" w:rsidRPr="00AB7D1E">
        <w:rPr>
          <w:b/>
          <w:bCs/>
          <w:lang w:val="en-US"/>
        </w:rPr>
        <w:t xml:space="preserve"> </w:t>
      </w:r>
      <w:r w:rsidRPr="00AB7D1E">
        <w:rPr>
          <w:b/>
          <w:bCs/>
          <w:lang w:val="en-US"/>
        </w:rPr>
        <w:t xml:space="preserve">in magnitude; (iii) site-specific, without likelihood of impacts beyond the actual footprint of the </w:t>
      </w:r>
      <w:r w:rsidR="00EF6477" w:rsidRPr="00AB7D1E">
        <w:rPr>
          <w:b/>
          <w:bCs/>
          <w:lang w:val="en-US"/>
        </w:rPr>
        <w:t>p</w:t>
      </w:r>
      <w:r w:rsidRPr="00AB7D1E">
        <w:rPr>
          <w:b/>
          <w:bCs/>
          <w:lang w:val="en-US"/>
        </w:rPr>
        <w:t xml:space="preserve">roject; and (iv) low probability of serious adverse effects to human health and/or the environment. The </w:t>
      </w:r>
      <w:r w:rsidR="00EF6477" w:rsidRPr="00AB7D1E">
        <w:rPr>
          <w:b/>
          <w:bCs/>
          <w:lang w:val="en-US"/>
        </w:rPr>
        <w:t>p</w:t>
      </w:r>
      <w:r w:rsidRPr="00AB7D1E">
        <w:rPr>
          <w:b/>
          <w:bCs/>
          <w:lang w:val="en-US"/>
        </w:rPr>
        <w:t>roject’s risks and impacts can be easily mitigated in a predictable manner.</w:t>
      </w:r>
    </w:p>
    <w:p w14:paraId="7BB5908A" w14:textId="0375FC1A" w:rsidR="00EC03E7" w:rsidRPr="00AB7D1E" w:rsidRDefault="00EC03E7" w:rsidP="00EC03E7">
      <w:pPr>
        <w:rPr>
          <w:b/>
          <w:bCs/>
          <w:lang w:val="en-US"/>
        </w:rPr>
      </w:pPr>
      <w:r w:rsidRPr="00AB7D1E">
        <w:rPr>
          <w:b/>
          <w:bCs/>
          <w:lang w:val="en-US"/>
        </w:rPr>
        <w:t xml:space="preserve">Possible impacts identified for </w:t>
      </w:r>
      <w:r w:rsidR="008C578C" w:rsidRPr="00AB7D1E">
        <w:rPr>
          <w:b/>
          <w:bCs/>
          <w:lang w:val="en-US"/>
        </w:rPr>
        <w:t xml:space="preserve">2.1. (civil works) </w:t>
      </w:r>
      <w:r w:rsidRPr="00AB7D1E">
        <w:rPr>
          <w:b/>
          <w:bCs/>
          <w:lang w:val="en-US"/>
        </w:rPr>
        <w:t xml:space="preserve">works can be easily removed or mitigated by applying of good construction practice and proper </w:t>
      </w:r>
      <w:proofErr w:type="spellStart"/>
      <w:r w:rsidRPr="00AB7D1E">
        <w:rPr>
          <w:b/>
          <w:bCs/>
          <w:lang w:val="en-US"/>
        </w:rPr>
        <w:t>organisation</w:t>
      </w:r>
      <w:proofErr w:type="spellEnd"/>
      <w:r w:rsidRPr="00AB7D1E">
        <w:rPr>
          <w:b/>
          <w:bCs/>
          <w:lang w:val="en-US"/>
        </w:rPr>
        <w:t xml:space="preserve"> of the construction site.</w:t>
      </w:r>
    </w:p>
    <w:p w14:paraId="7AA9DC3C" w14:textId="0CF70179" w:rsidR="00BD6FEE" w:rsidRPr="00AB7D1E" w:rsidRDefault="00BD6FEE" w:rsidP="00BD6FEE">
      <w:pPr>
        <w:spacing w:after="0" w:line="239" w:lineRule="auto"/>
        <w:ind w:right="-46"/>
        <w:rPr>
          <w:rFonts w:ascii="Calibri" w:eastAsia="Times New Roman" w:hAnsi="Calibri"/>
          <w:lang w:val="en-US"/>
        </w:rPr>
      </w:pPr>
      <w:r w:rsidRPr="00AB7D1E">
        <w:rPr>
          <w:rFonts w:ascii="Calibri" w:eastAsia="Times New Roman" w:hAnsi="Calibri"/>
          <w:b/>
          <w:bCs/>
          <w:lang w:val="en-US"/>
        </w:rPr>
        <w:t>Emissions to air</w:t>
      </w:r>
      <w:r w:rsidRPr="00AB7D1E">
        <w:rPr>
          <w:rFonts w:ascii="Calibri" w:eastAsia="Times New Roman" w:hAnsi="Calibri"/>
          <w:lang w:val="en-US"/>
        </w:rPr>
        <w:t xml:space="preserve"> can be reduced to minor levels</w:t>
      </w:r>
      <w:r w:rsidR="00EA12CD" w:rsidRPr="00AB7D1E">
        <w:rPr>
          <w:rFonts w:ascii="Calibri" w:eastAsia="Times New Roman" w:hAnsi="Calibri"/>
          <w:lang w:val="en-US"/>
        </w:rPr>
        <w:t xml:space="preserve"> or eliminated</w:t>
      </w:r>
      <w:r w:rsidRPr="00AB7D1E">
        <w:rPr>
          <w:rFonts w:ascii="Calibri" w:eastAsia="Times New Roman" w:hAnsi="Calibri"/>
          <w:lang w:val="en-US"/>
        </w:rPr>
        <w:t xml:space="preserve"> through standard practices of good site management, such as water sprinkling to limit dust emissions in the area near the construction materials and non-asphalted roads, covering of surfaces with plastic coverings during material storage and transportation, limiting vehicles speed in the area and access roads, periodical cleaning of location and access roads, efficient use of modern attested construction machinery to minimize emissions, provided with mufflers and maintained in good and efficient operation condition. Additionally, to minimize dust (mainly PM</w:t>
      </w:r>
      <w:r w:rsidRPr="00AB7D1E">
        <w:rPr>
          <w:rFonts w:ascii="Calibri" w:eastAsia="Times New Roman" w:hAnsi="Calibri"/>
          <w:vertAlign w:val="subscript"/>
          <w:lang w:val="en-US"/>
        </w:rPr>
        <w:t>10</w:t>
      </w:r>
      <w:r w:rsidRPr="00AB7D1E">
        <w:rPr>
          <w:rFonts w:ascii="Calibri" w:eastAsia="Times New Roman" w:hAnsi="Calibri"/>
          <w:lang w:val="en-US"/>
        </w:rPr>
        <w:t>) adequate locations for storage, mixing and loading of construction materials should be established. Also, material collection, material retention time at the site should be reduced to a minimum, in order to minimize exposure to wind.</w:t>
      </w:r>
    </w:p>
    <w:p w14:paraId="6172DDC9" w14:textId="79113CA3" w:rsidR="00BD6FEE" w:rsidRPr="00AB7D1E" w:rsidRDefault="00BD6FEE" w:rsidP="00BD6FEE">
      <w:pPr>
        <w:widowControl w:val="0"/>
        <w:spacing w:after="0" w:line="240" w:lineRule="auto"/>
        <w:ind w:right="-46"/>
        <w:rPr>
          <w:rFonts w:ascii="Calibri" w:eastAsia="Times New Roman" w:hAnsi="Calibri"/>
          <w:lang w:val="en-US"/>
        </w:rPr>
      </w:pPr>
      <w:r w:rsidRPr="00AB7D1E">
        <w:rPr>
          <w:rFonts w:ascii="Calibri" w:eastAsia="Times New Roman" w:hAnsi="Calibri"/>
          <w:lang w:val="en-US"/>
        </w:rPr>
        <w:t xml:space="preserve">To remove/mitigate </w:t>
      </w:r>
      <w:r w:rsidRPr="00AB7D1E">
        <w:rPr>
          <w:rFonts w:ascii="Calibri" w:eastAsia="Times New Roman" w:hAnsi="Calibri"/>
          <w:b/>
          <w:bCs/>
          <w:lang w:val="en-US"/>
        </w:rPr>
        <w:t>noise pollution</w:t>
      </w:r>
      <w:r w:rsidRPr="00AB7D1E">
        <w:rPr>
          <w:rFonts w:ascii="Calibri" w:eastAsia="Times New Roman" w:hAnsi="Calibri"/>
          <w:lang w:val="en-US"/>
        </w:rPr>
        <w:t xml:space="preserve"> emission of noise must </w:t>
      </w:r>
      <w:proofErr w:type="gramStart"/>
      <w:r w:rsidRPr="00AB7D1E">
        <w:rPr>
          <w:rFonts w:ascii="Calibri" w:eastAsia="Times New Roman" w:hAnsi="Calibri"/>
          <w:lang w:val="en-US"/>
        </w:rPr>
        <w:t>be in compliance with</w:t>
      </w:r>
      <w:proofErr w:type="gramEnd"/>
      <w:r w:rsidRPr="00AB7D1E">
        <w:rPr>
          <w:rFonts w:ascii="Calibri" w:eastAsia="Times New Roman" w:hAnsi="Calibri"/>
          <w:lang w:val="en-US"/>
        </w:rPr>
        <w:t xml:space="preserve"> legally defined limits. It is desirable to carry out works in the period from 8 to 18 hours and not to carry works during the nights. Community / public should be informed in advance of any work activities to occur outside of normal working hours or on weekends. All equipment must be maintained in good operating condition and be attested. During operations the engine covers of generators, air compressors and other powered mechanical equipment </w:t>
      </w:r>
      <w:proofErr w:type="gramStart"/>
      <w:r w:rsidR="00A022CF" w:rsidRPr="00AB7D1E">
        <w:rPr>
          <w:rFonts w:ascii="Calibri" w:eastAsia="Times New Roman" w:hAnsi="Calibri"/>
          <w:lang w:val="en-US"/>
        </w:rPr>
        <w:t>have to</w:t>
      </w:r>
      <w:proofErr w:type="gramEnd"/>
      <w:r w:rsidR="00A022CF" w:rsidRPr="00AB7D1E">
        <w:rPr>
          <w:rFonts w:ascii="Calibri" w:eastAsia="Times New Roman" w:hAnsi="Calibri"/>
          <w:lang w:val="en-US"/>
        </w:rPr>
        <w:t xml:space="preserve"> </w:t>
      </w:r>
      <w:r w:rsidRPr="00AB7D1E">
        <w:rPr>
          <w:rFonts w:ascii="Calibri" w:eastAsia="Times New Roman" w:hAnsi="Calibri"/>
          <w:lang w:val="en-US"/>
        </w:rPr>
        <w:t>be closed, and equipment placed as far away from residential areas as possible.</w:t>
      </w:r>
    </w:p>
    <w:p w14:paraId="0EB348C1" w14:textId="77777777" w:rsidR="00BD6FEE" w:rsidRPr="00AB7D1E" w:rsidRDefault="00BD6FEE" w:rsidP="00BD6FEE">
      <w:pPr>
        <w:rPr>
          <w:lang w:val="en-US"/>
        </w:rPr>
      </w:pPr>
      <w:r w:rsidRPr="00AB7D1E">
        <w:rPr>
          <w:b/>
          <w:bCs/>
          <w:lang w:val="en-US"/>
        </w:rPr>
        <w:t xml:space="preserve">Surface or ground water pollution </w:t>
      </w:r>
      <w:r w:rsidRPr="00AB7D1E">
        <w:rPr>
          <w:lang w:val="en-US"/>
        </w:rPr>
        <w:t xml:space="preserve">can be prevented by proper organization of construction site, by regular maintenance of vehicles and machinery in service </w:t>
      </w:r>
      <w:proofErr w:type="spellStart"/>
      <w:r w:rsidRPr="00AB7D1E">
        <w:rPr>
          <w:lang w:val="en-US"/>
        </w:rPr>
        <w:t>centres</w:t>
      </w:r>
      <w:proofErr w:type="spellEnd"/>
      <w:r w:rsidRPr="00AB7D1E">
        <w:rPr>
          <w:lang w:val="en-US"/>
        </w:rPr>
        <w:t xml:space="preserve"> outside the site locations and responsible handling of liquid waste. Adding oil activities should be carried out on the part of the construction site that is derived from an impermeable working surface. In the case of an accident, any hazardous liquid should be removed from the soil using adsorption materials such as sand, sawdust or mineral adsorbents. Such waste material should be collected in tanks, stored in the space provided for hazardous waste storage and handed over to authorized companies. The probability of this negative impact also can be reduced by preventing hazardous spillage coming from tanks, containers (mandatory secondary containment system, e.g. double walled or bunded containers), construction equipment and vehicles (regular maintenance and check-ups of oil and gas tanks), by parking (manipulate) machinery and vehicles only on asphalted or concrete surfaces with surface runoff water collecting system.</w:t>
      </w:r>
    </w:p>
    <w:p w14:paraId="0EFADAB3" w14:textId="198CDE3F" w:rsidR="00BD6FEE" w:rsidRPr="00AB7D1E" w:rsidRDefault="00842E41" w:rsidP="00BD6FEE">
      <w:pPr>
        <w:rPr>
          <w:lang w:val="en-US"/>
        </w:rPr>
      </w:pPr>
      <w:bookmarkStart w:id="175" w:name="_Hlk49112058"/>
      <w:r w:rsidRPr="00AB7D1E">
        <w:rPr>
          <w:lang w:val="en-US"/>
        </w:rPr>
        <w:t>The</w:t>
      </w:r>
      <w:r w:rsidR="00BD6FEE" w:rsidRPr="00AB7D1E">
        <w:rPr>
          <w:lang w:val="en-US"/>
        </w:rPr>
        <w:t xml:space="preserve"> proper storm water drainage systems </w:t>
      </w:r>
      <w:r w:rsidRPr="00AB7D1E">
        <w:rPr>
          <w:lang w:val="en-US"/>
        </w:rPr>
        <w:t>should be in place</w:t>
      </w:r>
      <w:r w:rsidR="00BD6FEE" w:rsidRPr="00AB7D1E">
        <w:rPr>
          <w:lang w:val="en-US"/>
        </w:rPr>
        <w:t xml:space="preserve"> and care not to silt, pollute, block or otherwise negatively impact natural streams, rivers, ponds and lakes by construction activities.</w:t>
      </w:r>
    </w:p>
    <w:bookmarkEnd w:id="175"/>
    <w:p w14:paraId="48A4BC8D" w14:textId="42A61D01" w:rsidR="00BD6FEE" w:rsidRPr="00AB7D1E" w:rsidRDefault="00BD6FEE" w:rsidP="00BD6FEE">
      <w:pPr>
        <w:rPr>
          <w:lang w:val="en-US"/>
        </w:rPr>
      </w:pPr>
      <w:r w:rsidRPr="00AB7D1E">
        <w:rPr>
          <w:lang w:val="en-US"/>
        </w:rPr>
        <w:lastRenderedPageBreak/>
        <w:t xml:space="preserve">Possibility of </w:t>
      </w:r>
      <w:r w:rsidRPr="00AB7D1E">
        <w:rPr>
          <w:b/>
          <w:bCs/>
          <w:lang w:val="en-US"/>
        </w:rPr>
        <w:t xml:space="preserve">soil pollution or erosion </w:t>
      </w:r>
      <w:r w:rsidRPr="00AB7D1E">
        <w:rPr>
          <w:lang w:val="en-US"/>
        </w:rPr>
        <w:t xml:space="preserve">can be reduced by regular maintenance and servicing of machines, by avoiding fuel and lubricant storage on site and by adhering the measures and standards for construction machinery. If installation of fuel storage tanks will be needed, they should have secondary tanks with </w:t>
      </w:r>
      <w:proofErr w:type="gramStart"/>
      <w:r w:rsidRPr="00AB7D1E">
        <w:rPr>
          <w:lang w:val="en-US"/>
        </w:rPr>
        <w:t>sufficient</w:t>
      </w:r>
      <w:proofErr w:type="gramEnd"/>
      <w:r w:rsidRPr="00AB7D1E">
        <w:rPr>
          <w:lang w:val="en-US"/>
        </w:rPr>
        <w:t xml:space="preserve"> volume to contain a spill from the largest fuel tank in the structure. The containment area will have a device (pump) to remove accumulated water. Total amount of the removed useful surface layer upon completion of construction works permanently will remain in the same location in the form of backfilling material. The physical and chemical properties of the temporarily removed surface layer of soil will remain unchanged, as well as the non-contamination and ecological role, since all the amount of soil from the </w:t>
      </w:r>
      <w:r w:rsidR="00842E41" w:rsidRPr="00AB7D1E">
        <w:rPr>
          <w:lang w:val="en-US"/>
        </w:rPr>
        <w:t>possible</w:t>
      </w:r>
      <w:r w:rsidRPr="00AB7D1E">
        <w:rPr>
          <w:lang w:val="en-US"/>
        </w:rPr>
        <w:t xml:space="preserve"> excavations will be preserved and subsequently used in environmental remediation upon completion of construction works.</w:t>
      </w:r>
    </w:p>
    <w:p w14:paraId="6B79FD41" w14:textId="3E335E98" w:rsidR="00BD6FEE" w:rsidRPr="00AB7D1E" w:rsidRDefault="00BD6FEE" w:rsidP="00BD6FEE">
      <w:pPr>
        <w:rPr>
          <w:rFonts w:ascii="Calibri" w:hAnsi="Calibri" w:cs="Calibri"/>
          <w:lang w:val="en-US"/>
        </w:rPr>
      </w:pPr>
      <w:r w:rsidRPr="00AB7D1E">
        <w:rPr>
          <w:lang w:val="en-US"/>
        </w:rPr>
        <w:t xml:space="preserve">Each type of </w:t>
      </w:r>
      <w:r w:rsidRPr="00AB7D1E">
        <w:rPr>
          <w:b/>
          <w:bCs/>
          <w:lang w:val="en-US"/>
        </w:rPr>
        <w:t>generated waste</w:t>
      </w:r>
      <w:r w:rsidRPr="00AB7D1E">
        <w:rPr>
          <w:lang w:val="en-US"/>
        </w:rPr>
        <w:t xml:space="preserve"> on the location </w:t>
      </w:r>
      <w:proofErr w:type="gramStart"/>
      <w:r w:rsidRPr="00AB7D1E">
        <w:rPr>
          <w:lang w:val="en-US"/>
        </w:rPr>
        <w:t>has to</w:t>
      </w:r>
      <w:proofErr w:type="gramEnd"/>
      <w:r w:rsidRPr="00AB7D1E">
        <w:rPr>
          <w:lang w:val="en-US"/>
        </w:rPr>
        <w:t xml:space="preserve"> be temporary stored in separate waste container which have to be labelled with waste type name and waste code and located at the solid surface foreseen for that purpose on the construction site. Construction waste </w:t>
      </w:r>
      <w:proofErr w:type="gramStart"/>
      <w:r w:rsidRPr="00AB7D1E">
        <w:rPr>
          <w:lang w:val="en-US"/>
        </w:rPr>
        <w:t>has to</w:t>
      </w:r>
      <w:proofErr w:type="gramEnd"/>
      <w:r w:rsidRPr="00AB7D1E">
        <w:rPr>
          <w:lang w:val="en-US"/>
        </w:rPr>
        <w:t xml:space="preserve"> be disposed exclusively in the designated locations. For management of PPE waste (protective gloves, masks, </w:t>
      </w:r>
      <w:proofErr w:type="spellStart"/>
      <w:r w:rsidRPr="00AB7D1E">
        <w:rPr>
          <w:lang w:val="en-US"/>
        </w:rPr>
        <w:t>etc</w:t>
      </w:r>
      <w:proofErr w:type="spellEnd"/>
      <w:r w:rsidRPr="00AB7D1E">
        <w:rPr>
          <w:lang w:val="en-US"/>
        </w:rPr>
        <w:t xml:space="preserve"> used for COVID-19 protection) it is necessary to follow the WHO and national official government guidance’s and defined measures. This type of waste generated at construction site is considered municipal waste. Currently, Croatia has stricter conditions for managing waste protective equipment (gloves, masks, paper towel etc.) then those prescribed by WHO and EU guidelines.</w:t>
      </w:r>
      <w:r w:rsidRPr="00AB7D1E">
        <w:rPr>
          <w:rFonts w:ascii="Calibri" w:hAnsi="Calibri"/>
          <w:lang w:val="en-US"/>
        </w:rPr>
        <w:t xml:space="preserve"> The Civil Protection Headquarters of the Republic of Croatia</w:t>
      </w:r>
      <w:r w:rsidRPr="00AB7D1E">
        <w:rPr>
          <w:rFonts w:ascii="Calibri" w:hAnsi="Calibri"/>
          <w:vertAlign w:val="superscript"/>
          <w:lang w:val="en-US"/>
        </w:rPr>
        <w:footnoteReference w:id="131"/>
      </w:r>
      <w:r w:rsidRPr="00AB7D1E">
        <w:rPr>
          <w:rFonts w:ascii="Calibri" w:hAnsi="Calibri"/>
          <w:lang w:val="en-US"/>
        </w:rPr>
        <w:t xml:space="preserve"> issued recommendation for the waste management in the households and similar enclosed spaces</w:t>
      </w:r>
      <w:r w:rsidR="002B1545" w:rsidRPr="00AB7D1E">
        <w:rPr>
          <w:rFonts w:ascii="Calibri" w:hAnsi="Calibri"/>
          <w:lang w:val="en-US"/>
        </w:rPr>
        <w:t xml:space="preserve"> (municipal waste)</w:t>
      </w:r>
      <w:r w:rsidRPr="00AB7D1E">
        <w:rPr>
          <w:rFonts w:ascii="Calibri" w:hAnsi="Calibri"/>
          <w:lang w:val="en-US"/>
        </w:rPr>
        <w:t xml:space="preserve">. These recommendations should be applied for waste generated from usage of </w:t>
      </w:r>
      <w:bookmarkStart w:id="176" w:name="_Hlk49112378"/>
      <w:r w:rsidR="002B1545" w:rsidRPr="00AB7D1E">
        <w:rPr>
          <w:rFonts w:ascii="Calibri" w:hAnsi="Calibri"/>
          <w:lang w:val="en-US"/>
        </w:rPr>
        <w:t xml:space="preserve">COVID-19 </w:t>
      </w:r>
      <w:r w:rsidRPr="00AB7D1E">
        <w:rPr>
          <w:rFonts w:ascii="Calibri" w:hAnsi="Calibri"/>
          <w:lang w:val="en-US"/>
        </w:rPr>
        <w:t xml:space="preserve">PEE </w:t>
      </w:r>
      <w:bookmarkEnd w:id="176"/>
      <w:r w:rsidRPr="00AB7D1E">
        <w:rPr>
          <w:rFonts w:ascii="Calibri" w:hAnsi="Calibri"/>
          <w:lang w:val="en-US"/>
        </w:rPr>
        <w:t xml:space="preserve">at the construction site. </w:t>
      </w:r>
    </w:p>
    <w:p w14:paraId="039B24E4" w14:textId="48A699F8" w:rsidR="00BD6FEE" w:rsidRPr="00CF1AD3" w:rsidRDefault="00CF1AD3" w:rsidP="00BD6FEE">
      <w:pPr>
        <w:rPr>
          <w:lang w:val="en-GB"/>
        </w:rPr>
      </w:pPr>
      <w:r w:rsidRPr="00672ECC">
        <w:rPr>
          <w:lang w:val="en-GB"/>
        </w:rPr>
        <w:t>Procedure for chance findings</w:t>
      </w:r>
      <w:r>
        <w:rPr>
          <w:lang w:val="en-GB"/>
        </w:rPr>
        <w:t xml:space="preserve"> and protection of </w:t>
      </w:r>
      <w:r w:rsidRPr="00672ECC">
        <w:rPr>
          <w:b/>
          <w:bCs/>
          <w:lang w:val="en-GB"/>
        </w:rPr>
        <w:t>cultural and historical heritage</w:t>
      </w:r>
      <w:r w:rsidRPr="00B16818">
        <w:rPr>
          <w:lang w:val="en-GB"/>
        </w:rPr>
        <w:t xml:space="preserve"> </w:t>
      </w:r>
      <w:r>
        <w:rPr>
          <w:lang w:val="en-GB"/>
        </w:rPr>
        <w:t xml:space="preserve">(protection of </w:t>
      </w:r>
      <w:r w:rsidRPr="00B16818">
        <w:rPr>
          <w:lang w:val="en-GB"/>
        </w:rPr>
        <w:t xml:space="preserve">cultural-historical entities/area </w:t>
      </w:r>
      <w:r>
        <w:rPr>
          <w:lang w:val="en-GB"/>
        </w:rPr>
        <w:t xml:space="preserve">is relevant for this project) </w:t>
      </w:r>
      <w:r w:rsidRPr="00672ECC">
        <w:rPr>
          <w:lang w:val="en-GB"/>
        </w:rPr>
        <w:t xml:space="preserve">protection of is legally defined and should be applied. If during construction works some archaeological finds are encountered, works </w:t>
      </w:r>
      <w:proofErr w:type="gramStart"/>
      <w:r w:rsidRPr="00672ECC">
        <w:rPr>
          <w:lang w:val="en-GB"/>
        </w:rPr>
        <w:t>have to</w:t>
      </w:r>
      <w:proofErr w:type="gramEnd"/>
      <w:r w:rsidRPr="00672ECC">
        <w:rPr>
          <w:lang w:val="en-GB"/>
        </w:rPr>
        <w:t xml:space="preserve"> be stopped immediately and the competent authority informed. Works will resume only after appropriate measures have been taken as required by relevant authority and after it confirms that works may continue. </w:t>
      </w:r>
    </w:p>
    <w:p w14:paraId="71E2E723" w14:textId="019E53F8" w:rsidR="00BD6FEE" w:rsidRPr="00AB7D1E" w:rsidRDefault="00BD6FEE" w:rsidP="00BD6FEE">
      <w:pPr>
        <w:rPr>
          <w:lang w:val="en-US"/>
        </w:rPr>
      </w:pPr>
      <w:r w:rsidRPr="00AB7D1E">
        <w:rPr>
          <w:lang w:val="en-US"/>
        </w:rPr>
        <w:t xml:space="preserve">To protect </w:t>
      </w:r>
      <w:r w:rsidRPr="00AB7D1E">
        <w:rPr>
          <w:b/>
          <w:bCs/>
          <w:lang w:val="en-US"/>
        </w:rPr>
        <w:t>biodiversity</w:t>
      </w:r>
      <w:r w:rsidRPr="00AB7D1E">
        <w:rPr>
          <w:lang w:val="en-US"/>
        </w:rPr>
        <w:t xml:space="preserve"> the movement of heavy machinery </w:t>
      </w:r>
      <w:proofErr w:type="gramStart"/>
      <w:r w:rsidRPr="00AB7D1E">
        <w:rPr>
          <w:lang w:val="en-US"/>
        </w:rPr>
        <w:t>have to</w:t>
      </w:r>
      <w:proofErr w:type="gramEnd"/>
      <w:r w:rsidRPr="00AB7D1E">
        <w:rPr>
          <w:lang w:val="en-US"/>
        </w:rPr>
        <w:t xml:space="preserve"> be restricted to the road corridor. Handling of equipment and machinery </w:t>
      </w:r>
      <w:proofErr w:type="gramStart"/>
      <w:r w:rsidRPr="00AB7D1E">
        <w:rPr>
          <w:lang w:val="en-US"/>
        </w:rPr>
        <w:t>have to</w:t>
      </w:r>
      <w:proofErr w:type="gramEnd"/>
      <w:r w:rsidRPr="00AB7D1E">
        <w:rPr>
          <w:lang w:val="en-US"/>
        </w:rPr>
        <w:t xml:space="preserve"> be professional and careful to try to break out accidents such as fires or spills of large amounts of harmful substances into the environment, and thus adversely impact on the present flora and fauna.  Work along watercourses and on watercourses and canals should be limited to as small an area as possible. It should be avoided, where possible, cutting of trees and other natural vegetation. In the case of removing vegetation, to prevent unnecessary loss of vegetation in the project area it is necessary to clearly mark the areas where vegetation will be removed. For the restoration of the removed natural vegetation cover, only autochthonous plant species that occur in the vegetation communities present in the wider area of the sub-project should be used.</w:t>
      </w:r>
    </w:p>
    <w:p w14:paraId="28CA1F47" w14:textId="27A93FBA" w:rsidR="00BD6FEE" w:rsidRPr="00AB7D1E" w:rsidRDefault="00E26FF1" w:rsidP="00BD6FEE">
      <w:pPr>
        <w:rPr>
          <w:lang w:val="en-US"/>
        </w:rPr>
      </w:pPr>
      <w:bookmarkStart w:id="177" w:name="_Hlk49112561"/>
      <w:r w:rsidRPr="00AB7D1E">
        <w:rPr>
          <w:lang w:val="en-US"/>
        </w:rPr>
        <w:t>It is desirable that t</w:t>
      </w:r>
      <w:r w:rsidR="00BD6FEE" w:rsidRPr="00AB7D1E">
        <w:rPr>
          <w:lang w:val="en-US"/>
        </w:rPr>
        <w:t xml:space="preserve">he potential removal of vegetation </w:t>
      </w:r>
      <w:r w:rsidRPr="00AB7D1E">
        <w:rPr>
          <w:lang w:val="en-US"/>
        </w:rPr>
        <w:t xml:space="preserve">is </w:t>
      </w:r>
      <w:r w:rsidR="00BD6FEE" w:rsidRPr="00AB7D1E">
        <w:rPr>
          <w:lang w:val="en-US"/>
        </w:rPr>
        <w:t>planned for the period when birds do not nest. All birds that nest they need to protect until their birds can fly. In case of finding the nests of endangered bird species, their disturbance should be prevented, and the central state body responsible for nature protection informed about the discovery.</w:t>
      </w:r>
    </w:p>
    <w:bookmarkEnd w:id="177"/>
    <w:p w14:paraId="6D1EC07B" w14:textId="4FE7E384" w:rsidR="00BD6FEE" w:rsidRPr="00AB7D1E" w:rsidRDefault="00BD6FEE" w:rsidP="00BD6FEE">
      <w:pPr>
        <w:rPr>
          <w:lang w:val="en-US"/>
        </w:rPr>
      </w:pPr>
      <w:r w:rsidRPr="00AB7D1E">
        <w:rPr>
          <w:lang w:val="en-US"/>
        </w:rPr>
        <w:t xml:space="preserve">Where possible, the area under </w:t>
      </w:r>
      <w:r w:rsidR="00F841D1" w:rsidRPr="00AB7D1E">
        <w:rPr>
          <w:lang w:val="en-US"/>
        </w:rPr>
        <w:t>rehabilitation</w:t>
      </w:r>
      <w:r w:rsidRPr="00AB7D1E">
        <w:rPr>
          <w:lang w:val="en-US"/>
        </w:rPr>
        <w:t xml:space="preserve"> </w:t>
      </w:r>
      <w:proofErr w:type="gramStart"/>
      <w:r w:rsidRPr="00AB7D1E">
        <w:rPr>
          <w:lang w:val="en-US"/>
        </w:rPr>
        <w:t>have to</w:t>
      </w:r>
      <w:proofErr w:type="gramEnd"/>
      <w:r w:rsidRPr="00AB7D1E">
        <w:rPr>
          <w:lang w:val="en-US"/>
        </w:rPr>
        <w:t xml:space="preserve"> be fenced to lessen even occasional disturbance and dust on habitats and biodiversity. If noise barriers need to be constructed, they should be opaque </w:t>
      </w:r>
      <w:r w:rsidRPr="00AB7D1E">
        <w:rPr>
          <w:lang w:val="en-US"/>
        </w:rPr>
        <w:lastRenderedPageBreak/>
        <w:t>or with a design and density of stickers that will prevent birds from entering the barriers as much as possible.</w:t>
      </w:r>
    </w:p>
    <w:p w14:paraId="4FCB18C8" w14:textId="77777777" w:rsidR="00BD6FEE" w:rsidRPr="00AB7D1E" w:rsidRDefault="00BD6FEE" w:rsidP="00E1664B">
      <w:pPr>
        <w:rPr>
          <w:lang w:val="en-US"/>
        </w:rPr>
      </w:pPr>
      <w:r w:rsidRPr="00AB7D1E">
        <w:rPr>
          <w:b/>
          <w:bCs/>
          <w:lang w:val="en-US"/>
        </w:rPr>
        <w:t>Traffic management</w:t>
      </w:r>
      <w:r w:rsidRPr="00AB7D1E">
        <w:rPr>
          <w:lang w:val="en-US"/>
        </w:rPr>
        <w:t xml:space="preserve"> </w:t>
      </w:r>
      <w:proofErr w:type="gramStart"/>
      <w:r w:rsidRPr="00AB7D1E">
        <w:rPr>
          <w:lang w:val="en-US"/>
        </w:rPr>
        <w:t>have to</w:t>
      </w:r>
      <w:proofErr w:type="gramEnd"/>
      <w:r w:rsidRPr="00AB7D1E">
        <w:rPr>
          <w:lang w:val="en-US"/>
        </w:rPr>
        <w:t xml:space="preserve"> be conducted in accordance with provisions of traffic legislation (e.g., appropriate lighting, traffic safety signs, barriers and flag persons that are seen easily or are easy to follow, road speed should be clearly posted). Transport should be avoided on access roads during rush hours.</w:t>
      </w:r>
    </w:p>
    <w:p w14:paraId="304AA470" w14:textId="4FCF87E7" w:rsidR="008C578C" w:rsidRPr="00AB7D1E" w:rsidRDefault="00F47C69" w:rsidP="00E1664B">
      <w:pPr>
        <w:rPr>
          <w:lang w:val="en-US"/>
        </w:rPr>
      </w:pPr>
      <w:r w:rsidRPr="00AB7D1E">
        <w:rPr>
          <w:lang w:val="en-US"/>
        </w:rPr>
        <w:t>Given the small</w:t>
      </w:r>
      <w:r w:rsidR="00EF6477" w:rsidRPr="00AB7D1E">
        <w:rPr>
          <w:lang w:val="en-US"/>
        </w:rPr>
        <w:t xml:space="preserve"> to medium </w:t>
      </w:r>
      <w:r w:rsidRPr="00AB7D1E">
        <w:rPr>
          <w:lang w:val="en-US"/>
        </w:rPr>
        <w:t xml:space="preserve">scale nature of </w:t>
      </w:r>
      <w:r w:rsidR="007F480B" w:rsidRPr="00AB7D1E">
        <w:rPr>
          <w:lang w:val="en-US"/>
        </w:rPr>
        <w:t xml:space="preserve">civil works </w:t>
      </w:r>
      <w:r w:rsidR="00F841D1" w:rsidRPr="00AB7D1E">
        <w:rPr>
          <w:lang w:val="en-US"/>
        </w:rPr>
        <w:t xml:space="preserve">under </w:t>
      </w:r>
      <w:r w:rsidRPr="00AB7D1E">
        <w:rPr>
          <w:lang w:val="en-US"/>
        </w:rPr>
        <w:t>sub-component 2.1., no major labor risks are envisaged</w:t>
      </w:r>
      <w:r w:rsidR="00D234CB" w:rsidRPr="00AB7D1E">
        <w:rPr>
          <w:lang w:val="en-US"/>
        </w:rPr>
        <w:t xml:space="preserve">. </w:t>
      </w:r>
    </w:p>
    <w:p w14:paraId="7A0E72B7" w14:textId="004CE8F7" w:rsidR="00D234CB" w:rsidRPr="00AB7D1E" w:rsidRDefault="00D234CB" w:rsidP="00EF6477">
      <w:pPr>
        <w:widowControl w:val="0"/>
        <w:suppressAutoHyphens w:val="0"/>
        <w:autoSpaceDE w:val="0"/>
        <w:spacing w:before="0" w:after="0" w:line="240" w:lineRule="auto"/>
        <w:ind w:right="120"/>
        <w:textAlignment w:val="auto"/>
        <w:rPr>
          <w:rFonts w:eastAsia="Times New Roman" w:cstheme="minorHAnsi"/>
          <w:lang w:val="en-US"/>
        </w:rPr>
      </w:pPr>
      <w:r w:rsidRPr="00AB7D1E">
        <w:rPr>
          <w:rFonts w:eastAsia="Times New Roman" w:cstheme="minorHAnsi"/>
          <w:lang w:val="en-US"/>
        </w:rPr>
        <w:t xml:space="preserve">Accidents leading to health damage and even casualties may occur </w:t>
      </w:r>
      <w:proofErr w:type="gramStart"/>
      <w:r w:rsidRPr="00AB7D1E">
        <w:rPr>
          <w:rFonts w:eastAsia="Times New Roman" w:cstheme="minorHAnsi"/>
          <w:lang w:val="en-US"/>
        </w:rPr>
        <w:t>in the course of</w:t>
      </w:r>
      <w:proofErr w:type="gramEnd"/>
      <w:r w:rsidRPr="00AB7D1E">
        <w:rPr>
          <w:rFonts w:eastAsia="Times New Roman" w:cstheme="minorHAnsi"/>
          <w:lang w:val="en-US"/>
        </w:rPr>
        <w:t xml:space="preserve"> construction. To minimize the risk of negative health impact and accidents constructors should:</w:t>
      </w:r>
    </w:p>
    <w:p w14:paraId="1753DDE1" w14:textId="3FA19F4E" w:rsidR="00D234CB" w:rsidRPr="00AB7D1E" w:rsidRDefault="00EF6477"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mandatory use of protective equipment, workers’ personal protective equipment and safety procedures comply with legislation and international good practice (e.g. wearing protective helmets, masks and safety glasses, harnesses and safety boots, etc.)</w:t>
      </w:r>
      <w:r w:rsidR="00D234CB" w:rsidRPr="00AB7D1E">
        <w:rPr>
          <w:rFonts w:eastAsia="Times New Roman" w:cstheme="minorHAnsi"/>
          <w:lang w:val="en-US"/>
        </w:rPr>
        <w:t>;</w:t>
      </w:r>
    </w:p>
    <w:p w14:paraId="0773BCE9" w14:textId="5F7CCE16"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that workers receive worksite safety training,</w:t>
      </w:r>
    </w:p>
    <w:p w14:paraId="51FB1E39" w14:textId="22D8E531" w:rsidR="00EF6477" w:rsidRPr="00AB7D1E" w:rsidRDefault="00EF6477"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 xml:space="preserve">ensure </w:t>
      </w:r>
      <w:r w:rsidR="00F841D1" w:rsidRPr="00AB7D1E">
        <w:rPr>
          <w:rFonts w:eastAsia="Times New Roman" w:cstheme="minorHAnsi"/>
          <w:lang w:val="en-US"/>
        </w:rPr>
        <w:t>that</w:t>
      </w:r>
      <w:r w:rsidRPr="00AB7D1E">
        <w:rPr>
          <w:rFonts w:eastAsia="Times New Roman" w:cstheme="minorHAnsi"/>
          <w:lang w:val="en-US"/>
        </w:rPr>
        <w:t xml:space="preserve"> procedures for cases of emergency (including spills, accidents, etc.) are available at the site</w:t>
      </w:r>
    </w:p>
    <w:p w14:paraId="7E22E4A6"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that workers operating large equipment are properly trained and licensed</w:t>
      </w:r>
    </w:p>
    <w:p w14:paraId="1BAAA260"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that construction equipment is inspected and licensed</w:t>
      </w:r>
    </w:p>
    <w:p w14:paraId="7C241044"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that construction equipment is used strictly following its operation instructions;</w:t>
      </w:r>
    </w:p>
    <w:p w14:paraId="0343634C" w14:textId="6A734559" w:rsidR="00EF6477"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keep first aid medical kits and fire-fighting equipment on site</w:t>
      </w:r>
      <w:r w:rsidR="00E26FF1" w:rsidRPr="00AB7D1E">
        <w:rPr>
          <w:rFonts w:eastAsia="Times New Roman" w:cstheme="minorHAnsi"/>
          <w:lang w:val="en-US"/>
        </w:rPr>
        <w:t>;</w:t>
      </w:r>
    </w:p>
    <w:p w14:paraId="45A1F705" w14:textId="7A87C124" w:rsidR="00EF6477" w:rsidRPr="00AB7D1E" w:rsidRDefault="00EF6477"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 xml:space="preserve">ensure suitable arrangements for all necessary welfare and hygiene requirements and for the prevention of COVID-19 epidemics (regular delivery </w:t>
      </w:r>
      <w:r w:rsidR="00D8247E" w:rsidRPr="00AB7D1E">
        <w:rPr>
          <w:rFonts w:eastAsia="Times New Roman" w:cstheme="minorHAnsi"/>
          <w:lang w:val="en-US"/>
        </w:rPr>
        <w:t xml:space="preserve">of </w:t>
      </w:r>
      <w:r w:rsidRPr="00AB7D1E">
        <w:rPr>
          <w:rFonts w:eastAsia="Times New Roman" w:cstheme="minorHAnsi"/>
          <w:lang w:val="en-US"/>
        </w:rPr>
        <w:t xml:space="preserve">PPEs, ensure protocols for regular disinfection of rooms, equipment, tools, are in place and followed, ensure handwashing and other sanitary stations are always supplied with clean water, soap, and disinfectant, </w:t>
      </w:r>
      <w:proofErr w:type="spellStart"/>
      <w:r w:rsidRPr="00AB7D1E">
        <w:rPr>
          <w:rFonts w:eastAsia="Times New Roman" w:cstheme="minorHAnsi"/>
          <w:lang w:val="en-US"/>
        </w:rPr>
        <w:t>etc</w:t>
      </w:r>
      <w:proofErr w:type="spellEnd"/>
      <w:r w:rsidRPr="00AB7D1E">
        <w:rPr>
          <w:rFonts w:eastAsia="Times New Roman" w:cstheme="minorHAnsi"/>
          <w:lang w:val="en-US"/>
        </w:rPr>
        <w:t>)</w:t>
      </w:r>
    </w:p>
    <w:p w14:paraId="519E219F" w14:textId="7A1DAC26" w:rsidR="00EF6477" w:rsidRPr="00AB7D1E" w:rsidRDefault="00EF6477"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ensure trainings for workers on hygiene and other preventative measures against COVID-19 are carried out.</w:t>
      </w:r>
    </w:p>
    <w:p w14:paraId="25D2B3BD" w14:textId="77777777" w:rsidR="00D234CB" w:rsidRPr="00AB7D1E" w:rsidRDefault="00D234CB" w:rsidP="00E1664B">
      <w:pPr>
        <w:rPr>
          <w:lang w:val="en-US"/>
        </w:rPr>
      </w:pPr>
      <w:r w:rsidRPr="00AB7D1E">
        <w:rPr>
          <w:lang w:val="en-US"/>
        </w:rPr>
        <w:t>Construction works, especially the operation of machinery, may cause a nuisance to nearby residents caused by noise, dust, and vibration. To minimize this</w:t>
      </w:r>
      <w:r w:rsidRPr="00AB7D1E">
        <w:rPr>
          <w:spacing w:val="-1"/>
          <w:lang w:val="en-US"/>
        </w:rPr>
        <w:t xml:space="preserve"> </w:t>
      </w:r>
      <w:r w:rsidRPr="00AB7D1E">
        <w:rPr>
          <w:lang w:val="en-US"/>
        </w:rPr>
        <w:t>impact:</w:t>
      </w:r>
    </w:p>
    <w:p w14:paraId="1F462185"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keep construction equipment and machinery in an adequate technical condition; avoid idling of engines;</w:t>
      </w:r>
    </w:p>
    <w:p w14:paraId="6080A635" w14:textId="77777777" w:rsidR="00D234CB" w:rsidRPr="00AB7D1E" w:rsidRDefault="00D234CB"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 xml:space="preserve">water work sites </w:t>
      </w:r>
      <w:proofErr w:type="gramStart"/>
      <w:r w:rsidRPr="00AB7D1E">
        <w:rPr>
          <w:rFonts w:eastAsia="Times New Roman" w:cstheme="minorHAnsi"/>
          <w:lang w:val="en-US"/>
        </w:rPr>
        <w:t>in the course of</w:t>
      </w:r>
      <w:proofErr w:type="gramEnd"/>
      <w:r w:rsidRPr="00AB7D1E">
        <w:rPr>
          <w:rFonts w:eastAsia="Times New Roman" w:cstheme="minorHAnsi"/>
          <w:lang w:val="en-US"/>
        </w:rPr>
        <w:t xml:space="preserve"> dusty works or in case of especially hot and dry weather conditions;</w:t>
      </w:r>
    </w:p>
    <w:p w14:paraId="0EA31ABC" w14:textId="591F0B29" w:rsidR="008C578C" w:rsidRPr="00AB7D1E" w:rsidRDefault="00D8247E"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 xml:space="preserve">ensure that </w:t>
      </w:r>
      <w:r w:rsidR="00B708F8" w:rsidRPr="00AB7D1E">
        <w:rPr>
          <w:rFonts w:eastAsia="Times New Roman" w:cstheme="minorHAnsi"/>
          <w:lang w:val="en-US"/>
        </w:rPr>
        <w:t>community is informed in advance of any work activities to occur outside of normal working hours,</w:t>
      </w:r>
    </w:p>
    <w:p w14:paraId="4FEC8737" w14:textId="537C0EF4" w:rsidR="00B708F8" w:rsidRPr="00AB7D1E" w:rsidRDefault="00B708F8" w:rsidP="00BE60A0">
      <w:pPr>
        <w:widowControl w:val="0"/>
        <w:numPr>
          <w:ilvl w:val="0"/>
          <w:numId w:val="48"/>
        </w:numPr>
        <w:tabs>
          <w:tab w:val="left" w:pos="450"/>
          <w:tab w:val="left" w:pos="900"/>
        </w:tabs>
        <w:suppressAutoHyphens w:val="0"/>
        <w:autoSpaceDE w:val="0"/>
        <w:spacing w:before="0" w:after="0" w:line="240" w:lineRule="auto"/>
        <w:ind w:left="900" w:right="120" w:hanging="450"/>
        <w:textAlignment w:val="auto"/>
        <w:rPr>
          <w:rFonts w:eastAsia="Times New Roman" w:cstheme="minorHAnsi"/>
          <w:lang w:val="en-US"/>
        </w:rPr>
      </w:pPr>
      <w:r w:rsidRPr="00AB7D1E">
        <w:rPr>
          <w:rFonts w:eastAsia="Times New Roman" w:cstheme="minorHAnsi"/>
          <w:lang w:val="en-US"/>
        </w:rPr>
        <w:t>works do not impede pedestrian access and motor traffic, or temporary alternative access is provided</w:t>
      </w:r>
    </w:p>
    <w:p w14:paraId="4798DBE8" w14:textId="45728C4D" w:rsidR="00884F65" w:rsidRPr="00AB7D1E" w:rsidRDefault="00884F65" w:rsidP="00E1664B">
      <w:pPr>
        <w:rPr>
          <w:lang w:val="en-US"/>
        </w:rPr>
      </w:pPr>
      <w:r w:rsidRPr="00AB7D1E">
        <w:rPr>
          <w:lang w:val="en-US"/>
        </w:rPr>
        <w:t xml:space="preserve">Given the concentrated number of workers, there is a potential for the spread of infectious disease (COVID-19) at construction site, as are the implications of such a spread. </w:t>
      </w:r>
    </w:p>
    <w:p w14:paraId="4E3929F9" w14:textId="70E321D0" w:rsidR="00884F65" w:rsidRPr="00AB7D1E" w:rsidRDefault="00884F65" w:rsidP="00E1664B">
      <w:pPr>
        <w:rPr>
          <w:lang w:val="en-US"/>
        </w:rPr>
      </w:pPr>
      <w:r w:rsidRPr="00AB7D1E">
        <w:rPr>
          <w:lang w:val="en-US"/>
        </w:rPr>
        <w:t xml:space="preserve">Contractor must ensure mitigation of these risks by adhering to WHO guidelines as well as </w:t>
      </w:r>
      <w:bookmarkStart w:id="178" w:name="_Hlk48509189"/>
      <w:r w:rsidRPr="00AB7D1E">
        <w:rPr>
          <w:lang w:val="en-US"/>
        </w:rPr>
        <w:t>Environmental Health and Safety (EHS) Guidelines of the World Bank Group</w:t>
      </w:r>
      <w:bookmarkEnd w:id="178"/>
      <w:r w:rsidRPr="00AB7D1E">
        <w:rPr>
          <w:lang w:val="en-US"/>
        </w:rPr>
        <w:t xml:space="preserve"> and other good international industry practice (GIIP), and national </w:t>
      </w:r>
      <w:proofErr w:type="spellStart"/>
      <w:r w:rsidR="00B708F8" w:rsidRPr="00AB7D1E">
        <w:rPr>
          <w:lang w:val="en-US"/>
        </w:rPr>
        <w:t>guidances</w:t>
      </w:r>
      <w:proofErr w:type="spellEnd"/>
      <w:r w:rsidRPr="00AB7D1E">
        <w:rPr>
          <w:lang w:val="en-US"/>
        </w:rPr>
        <w:t xml:space="preserve"> and procedures.</w:t>
      </w:r>
    </w:p>
    <w:p w14:paraId="249C7DCF" w14:textId="48AA4CBD" w:rsidR="00884F65" w:rsidRPr="00AB7D1E" w:rsidRDefault="00884F65" w:rsidP="00E1664B">
      <w:pPr>
        <w:rPr>
          <w:lang w:val="en-US"/>
        </w:rPr>
      </w:pPr>
      <w:r w:rsidRPr="00AB7D1E">
        <w:rPr>
          <w:lang w:val="en-US"/>
        </w:rPr>
        <w:t>For now, Croatia has stricter conditions for managing with waste protective equipment (gloves, masks, paper towel etc.) and other types of waste from households and similar activities, then those prescribed by WHO and EU guidelines. Waste from PPE equipment for COVID-19 originating from construction site should be classified as municipal waste</w:t>
      </w:r>
      <w:r w:rsidR="00486567" w:rsidRPr="00AB7D1E">
        <w:rPr>
          <w:lang w:val="en-US"/>
        </w:rPr>
        <w:t>.</w:t>
      </w:r>
    </w:p>
    <w:p w14:paraId="03265F84" w14:textId="38740D09" w:rsidR="00884F65" w:rsidRPr="00AB7D1E" w:rsidRDefault="00884F65" w:rsidP="00E1664B">
      <w:pPr>
        <w:rPr>
          <w:lang w:val="en-US"/>
        </w:rPr>
      </w:pPr>
      <w:r w:rsidRPr="00AB7D1E">
        <w:rPr>
          <w:lang w:val="en-US"/>
        </w:rPr>
        <w:lastRenderedPageBreak/>
        <w:t>Waste (</w:t>
      </w:r>
      <w:proofErr w:type="spellStart"/>
      <w:r w:rsidRPr="00AB7D1E">
        <w:rPr>
          <w:lang w:val="en-US"/>
        </w:rPr>
        <w:t>e</w:t>
      </w:r>
      <w:r w:rsidR="00B708F8" w:rsidRPr="00AB7D1E">
        <w:rPr>
          <w:lang w:val="en-US"/>
        </w:rPr>
        <w:t>.</w:t>
      </w:r>
      <w:r w:rsidRPr="00AB7D1E">
        <w:rPr>
          <w:lang w:val="en-US"/>
        </w:rPr>
        <w:t>g</w:t>
      </w:r>
      <w:proofErr w:type="spellEnd"/>
      <w:r w:rsidRPr="00AB7D1E">
        <w:rPr>
          <w:lang w:val="en-US"/>
        </w:rPr>
        <w:t xml:space="preserve"> paper towels, masks, gloves etc.) and disposable cleaning cloths can be disposed in single-use bags for waste. Such a bag should then be placed in another bag, tied tightly and kept separate from other waste. This waste should be set aside for at least 72 hours before disposing in container for mixed municipal waste. </w:t>
      </w:r>
    </w:p>
    <w:p w14:paraId="3DEB4E4E" w14:textId="40676DDD" w:rsidR="00884F65" w:rsidRPr="00AB7D1E" w:rsidRDefault="00884F65" w:rsidP="00E1664B">
      <w:pPr>
        <w:rPr>
          <w:rFonts w:ascii="Calibri" w:hAnsi="Calibri"/>
          <w:lang w:val="en-US"/>
        </w:rPr>
      </w:pPr>
      <w:r w:rsidRPr="00AB7D1E">
        <w:rPr>
          <w:rFonts w:ascii="Calibri" w:hAnsi="Calibri"/>
          <w:lang w:val="en-US"/>
        </w:rPr>
        <w:t xml:space="preserve">Given that the epidemiological situation is of a changing nature, it is necessary to continuously monitor the WHO guidelines and the guidelines on the official </w:t>
      </w:r>
      <w:r w:rsidR="00E26FF1" w:rsidRPr="00AB7D1E">
        <w:rPr>
          <w:rFonts w:ascii="Calibri" w:hAnsi="Calibri"/>
          <w:lang w:val="en-US"/>
        </w:rPr>
        <w:t>G</w:t>
      </w:r>
      <w:r w:rsidRPr="00AB7D1E">
        <w:rPr>
          <w:rFonts w:ascii="Calibri" w:hAnsi="Calibri"/>
          <w:lang w:val="en-US"/>
        </w:rPr>
        <w:t xml:space="preserve">overnment website for accurate and verified information on </w:t>
      </w:r>
      <w:r w:rsidR="00E26FF1" w:rsidRPr="00AB7D1E">
        <w:rPr>
          <w:rFonts w:ascii="Calibri" w:hAnsi="Calibri"/>
          <w:lang w:val="en-US"/>
        </w:rPr>
        <w:t>COVID-19</w:t>
      </w:r>
      <w:r w:rsidRPr="00AB7D1E">
        <w:rPr>
          <w:rFonts w:ascii="Calibri" w:hAnsi="Calibri"/>
          <w:lang w:val="en-US"/>
        </w:rPr>
        <w:t xml:space="preserve"> and apply them at the construction site</w:t>
      </w:r>
    </w:p>
    <w:p w14:paraId="7715ABC0" w14:textId="60C881EB" w:rsidR="00884F65" w:rsidRPr="00AB7D1E" w:rsidRDefault="00884F65" w:rsidP="00E1664B">
      <w:pPr>
        <w:rPr>
          <w:rFonts w:ascii="Calibri" w:hAnsi="Calibri" w:cs="Calibri"/>
          <w:lang w:val="en-US"/>
        </w:rPr>
      </w:pPr>
      <w:r w:rsidRPr="00AB7D1E">
        <w:rPr>
          <w:rFonts w:ascii="Calibri" w:hAnsi="Calibri" w:cs="Calibri"/>
          <w:lang w:val="en-US"/>
        </w:rPr>
        <w:t xml:space="preserve">Ministry of Labor and Pension System developed guidance for the implementation of safety and health protection measures at work during the execution of construction works and implementation of safety and health measures in circumstances of risk of infectious disease </w:t>
      </w:r>
      <w:r w:rsidR="00E26FF1" w:rsidRPr="00AB7D1E">
        <w:rPr>
          <w:rFonts w:ascii="Calibri" w:hAnsi="Calibri" w:cs="Calibri"/>
          <w:lang w:val="en-US"/>
        </w:rPr>
        <w:t>COVID-</w:t>
      </w:r>
      <w:r w:rsidRPr="00AB7D1E">
        <w:rPr>
          <w:rFonts w:ascii="Calibri" w:hAnsi="Calibri" w:cs="Calibri"/>
          <w:lang w:val="en-US"/>
        </w:rPr>
        <w:t>19</w:t>
      </w:r>
      <w:r w:rsidR="00486567" w:rsidRPr="00AB7D1E">
        <w:rPr>
          <w:rStyle w:val="FootnoteReference"/>
          <w:rFonts w:ascii="Calibri" w:hAnsi="Calibri" w:cs="Calibri"/>
          <w:lang w:val="en-US"/>
        </w:rPr>
        <w:footnoteReference w:id="132"/>
      </w:r>
      <w:r w:rsidRPr="00AB7D1E">
        <w:rPr>
          <w:rFonts w:ascii="Calibri" w:hAnsi="Calibri" w:cs="Calibri"/>
          <w:lang w:val="en-US"/>
        </w:rPr>
        <w:t>.</w:t>
      </w:r>
    </w:p>
    <w:p w14:paraId="156AD286" w14:textId="2183400F" w:rsidR="00884F65" w:rsidRPr="00AB7D1E" w:rsidRDefault="00884F65" w:rsidP="00E1664B">
      <w:pPr>
        <w:rPr>
          <w:lang w:val="en-US"/>
        </w:rPr>
      </w:pPr>
      <w:r w:rsidRPr="00AB7D1E">
        <w:rPr>
          <w:lang w:val="en-US"/>
        </w:rPr>
        <w:t xml:space="preserve">Contractors </w:t>
      </w:r>
      <w:r w:rsidR="00E26FF1" w:rsidRPr="00AB7D1E">
        <w:rPr>
          <w:lang w:val="en-US"/>
        </w:rPr>
        <w:t>should</w:t>
      </w:r>
      <w:r w:rsidRPr="00AB7D1E">
        <w:rPr>
          <w:lang w:val="en-US"/>
        </w:rPr>
        <w:t xml:space="preserve"> develop specific procedures so that adequate precautions are in place to prevent or minimize an outbreak of COVID-19, and it is clear what should be done if a worker gets sick. These will as minimum include: </w:t>
      </w:r>
    </w:p>
    <w:p w14:paraId="3E1B1634" w14:textId="77777777" w:rsidR="00884F65" w:rsidRPr="00AB7D1E" w:rsidRDefault="00884F65" w:rsidP="00BE60A0">
      <w:pPr>
        <w:numPr>
          <w:ilvl w:val="0"/>
          <w:numId w:val="40"/>
        </w:numPr>
        <w:suppressAutoHyphens w:val="0"/>
        <w:autoSpaceDE w:val="0"/>
        <w:autoSpaceDN/>
        <w:adjustRightInd w:val="0"/>
        <w:spacing w:before="0" w:after="114" w:line="240" w:lineRule="auto"/>
        <w:textAlignment w:val="auto"/>
        <w:rPr>
          <w:rFonts w:ascii="Calibri" w:hAnsi="Calibri" w:cs="Calibri"/>
          <w:lang w:val="en-US"/>
        </w:rPr>
      </w:pPr>
      <w:r w:rsidRPr="00AB7D1E">
        <w:rPr>
          <w:rFonts w:ascii="Calibri" w:hAnsi="Calibri" w:cs="Calibri"/>
          <w:lang w:val="en-US"/>
        </w:rPr>
        <w:t xml:space="preserve">Entry/exit to site or the workplace will be minimized, and measures will be put in place to limit contact between workers and the community/general public </w:t>
      </w:r>
    </w:p>
    <w:p w14:paraId="302F9339" w14:textId="77777777" w:rsidR="00884F65" w:rsidRPr="00AB7D1E" w:rsidRDefault="00884F65" w:rsidP="00BE60A0">
      <w:pPr>
        <w:numPr>
          <w:ilvl w:val="0"/>
          <w:numId w:val="40"/>
        </w:numPr>
        <w:suppressAutoHyphens w:val="0"/>
        <w:autoSpaceDE w:val="0"/>
        <w:autoSpaceDN/>
        <w:adjustRightInd w:val="0"/>
        <w:spacing w:before="0" w:after="114" w:line="240" w:lineRule="auto"/>
        <w:textAlignment w:val="auto"/>
        <w:rPr>
          <w:rFonts w:ascii="Calibri" w:hAnsi="Calibri" w:cs="Calibri"/>
          <w:lang w:val="en-US"/>
        </w:rPr>
      </w:pPr>
      <w:r w:rsidRPr="00AB7D1E">
        <w:rPr>
          <w:rFonts w:ascii="Calibri" w:hAnsi="Calibri" w:cs="Calibri"/>
          <w:lang w:val="en-US"/>
        </w:rPr>
        <w:t>Trainings for workers on hygiene and other preventative measures will be carried out</w:t>
      </w:r>
    </w:p>
    <w:p w14:paraId="2C2FAC61" w14:textId="77777777" w:rsidR="00884F65" w:rsidRPr="00AB7D1E" w:rsidRDefault="00884F65" w:rsidP="00BE60A0">
      <w:pPr>
        <w:numPr>
          <w:ilvl w:val="0"/>
          <w:numId w:val="40"/>
        </w:numPr>
        <w:suppressAutoHyphens w:val="0"/>
        <w:autoSpaceDE w:val="0"/>
        <w:autoSpaceDN/>
        <w:adjustRightInd w:val="0"/>
        <w:spacing w:before="0" w:after="114" w:line="240" w:lineRule="auto"/>
        <w:textAlignment w:val="auto"/>
        <w:rPr>
          <w:rFonts w:ascii="Calibri" w:hAnsi="Calibri" w:cs="Calibri"/>
          <w:lang w:val="en-US"/>
        </w:rPr>
      </w:pPr>
      <w:r w:rsidRPr="00AB7D1E">
        <w:rPr>
          <w:rFonts w:ascii="Calibri" w:hAnsi="Calibri" w:cs="Calibri"/>
          <w:lang w:val="en-US"/>
        </w:rPr>
        <w:t>Adequate supplies of PPE (medical masks, gloves, hand washing soap and sanitizer; and effective cleaning equipment), will be put in place,</w:t>
      </w:r>
    </w:p>
    <w:p w14:paraId="3BF4C155" w14:textId="77777777" w:rsidR="00884F65" w:rsidRPr="00AB7D1E" w:rsidRDefault="00884F65" w:rsidP="00BE60A0">
      <w:pPr>
        <w:numPr>
          <w:ilvl w:val="0"/>
          <w:numId w:val="40"/>
        </w:numPr>
        <w:suppressAutoHyphens w:val="0"/>
        <w:autoSpaceDE w:val="0"/>
        <w:autoSpaceDN/>
        <w:adjustRightInd w:val="0"/>
        <w:spacing w:before="0" w:after="114" w:line="240" w:lineRule="auto"/>
        <w:textAlignment w:val="auto"/>
        <w:rPr>
          <w:rFonts w:ascii="Calibri" w:hAnsi="Calibri" w:cs="Calibri"/>
          <w:lang w:val="en-US"/>
        </w:rPr>
      </w:pPr>
      <w:r w:rsidRPr="00AB7D1E">
        <w:rPr>
          <w:rFonts w:ascii="Calibri" w:hAnsi="Calibri" w:cs="Calibri"/>
          <w:lang w:val="en-US"/>
        </w:rPr>
        <w:t>Instruction in case worker gets ill.</w:t>
      </w:r>
    </w:p>
    <w:p w14:paraId="4816005D" w14:textId="52AB607A" w:rsidR="00884F65" w:rsidRPr="00AB7D1E" w:rsidRDefault="00884F65" w:rsidP="00E1664B">
      <w:pPr>
        <w:rPr>
          <w:b/>
          <w:bCs/>
          <w:lang w:val="en-US"/>
        </w:rPr>
      </w:pPr>
      <w:r w:rsidRPr="00AB7D1E">
        <w:rPr>
          <w:b/>
          <w:bCs/>
          <w:lang w:val="en-US"/>
        </w:rPr>
        <w:t xml:space="preserve">While preparing the site-specific procedures </w:t>
      </w:r>
      <w:r w:rsidR="003A6073" w:rsidRPr="00AB7D1E">
        <w:rPr>
          <w:b/>
          <w:bCs/>
          <w:lang w:val="en-US"/>
        </w:rPr>
        <w:t xml:space="preserve">applicable </w:t>
      </w:r>
      <w:r w:rsidRPr="00AB7D1E">
        <w:rPr>
          <w:b/>
          <w:bCs/>
          <w:lang w:val="en-US"/>
        </w:rPr>
        <w:t xml:space="preserve">guidance materials provided in </w:t>
      </w:r>
      <w:r w:rsidR="006C7F86" w:rsidRPr="006C7F86">
        <w:rPr>
          <w:b/>
          <w:bCs/>
          <w:lang w:val="en-US"/>
        </w:rPr>
        <w:fldChar w:fldCharType="begin"/>
      </w:r>
      <w:r w:rsidR="006C7F86" w:rsidRPr="006C7F86">
        <w:rPr>
          <w:b/>
          <w:bCs/>
          <w:lang w:val="en-US"/>
        </w:rPr>
        <w:instrText xml:space="preserve"> REF _Ref56949974 \h  \* MERGEFORMAT </w:instrText>
      </w:r>
      <w:r w:rsidR="006C7F86" w:rsidRPr="006C7F86">
        <w:rPr>
          <w:b/>
          <w:bCs/>
          <w:lang w:val="en-US"/>
        </w:rPr>
      </w:r>
      <w:r w:rsidR="006C7F86" w:rsidRPr="006C7F86">
        <w:rPr>
          <w:b/>
          <w:bCs/>
          <w:lang w:val="en-US"/>
        </w:rPr>
        <w:fldChar w:fldCharType="separate"/>
      </w:r>
      <w:r w:rsidR="007D1E1B" w:rsidRPr="007D1E1B">
        <w:rPr>
          <w:b/>
          <w:bCs/>
        </w:rPr>
        <w:t xml:space="preserve">ANNEX </w:t>
      </w:r>
      <w:r w:rsidR="007D1E1B" w:rsidRPr="007D1E1B">
        <w:rPr>
          <w:b/>
          <w:bCs/>
          <w:noProof/>
        </w:rPr>
        <w:t>XIII</w:t>
      </w:r>
      <w:r w:rsidR="006C7F86" w:rsidRPr="006C7F86">
        <w:rPr>
          <w:b/>
          <w:bCs/>
          <w:lang w:val="en-US"/>
        </w:rPr>
        <w:fldChar w:fldCharType="end"/>
      </w:r>
      <w:r w:rsidR="006C7F86" w:rsidRPr="006C7F86">
        <w:rPr>
          <w:b/>
          <w:bCs/>
          <w:lang w:val="en-US"/>
        </w:rPr>
        <w:t xml:space="preserve"> </w:t>
      </w:r>
      <w:r w:rsidRPr="00AB7D1E">
        <w:rPr>
          <w:b/>
          <w:bCs/>
          <w:lang w:val="en-US"/>
        </w:rPr>
        <w:t>have to be used and during implementation of the sub-projects updated regularly.</w:t>
      </w:r>
    </w:p>
    <w:p w14:paraId="1C771B3A" w14:textId="7B015A59" w:rsidR="00296C20" w:rsidRPr="00DF68BC" w:rsidRDefault="006C25BB" w:rsidP="0023479D">
      <w:pPr>
        <w:widowControl w:val="0"/>
        <w:tabs>
          <w:tab w:val="left" w:pos="450"/>
          <w:tab w:val="left" w:pos="900"/>
        </w:tabs>
        <w:suppressAutoHyphens w:val="0"/>
        <w:autoSpaceDE w:val="0"/>
        <w:spacing w:before="0" w:after="0" w:line="240" w:lineRule="auto"/>
        <w:ind w:right="120"/>
        <w:jc w:val="left"/>
        <w:textAlignment w:val="auto"/>
        <w:rPr>
          <w:rFonts w:eastAsia="Times New Roman" w:cstheme="minorHAnsi"/>
          <w:b/>
          <w:bCs/>
          <w:u w:val="single"/>
          <w:lang w:val="en-US"/>
        </w:rPr>
      </w:pPr>
      <w:r w:rsidRPr="00DF68BC">
        <w:rPr>
          <w:rFonts w:eastAsia="Times New Roman" w:cstheme="minorHAnsi"/>
          <w:b/>
          <w:bCs/>
          <w:u w:val="single"/>
          <w:lang w:val="en-US"/>
        </w:rPr>
        <w:t>Operation</w:t>
      </w:r>
      <w:r w:rsidR="00111B6C" w:rsidRPr="00DF68BC">
        <w:rPr>
          <w:rFonts w:eastAsia="Times New Roman" w:cstheme="minorHAnsi"/>
          <w:b/>
          <w:bCs/>
          <w:u w:val="single"/>
          <w:lang w:val="en-US"/>
        </w:rPr>
        <w:t>a</w:t>
      </w:r>
      <w:r w:rsidR="00213DED">
        <w:rPr>
          <w:rFonts w:eastAsia="Times New Roman" w:cstheme="minorHAnsi"/>
          <w:b/>
          <w:bCs/>
          <w:u w:val="single"/>
          <w:lang w:val="en-US"/>
        </w:rPr>
        <w:t>l</w:t>
      </w:r>
      <w:r w:rsidRPr="00DF68BC">
        <w:rPr>
          <w:rFonts w:eastAsia="Times New Roman" w:cstheme="minorHAnsi"/>
          <w:b/>
          <w:bCs/>
          <w:u w:val="single"/>
          <w:lang w:val="en-US"/>
        </w:rPr>
        <w:t xml:space="preserve"> Phase:</w:t>
      </w:r>
    </w:p>
    <w:p w14:paraId="205C34D2" w14:textId="6DD28C74" w:rsidR="00296C20" w:rsidRPr="00AB7D1E" w:rsidRDefault="00296C20" w:rsidP="00E1664B">
      <w:pPr>
        <w:rPr>
          <w:lang w:val="en-US"/>
        </w:rPr>
      </w:pPr>
      <w:r w:rsidRPr="00F60B25">
        <w:rPr>
          <w:lang w:val="en-US"/>
        </w:rPr>
        <w:t>The utilization of medical equipment and supplies related to the emergency response to COVID-19 component, carries specific risks to the environment, communities, and project work</w:t>
      </w:r>
      <w:r w:rsidRPr="00213DED">
        <w:rPr>
          <w:lang w:val="en-US"/>
        </w:rPr>
        <w:t>ers. Such risks may include insufficiency of the design and quality of safety arrangements to be put in place within hospitals, laboratories, an</w:t>
      </w:r>
      <w:r w:rsidR="00DD331C" w:rsidRPr="00583DD3">
        <w:rPr>
          <w:lang w:val="en-US"/>
        </w:rPr>
        <w:t>d</w:t>
      </w:r>
      <w:r w:rsidRPr="00B20D85">
        <w:rPr>
          <w:lang w:val="en-US"/>
        </w:rPr>
        <w:t xml:space="preserve"> other related premises for</w:t>
      </w:r>
      <w:r w:rsidRPr="001E3E9C">
        <w:rPr>
          <w:lang w:val="en-US"/>
        </w:rPr>
        <w:t xml:space="preserve"> avoiding internal spread of infection and its transmission to hospital personnel; o</w:t>
      </w:r>
      <w:r w:rsidRPr="008A3A20">
        <w:rPr>
          <w:lang w:val="en-US"/>
        </w:rPr>
        <w:t>r the inadequacy of medical waste management systems and facilities related to the handling, transportation and disposal of hazardous and infectious healthcare waste. Health workers, waste handlers, users of health</w:t>
      </w:r>
      <w:r w:rsidRPr="00AB7D1E">
        <w:rPr>
          <w:lang w:val="en-US"/>
        </w:rPr>
        <w:t xml:space="preserve"> facilities and the local communities along the transportation routes of medical wastes and around disposal facilities are all exposed to infection as a result of poor health care waste management. </w:t>
      </w:r>
      <w:r w:rsidRPr="00AB7D1E" w:rsidDel="00922912">
        <w:rPr>
          <w:lang w:val="en-US"/>
        </w:rPr>
        <w:t xml:space="preserve"> </w:t>
      </w:r>
    </w:p>
    <w:p w14:paraId="2F5F4A48" w14:textId="6FAAFDEE" w:rsidR="00CA6365" w:rsidRPr="00AB7D1E" w:rsidRDefault="00296C20" w:rsidP="00E1664B">
      <w:pPr>
        <w:rPr>
          <w:lang w:val="en-US"/>
        </w:rPr>
      </w:pPr>
      <w:r w:rsidRPr="00AB7D1E">
        <w:rPr>
          <w:lang w:val="en-US"/>
        </w:rPr>
        <w:t>The organization of medical waste management is of the highest concern related to other risks associated with the project. The project will mitigate these risks by adhering to WHO guidelines as well as Environmental Health and Safety (EHS) Guidelines of the World Bank Group and other good international industry practice (GIIP)</w:t>
      </w:r>
      <w:r w:rsidR="00CA6365" w:rsidRPr="00AB7D1E">
        <w:rPr>
          <w:lang w:val="en-US"/>
        </w:rPr>
        <w:t xml:space="preserve"> and nation</w:t>
      </w:r>
      <w:r w:rsidR="00B31943" w:rsidRPr="00AB7D1E">
        <w:rPr>
          <w:lang w:val="en-US"/>
        </w:rPr>
        <w:t>al</w:t>
      </w:r>
      <w:r w:rsidR="00CA6365" w:rsidRPr="00AB7D1E">
        <w:rPr>
          <w:lang w:val="en-US"/>
        </w:rPr>
        <w:t xml:space="preserve"> </w:t>
      </w:r>
      <w:r w:rsidR="00556430">
        <w:rPr>
          <w:lang w:val="en-US"/>
        </w:rPr>
        <w:t>regulation</w:t>
      </w:r>
      <w:r w:rsidRPr="00AB7D1E">
        <w:rPr>
          <w:lang w:val="en-US"/>
        </w:rPr>
        <w:t xml:space="preserve">. </w:t>
      </w:r>
    </w:p>
    <w:p w14:paraId="4F7040CD" w14:textId="0DDC8402" w:rsidR="00BE6372" w:rsidRPr="00AB7D1E" w:rsidRDefault="00296C20" w:rsidP="00E1664B">
      <w:pPr>
        <w:rPr>
          <w:lang w:val="en-US"/>
        </w:rPr>
      </w:pPr>
      <w:r w:rsidRPr="00AB7D1E">
        <w:rPr>
          <w:lang w:val="en-US"/>
        </w:rPr>
        <w:t xml:space="preserve">As per World Bank guidelines, where the scope of financing includes medical supplies and equipment, the </w:t>
      </w:r>
      <w:proofErr w:type="spellStart"/>
      <w:r w:rsidR="00CA6365" w:rsidRPr="00AB7D1E">
        <w:rPr>
          <w:lang w:val="en-US"/>
        </w:rPr>
        <w:t>MoH</w:t>
      </w:r>
      <w:proofErr w:type="spellEnd"/>
      <w:r w:rsidR="00CA6365" w:rsidRPr="00AB7D1E">
        <w:rPr>
          <w:lang w:val="en-US"/>
        </w:rPr>
        <w:t xml:space="preserve"> PIU</w:t>
      </w:r>
      <w:r w:rsidRPr="00AB7D1E">
        <w:rPr>
          <w:lang w:val="en-US"/>
        </w:rPr>
        <w:t xml:space="preserve"> staff </w:t>
      </w:r>
      <w:r w:rsidR="00CA6365" w:rsidRPr="00AB7D1E">
        <w:rPr>
          <w:lang w:val="en-US"/>
        </w:rPr>
        <w:t>have</w:t>
      </w:r>
      <w:r w:rsidRPr="00AB7D1E">
        <w:rPr>
          <w:lang w:val="en-US"/>
        </w:rPr>
        <w:t xml:space="preserve"> to ensure that the supplies and equipment were provided to a facility or laboratory that functions in accordance with national laws (or accepted industry standard) for </w:t>
      </w:r>
      <w:r w:rsidRPr="00AB7D1E">
        <w:rPr>
          <w:lang w:val="en-US"/>
        </w:rPr>
        <w:lastRenderedPageBreak/>
        <w:t xml:space="preserve">operational health and safety, waste management and Grievance Redress Mechanism (GRM). In doing so, the </w:t>
      </w:r>
      <w:proofErr w:type="spellStart"/>
      <w:r w:rsidR="00CA6365" w:rsidRPr="00AB7D1E">
        <w:rPr>
          <w:lang w:val="en-US"/>
        </w:rPr>
        <w:t>MoH</w:t>
      </w:r>
      <w:proofErr w:type="spellEnd"/>
      <w:r w:rsidR="00CA6365" w:rsidRPr="00AB7D1E">
        <w:rPr>
          <w:lang w:val="en-US"/>
        </w:rPr>
        <w:t xml:space="preserve"> PIU</w:t>
      </w:r>
      <w:r w:rsidRPr="00AB7D1E">
        <w:rPr>
          <w:lang w:val="en-US"/>
        </w:rPr>
        <w:t xml:space="preserve"> </w:t>
      </w:r>
      <w:r w:rsidR="00E701DC">
        <w:rPr>
          <w:lang w:val="en-US"/>
        </w:rPr>
        <w:t xml:space="preserve">will </w:t>
      </w:r>
      <w:r w:rsidRPr="00AB7D1E">
        <w:rPr>
          <w:lang w:val="en-US"/>
        </w:rPr>
        <w:t xml:space="preserve">verify and demonstrate that the following measures are in place: adequate waste management systems; functioning (GRM) including at the beneficiary facility or laboratory; and that staff at </w:t>
      </w:r>
      <w:r w:rsidRPr="00850A7D">
        <w:rPr>
          <w:lang w:val="en-US"/>
        </w:rPr>
        <w:t xml:space="preserve">beneficiary facilities or laboratories have received adequate training on the use of the supplies and </w:t>
      </w:r>
      <w:r w:rsidRPr="00583DD3">
        <w:rPr>
          <w:lang w:val="en-US"/>
        </w:rPr>
        <w:t>equipment.</w:t>
      </w:r>
      <w:r w:rsidR="0076586E" w:rsidRPr="00B20D85">
        <w:rPr>
          <w:lang w:val="en-US"/>
        </w:rPr>
        <w:t xml:space="preserve"> Transport of dangerous goods should be conducted in</w:t>
      </w:r>
      <w:r w:rsidR="0076586E" w:rsidRPr="001E3E9C">
        <w:rPr>
          <w:lang w:val="en-US"/>
        </w:rPr>
        <w:t xml:space="preserve"> line with Act on the transport of dangerous goods (OG 97/07)</w:t>
      </w:r>
      <w:r w:rsidR="0076586E" w:rsidRPr="00850A7D">
        <w:rPr>
          <w:rStyle w:val="FootnoteReference"/>
          <w:lang w:val="en-US"/>
        </w:rPr>
        <w:footnoteReference w:id="133"/>
      </w:r>
      <w:r w:rsidR="0076586E" w:rsidRPr="00850A7D">
        <w:rPr>
          <w:lang w:val="en-US"/>
        </w:rPr>
        <w:t>.</w:t>
      </w:r>
    </w:p>
    <w:p w14:paraId="0635E0DB" w14:textId="22522AF8" w:rsidR="00454995" w:rsidRPr="00AB7D1E" w:rsidRDefault="001E1DEB" w:rsidP="008B0DEF">
      <w:pPr>
        <w:pStyle w:val="Heading3"/>
        <w:rPr>
          <w:color w:val="auto"/>
          <w:lang w:val="en-US"/>
        </w:rPr>
      </w:pPr>
      <w:bookmarkStart w:id="179" w:name="_Ref48574970"/>
      <w:bookmarkStart w:id="180" w:name="_Ref48575009"/>
      <w:bookmarkStart w:id="181" w:name="_Toc56954078"/>
      <w:r w:rsidRPr="00AB7D1E">
        <w:rPr>
          <w:color w:val="1A495D" w:themeColor="accent1" w:themeShade="80"/>
          <w:lang w:val="en-US"/>
        </w:rPr>
        <w:t>D</w:t>
      </w:r>
      <w:r w:rsidR="007F63A1" w:rsidRPr="00AB7D1E">
        <w:rPr>
          <w:color w:val="1A495D" w:themeColor="accent1" w:themeShade="80"/>
          <w:lang w:val="en-US"/>
        </w:rPr>
        <w:t>ue diligence documents and decisions</w:t>
      </w:r>
      <w:bookmarkEnd w:id="179"/>
      <w:bookmarkEnd w:id="180"/>
      <w:bookmarkEnd w:id="181"/>
    </w:p>
    <w:p w14:paraId="07C9D6C7" w14:textId="1F5F02F2" w:rsidR="00696F96" w:rsidRPr="00AB7D1E" w:rsidRDefault="005B1127" w:rsidP="00E1664B">
      <w:pPr>
        <w:rPr>
          <w:lang w:val="en-US"/>
        </w:rPr>
      </w:pPr>
      <w:r w:rsidRPr="00AB7D1E">
        <w:rPr>
          <w:lang w:val="en-US"/>
        </w:rPr>
        <w:t>According to the national legislation, environmental impact assessment is obligatory for interventions defined in Annex I of the Regulation on environmental impact assessment (OG 61/14, 3/17).</w:t>
      </w:r>
      <w:r w:rsidR="00696F96" w:rsidRPr="00AB7D1E">
        <w:rPr>
          <w:lang w:val="en-US"/>
        </w:rPr>
        <w:t xml:space="preserve"> </w:t>
      </w:r>
      <w:r w:rsidRPr="00AB7D1E">
        <w:rPr>
          <w:lang w:val="en-US"/>
        </w:rPr>
        <w:t xml:space="preserve">In Annex II and Annex III </w:t>
      </w:r>
      <w:r w:rsidR="00696F96" w:rsidRPr="00AB7D1E">
        <w:rPr>
          <w:lang w:val="en-US"/>
        </w:rPr>
        <w:t xml:space="preserve">of that Regulation </w:t>
      </w:r>
      <w:r w:rsidRPr="00AB7D1E">
        <w:rPr>
          <w:lang w:val="en-US"/>
        </w:rPr>
        <w:t xml:space="preserve">interventions for which screening procedure </w:t>
      </w:r>
      <w:proofErr w:type="gramStart"/>
      <w:r w:rsidRPr="00AB7D1E">
        <w:rPr>
          <w:lang w:val="en-US"/>
        </w:rPr>
        <w:t>has to</w:t>
      </w:r>
      <w:proofErr w:type="gramEnd"/>
      <w:r w:rsidRPr="00AB7D1E">
        <w:rPr>
          <w:lang w:val="en-US"/>
        </w:rPr>
        <w:t xml:space="preserve"> be carried </w:t>
      </w:r>
      <w:r w:rsidR="002C2B86" w:rsidRPr="00AB7D1E">
        <w:rPr>
          <w:lang w:val="en-US"/>
        </w:rPr>
        <w:t xml:space="preserve">out </w:t>
      </w:r>
      <w:r w:rsidRPr="00AB7D1E">
        <w:rPr>
          <w:lang w:val="en-US"/>
        </w:rPr>
        <w:t xml:space="preserve">are </w:t>
      </w:r>
      <w:r w:rsidR="002C2B86" w:rsidRPr="00AB7D1E">
        <w:rPr>
          <w:lang w:val="en-US"/>
        </w:rPr>
        <w:t>defined</w:t>
      </w:r>
      <w:r w:rsidRPr="00AB7D1E">
        <w:rPr>
          <w:lang w:val="en-US"/>
        </w:rPr>
        <w:t xml:space="preserve">. </w:t>
      </w:r>
    </w:p>
    <w:p w14:paraId="7A19AF89" w14:textId="6F9BD2AE" w:rsidR="005B1127" w:rsidRPr="00AB7D1E" w:rsidRDefault="005D5DD0" w:rsidP="00E1664B">
      <w:pPr>
        <w:rPr>
          <w:lang w:val="en-US"/>
        </w:rPr>
      </w:pPr>
      <w:r w:rsidRPr="00AB7D1E">
        <w:rPr>
          <w:lang w:val="en-US"/>
        </w:rPr>
        <w:t>Ministry of Economy and Sustainable Development</w:t>
      </w:r>
      <w:r w:rsidR="005B1127" w:rsidRPr="00AB7D1E">
        <w:rPr>
          <w:lang w:val="en-US"/>
        </w:rPr>
        <w:t xml:space="preserve"> is responsible for the procedures defined by Annex I and II, while administrative body in the county or in the City of Zagreb is responsible for the implementation of interventions defined by Annex III. Criteria for defining is</w:t>
      </w:r>
      <w:r w:rsidR="00986982" w:rsidRPr="00AB7D1E">
        <w:rPr>
          <w:lang w:val="en-US"/>
        </w:rPr>
        <w:t xml:space="preserve"> </w:t>
      </w:r>
      <w:r w:rsidR="005B1127" w:rsidRPr="00AB7D1E">
        <w:rPr>
          <w:lang w:val="en-US"/>
        </w:rPr>
        <w:t>environmental impact assessment necessary or not are defined in Annex V.</w:t>
      </w:r>
    </w:p>
    <w:p w14:paraId="6BBF10DD" w14:textId="3AC299B1" w:rsidR="00786043" w:rsidRPr="00AB7D1E" w:rsidRDefault="005B1127" w:rsidP="00E1664B">
      <w:pPr>
        <w:rPr>
          <w:lang w:val="en-US"/>
        </w:rPr>
      </w:pPr>
      <w:r w:rsidRPr="00AB7D1E">
        <w:rPr>
          <w:lang w:val="en-US"/>
        </w:rPr>
        <w:t>For interventions which have possible significant negative impact on the environment and which are not listed in Annex I, II and III of the Regulation on environmental impact assessment,</w:t>
      </w:r>
      <w:r w:rsidR="00145DB1" w:rsidRPr="00AB7D1E">
        <w:rPr>
          <w:lang w:val="en-US"/>
        </w:rPr>
        <w:t xml:space="preserve"> an</w:t>
      </w:r>
      <w:r w:rsidRPr="00AB7D1E">
        <w:rPr>
          <w:lang w:val="en-US"/>
        </w:rPr>
        <w:t xml:space="preserve"> </w:t>
      </w:r>
      <w:r w:rsidR="0031079D" w:rsidRPr="00AB7D1E">
        <w:rPr>
          <w:lang w:val="en-US"/>
        </w:rPr>
        <w:t xml:space="preserve">opinion </w:t>
      </w:r>
      <w:r w:rsidRPr="00AB7D1E">
        <w:rPr>
          <w:lang w:val="en-US"/>
        </w:rPr>
        <w:t>from competent authority</w:t>
      </w:r>
      <w:r w:rsidR="00500636" w:rsidRPr="00AB7D1E">
        <w:rPr>
          <w:lang w:val="en-US"/>
        </w:rPr>
        <w:t xml:space="preserve"> (</w:t>
      </w:r>
      <w:r w:rsidR="00E44399" w:rsidRPr="00AB7D1E">
        <w:rPr>
          <w:lang w:val="en-US"/>
        </w:rPr>
        <w:t>C</w:t>
      </w:r>
      <w:r w:rsidR="00E41F9D" w:rsidRPr="00AB7D1E">
        <w:rPr>
          <w:lang w:val="en-US"/>
        </w:rPr>
        <w:t>ounty,</w:t>
      </w:r>
      <w:r w:rsidR="00500636" w:rsidRPr="00AB7D1E">
        <w:rPr>
          <w:lang w:val="en-US"/>
        </w:rPr>
        <w:t xml:space="preserve"> City of Zagreb)</w:t>
      </w:r>
      <w:r w:rsidRPr="00AB7D1E">
        <w:rPr>
          <w:lang w:val="en-US"/>
        </w:rPr>
        <w:t xml:space="preserve"> has to be obtain</w:t>
      </w:r>
      <w:r w:rsidR="00145DB1" w:rsidRPr="00AB7D1E">
        <w:rPr>
          <w:lang w:val="en-US"/>
        </w:rPr>
        <w:t xml:space="preserve"> on is screening, or EIA needed or not.</w:t>
      </w:r>
    </w:p>
    <w:p w14:paraId="568EFD88" w14:textId="339FD72E" w:rsidR="001E1DEB" w:rsidRPr="00AB7D1E" w:rsidRDefault="001E1DEB" w:rsidP="00E1664B">
      <w:pPr>
        <w:rPr>
          <w:lang w:val="en-US"/>
        </w:rPr>
      </w:pPr>
      <w:r w:rsidRPr="00AB7D1E">
        <w:rPr>
          <w:lang w:val="en-US"/>
        </w:rPr>
        <w:t xml:space="preserve">For activities under Subcomponent 2.1: Case management and Surveillance – repair and rehabilitation of public health laboratories environmental national instruments should be applied in case of </w:t>
      </w:r>
      <w:r w:rsidR="00E1664B" w:rsidRPr="00AB7D1E">
        <w:rPr>
          <w:lang w:val="en-US"/>
        </w:rPr>
        <w:t xml:space="preserve">repair / </w:t>
      </w:r>
      <w:r w:rsidRPr="00AB7D1E">
        <w:rPr>
          <w:lang w:val="en-US"/>
        </w:rPr>
        <w:t>rehabilitation works:</w:t>
      </w:r>
    </w:p>
    <w:p w14:paraId="0386F116" w14:textId="2902A60A" w:rsidR="00E44399" w:rsidRPr="00AB7D1E" w:rsidRDefault="00E44399" w:rsidP="00ED3F70">
      <w:pPr>
        <w:rPr>
          <w:lang w:val="en-US"/>
        </w:rPr>
      </w:pPr>
      <w:r w:rsidRPr="00AB7D1E">
        <w:rPr>
          <w:b/>
          <w:bCs/>
          <w:i/>
          <w:iCs/>
          <w:lang w:val="en-US"/>
        </w:rPr>
        <w:t xml:space="preserve">Activity– </w:t>
      </w:r>
      <w:r w:rsidR="00FC7979" w:rsidRPr="00AB7D1E">
        <w:rPr>
          <w:b/>
          <w:bCs/>
          <w:i/>
          <w:iCs/>
          <w:lang w:val="en-US"/>
        </w:rPr>
        <w:t>Repair / r</w:t>
      </w:r>
      <w:r w:rsidRPr="00AB7D1E">
        <w:rPr>
          <w:b/>
          <w:bCs/>
          <w:i/>
          <w:iCs/>
          <w:lang w:val="en-US"/>
        </w:rPr>
        <w:t>ehabilitation</w:t>
      </w:r>
      <w:r w:rsidR="001E1DEB" w:rsidRPr="00AB7D1E">
        <w:rPr>
          <w:b/>
          <w:bCs/>
          <w:i/>
          <w:iCs/>
          <w:lang w:val="en-US"/>
        </w:rPr>
        <w:t xml:space="preserve"> of public health laboratories</w:t>
      </w:r>
      <w:r w:rsidR="002E5AF0" w:rsidRPr="00AB7D1E">
        <w:rPr>
          <w:b/>
          <w:bCs/>
          <w:i/>
          <w:iCs/>
          <w:lang w:val="en-US"/>
        </w:rPr>
        <w:t xml:space="preserve"> (Subcomponent 2</w:t>
      </w:r>
      <w:r w:rsidR="001E1DEB" w:rsidRPr="00AB7D1E">
        <w:rPr>
          <w:b/>
          <w:bCs/>
          <w:i/>
          <w:iCs/>
          <w:lang w:val="en-US"/>
        </w:rPr>
        <w:t>.1</w:t>
      </w:r>
      <w:r w:rsidR="002E5AF0" w:rsidRPr="00AB7D1E">
        <w:rPr>
          <w:b/>
          <w:bCs/>
          <w:i/>
          <w:iCs/>
          <w:lang w:val="en-US"/>
        </w:rPr>
        <w:t>)</w:t>
      </w:r>
      <w:r w:rsidR="00ED3F70" w:rsidRPr="00AB7D1E">
        <w:rPr>
          <w:lang w:val="en-US"/>
        </w:rPr>
        <w:t>:</w:t>
      </w:r>
    </w:p>
    <w:p w14:paraId="6ADB7E61" w14:textId="5FC0ED9B" w:rsidR="00E44399" w:rsidRPr="00AB7D1E" w:rsidRDefault="00E44399" w:rsidP="00ED3F70">
      <w:pPr>
        <w:pStyle w:val="ListParagraph"/>
        <w:ind w:left="0"/>
        <w:rPr>
          <w:b/>
          <w:bCs/>
          <w:lang w:val="en-US"/>
        </w:rPr>
      </w:pPr>
      <w:r w:rsidRPr="00AB7D1E">
        <w:rPr>
          <w:lang w:val="en-US"/>
        </w:rPr>
        <w:t>A</w:t>
      </w:r>
      <w:r w:rsidRPr="008B62FA">
        <w:rPr>
          <w:b/>
          <w:bCs/>
          <w:lang w:val="en-US"/>
        </w:rPr>
        <w:t xml:space="preserve">ctivity is not listed in Annex I, II and III of the Regulation on environmental impact assessment </w:t>
      </w:r>
      <w:r w:rsidRPr="00AB7D1E">
        <w:rPr>
          <w:lang w:val="en-US"/>
        </w:rPr>
        <w:t xml:space="preserve">(OG 61/14, 3/17) and does not have possible significant negative impact on the environment, hence </w:t>
      </w:r>
      <w:r w:rsidRPr="00AB7D1E">
        <w:rPr>
          <w:b/>
          <w:bCs/>
          <w:i/>
          <w:iCs/>
          <w:lang w:val="en-US"/>
        </w:rPr>
        <w:t xml:space="preserve">environmental impact assessment </w:t>
      </w:r>
      <w:r w:rsidR="004338DF" w:rsidRPr="00AB7D1E">
        <w:rPr>
          <w:b/>
          <w:bCs/>
          <w:i/>
          <w:iCs/>
          <w:lang w:val="en-US"/>
        </w:rPr>
        <w:t>does</w:t>
      </w:r>
      <w:r w:rsidR="00110CB9">
        <w:rPr>
          <w:b/>
          <w:bCs/>
          <w:i/>
          <w:iCs/>
          <w:lang w:val="en-US"/>
        </w:rPr>
        <w:t xml:space="preserve"> no</w:t>
      </w:r>
      <w:r w:rsidR="004338DF" w:rsidRPr="00AB7D1E">
        <w:rPr>
          <w:b/>
          <w:bCs/>
          <w:i/>
          <w:iCs/>
          <w:lang w:val="en-US"/>
        </w:rPr>
        <w:t>t have to be</w:t>
      </w:r>
      <w:r w:rsidRPr="00AB7D1E">
        <w:rPr>
          <w:b/>
          <w:bCs/>
          <w:i/>
          <w:iCs/>
          <w:lang w:val="en-US"/>
        </w:rPr>
        <w:t xml:space="preserve"> conducted.</w:t>
      </w:r>
    </w:p>
    <w:p w14:paraId="018C4195" w14:textId="3ED49D22" w:rsidR="00E44399" w:rsidRPr="00AB7D1E" w:rsidRDefault="007E32E1" w:rsidP="00ED3F70">
      <w:pPr>
        <w:pStyle w:val="ListParagraph"/>
        <w:ind w:left="0"/>
        <w:rPr>
          <w:lang w:val="en-US"/>
        </w:rPr>
      </w:pPr>
      <w:r w:rsidRPr="00AB7D1E">
        <w:rPr>
          <w:lang w:val="en-US"/>
        </w:rPr>
        <w:t>If sub-project is located in the Natura 2000, a</w:t>
      </w:r>
      <w:r w:rsidR="00E44399" w:rsidRPr="00AB7D1E">
        <w:rPr>
          <w:lang w:val="en-US"/>
        </w:rPr>
        <w:t xml:space="preserve">ccording to the Nature protection act (80/13, 15/18, 14/19, 127/19) </w:t>
      </w:r>
      <w:r w:rsidR="00E44399" w:rsidRPr="00AB7D1E">
        <w:rPr>
          <w:b/>
          <w:bCs/>
          <w:i/>
          <w:iCs/>
          <w:lang w:val="en-US"/>
        </w:rPr>
        <w:t>it is obligatory to submit Request for a preliminary assessment of the acceptability of the project to the ecological network</w:t>
      </w:r>
      <w:r w:rsidR="00E44399" w:rsidRPr="00AB7D1E">
        <w:rPr>
          <w:lang w:val="en-US"/>
        </w:rPr>
        <w:t xml:space="preserve"> to the competent authority (County or City of Zagreb) depending on the location of sub-project. </w:t>
      </w:r>
    </w:p>
    <w:p w14:paraId="7CBCABCB" w14:textId="7307D723" w:rsidR="00E44399" w:rsidRPr="00AB7D1E" w:rsidRDefault="00E44399" w:rsidP="00ED3F70">
      <w:pPr>
        <w:pStyle w:val="ListParagraph"/>
        <w:ind w:left="0"/>
        <w:rPr>
          <w:lang w:val="en-US"/>
        </w:rPr>
      </w:pPr>
      <w:r w:rsidRPr="00AB7D1E">
        <w:rPr>
          <w:lang w:val="en-US"/>
        </w:rPr>
        <w:t xml:space="preserve">In addition, if the sub-project </w:t>
      </w:r>
      <w:proofErr w:type="gramStart"/>
      <w:r w:rsidRPr="00AB7D1E">
        <w:rPr>
          <w:lang w:val="en-US"/>
        </w:rPr>
        <w:t>is located in</w:t>
      </w:r>
      <w:proofErr w:type="gramEnd"/>
      <w:r w:rsidRPr="00AB7D1E">
        <w:rPr>
          <w:lang w:val="en-US"/>
        </w:rPr>
        <w:t xml:space="preserve"> the </w:t>
      </w:r>
      <w:r w:rsidR="007E32E1" w:rsidRPr="00AB7D1E">
        <w:rPr>
          <w:lang w:val="en-US"/>
        </w:rPr>
        <w:t xml:space="preserve">nature </w:t>
      </w:r>
      <w:r w:rsidRPr="00AB7D1E">
        <w:rPr>
          <w:lang w:val="en-US"/>
        </w:rPr>
        <w:t>protected area i</w:t>
      </w:r>
      <w:r w:rsidRPr="00AB7D1E">
        <w:rPr>
          <w:b/>
          <w:bCs/>
          <w:i/>
          <w:iCs/>
          <w:lang w:val="en-US"/>
        </w:rPr>
        <w:t>t is obligatory to obtain permission from competent authority depending on the type of protected area</w:t>
      </w:r>
      <w:r w:rsidRPr="00AB7D1E">
        <w:rPr>
          <w:rStyle w:val="FootnoteReference"/>
          <w:b/>
          <w:bCs/>
          <w:i/>
          <w:iCs/>
          <w:lang w:val="en-US"/>
        </w:rPr>
        <w:footnoteReference w:id="134"/>
      </w:r>
      <w:r w:rsidRPr="00AB7D1E">
        <w:rPr>
          <w:i/>
          <w:iCs/>
          <w:lang w:val="en-US"/>
        </w:rPr>
        <w:t>.</w:t>
      </w:r>
      <w:r w:rsidRPr="00AB7D1E">
        <w:rPr>
          <w:lang w:val="en-US"/>
        </w:rPr>
        <w:t xml:space="preserve"> </w:t>
      </w:r>
    </w:p>
    <w:p w14:paraId="03CEA404" w14:textId="646DA153" w:rsidR="00BE1870" w:rsidRDefault="001E1DEB" w:rsidP="00077EE2">
      <w:pPr>
        <w:rPr>
          <w:b/>
          <w:bCs/>
          <w:lang w:val="en-US"/>
        </w:rPr>
      </w:pPr>
      <w:r w:rsidRPr="00AB7D1E">
        <w:rPr>
          <w:b/>
          <w:bCs/>
          <w:lang w:val="en-US"/>
        </w:rPr>
        <w:t>For minor repairs of the laboratories</w:t>
      </w:r>
      <w:r w:rsidR="00FC7979" w:rsidRPr="00AB7D1E">
        <w:rPr>
          <w:b/>
          <w:bCs/>
          <w:lang w:val="en-US"/>
        </w:rPr>
        <w:t>,</w:t>
      </w:r>
      <w:r w:rsidRPr="00AB7D1E">
        <w:rPr>
          <w:b/>
          <w:bCs/>
          <w:lang w:val="en-US"/>
        </w:rPr>
        <w:t xml:space="preserve"> application of this instrument </w:t>
      </w:r>
      <w:r w:rsidR="00077EE2" w:rsidRPr="00AB7D1E">
        <w:rPr>
          <w:b/>
          <w:bCs/>
          <w:lang w:val="en-US"/>
        </w:rPr>
        <w:t>may</w:t>
      </w:r>
      <w:r w:rsidRPr="00AB7D1E">
        <w:rPr>
          <w:b/>
          <w:bCs/>
          <w:lang w:val="en-US"/>
        </w:rPr>
        <w:t xml:space="preserve"> not </w:t>
      </w:r>
      <w:r w:rsidR="00077EE2" w:rsidRPr="00AB7D1E">
        <w:rPr>
          <w:b/>
          <w:bCs/>
          <w:lang w:val="en-US"/>
        </w:rPr>
        <w:t xml:space="preserve">be </w:t>
      </w:r>
      <w:r w:rsidRPr="00AB7D1E">
        <w:rPr>
          <w:b/>
          <w:bCs/>
          <w:lang w:val="en-US"/>
        </w:rPr>
        <w:t>necessary</w:t>
      </w:r>
      <w:r w:rsidR="00077EE2" w:rsidRPr="00AB7D1E">
        <w:rPr>
          <w:b/>
          <w:bCs/>
          <w:lang w:val="en-US"/>
        </w:rPr>
        <w:t xml:space="preserve"> but after the consultation with competent authority.</w:t>
      </w:r>
      <w:r w:rsidR="00077EE2" w:rsidRPr="00AB7D1E">
        <w:rPr>
          <w:rStyle w:val="FootnoteReference"/>
          <w:b/>
          <w:bCs/>
          <w:lang w:val="en-US"/>
        </w:rPr>
        <w:footnoteReference w:id="135"/>
      </w:r>
    </w:p>
    <w:p w14:paraId="5CD2E64F" w14:textId="77777777" w:rsidR="00BE1870" w:rsidRDefault="00BE1870">
      <w:pPr>
        <w:suppressAutoHyphens w:val="0"/>
        <w:spacing w:before="0" w:after="160" w:line="256" w:lineRule="auto"/>
        <w:jc w:val="left"/>
        <w:rPr>
          <w:b/>
          <w:bCs/>
          <w:lang w:val="en-US"/>
        </w:rPr>
      </w:pPr>
      <w:r>
        <w:rPr>
          <w:b/>
          <w:bCs/>
          <w:lang w:val="en-US"/>
        </w:rPr>
        <w:br w:type="page"/>
      </w:r>
    </w:p>
    <w:p w14:paraId="0379D338" w14:textId="1DEBAC6A" w:rsidR="00E41F9D" w:rsidRPr="00AB7D1E" w:rsidRDefault="00DF3EF7" w:rsidP="007D1E1B">
      <w:pPr>
        <w:pStyle w:val="Style1"/>
      </w:pPr>
      <w:bookmarkStart w:id="182" w:name="_Ref48064061"/>
      <w:bookmarkStart w:id="183" w:name="_Toc56952718"/>
      <w:r w:rsidRPr="00AB7D1E">
        <w:lastRenderedPageBreak/>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18</w:t>
      </w:r>
      <w:r w:rsidR="00DF4A34" w:rsidRPr="00AB7D1E">
        <w:fldChar w:fldCharType="end"/>
      </w:r>
      <w:bookmarkEnd w:id="182"/>
      <w:r w:rsidRPr="00AB7D1E">
        <w:t xml:space="preserve">. </w:t>
      </w:r>
      <w:r w:rsidR="007F63A1" w:rsidRPr="00AB7D1E">
        <w:t>National due diligence documents and decisions by Project activities</w:t>
      </w:r>
      <w:bookmarkEnd w:id="183"/>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507"/>
        <w:gridCol w:w="1448"/>
        <w:gridCol w:w="1373"/>
        <w:gridCol w:w="1384"/>
        <w:gridCol w:w="2412"/>
      </w:tblGrid>
      <w:tr w:rsidR="00E74DB3" w:rsidRPr="00AB7D1E" w14:paraId="5CDC43A1" w14:textId="4FD475C3" w:rsidTr="001E1DEB">
        <w:trPr>
          <w:tblHeader/>
        </w:trPr>
        <w:tc>
          <w:tcPr>
            <w:tcW w:w="449" w:type="pct"/>
            <w:shd w:val="clear" w:color="auto" w:fill="CEDBE6" w:themeFill="background2"/>
            <w:vAlign w:val="center"/>
          </w:tcPr>
          <w:p w14:paraId="765D5367" w14:textId="77777777"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Activiti No.</w:t>
            </w:r>
          </w:p>
        </w:tc>
        <w:tc>
          <w:tcPr>
            <w:tcW w:w="844" w:type="pct"/>
            <w:shd w:val="clear" w:color="auto" w:fill="CEDBE6" w:themeFill="background2"/>
            <w:vAlign w:val="center"/>
          </w:tcPr>
          <w:p w14:paraId="75559E69" w14:textId="77777777"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Subcomponent</w:t>
            </w:r>
          </w:p>
        </w:tc>
        <w:tc>
          <w:tcPr>
            <w:tcW w:w="811" w:type="pct"/>
            <w:shd w:val="clear" w:color="auto" w:fill="CEDBE6" w:themeFill="background2"/>
            <w:vAlign w:val="center"/>
          </w:tcPr>
          <w:p w14:paraId="70AB160E" w14:textId="77777777"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Type of activity</w:t>
            </w:r>
          </w:p>
        </w:tc>
        <w:tc>
          <w:tcPr>
            <w:tcW w:w="769" w:type="pct"/>
            <w:shd w:val="clear" w:color="auto" w:fill="CEDBE6" w:themeFill="background2"/>
            <w:vAlign w:val="center"/>
          </w:tcPr>
          <w:p w14:paraId="6E7A1749" w14:textId="77777777"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 xml:space="preserve">Description </w:t>
            </w:r>
          </w:p>
        </w:tc>
        <w:tc>
          <w:tcPr>
            <w:tcW w:w="775" w:type="pct"/>
            <w:shd w:val="clear" w:color="auto" w:fill="CEDBE6" w:themeFill="background2"/>
            <w:vAlign w:val="center"/>
          </w:tcPr>
          <w:p w14:paraId="5CD41A81" w14:textId="47C7315D"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Screening/EIA (Yes/No)</w:t>
            </w:r>
          </w:p>
        </w:tc>
        <w:tc>
          <w:tcPr>
            <w:tcW w:w="1351" w:type="pct"/>
            <w:shd w:val="clear" w:color="auto" w:fill="CEDBE6" w:themeFill="background2"/>
            <w:vAlign w:val="center"/>
          </w:tcPr>
          <w:p w14:paraId="24B6A7B0" w14:textId="5F253886" w:rsidR="00DB6393" w:rsidRPr="00AB7D1E" w:rsidRDefault="00DB6393" w:rsidP="00491E5E">
            <w:pPr>
              <w:spacing w:before="0" w:after="0" w:line="240" w:lineRule="auto"/>
              <w:jc w:val="center"/>
              <w:rPr>
                <w:b/>
                <w:bCs/>
                <w:sz w:val="20"/>
                <w:szCs w:val="20"/>
                <w:lang w:val="en-US"/>
              </w:rPr>
            </w:pPr>
            <w:r w:rsidRPr="00AB7D1E">
              <w:rPr>
                <w:b/>
                <w:bCs/>
                <w:sz w:val="20"/>
                <w:szCs w:val="20"/>
                <w:lang w:val="en-US"/>
              </w:rPr>
              <w:t>Procedure according to the Nature protection act</w:t>
            </w:r>
          </w:p>
        </w:tc>
      </w:tr>
      <w:tr w:rsidR="00BE1025" w:rsidRPr="00AB7D1E" w14:paraId="58FDF4AE" w14:textId="021FB424" w:rsidTr="001E1DEB">
        <w:tc>
          <w:tcPr>
            <w:tcW w:w="449" w:type="pct"/>
            <w:vAlign w:val="center"/>
          </w:tcPr>
          <w:p w14:paraId="47E5596D" w14:textId="77777777" w:rsidR="00BE1025" w:rsidRPr="00AB7D1E" w:rsidRDefault="00BE1025" w:rsidP="00BE1025">
            <w:pPr>
              <w:spacing w:before="0" w:after="0" w:line="240" w:lineRule="auto"/>
              <w:jc w:val="center"/>
              <w:rPr>
                <w:sz w:val="20"/>
                <w:szCs w:val="20"/>
                <w:lang w:val="en-US"/>
              </w:rPr>
            </w:pPr>
            <w:r w:rsidRPr="00AB7D1E">
              <w:rPr>
                <w:sz w:val="20"/>
                <w:szCs w:val="20"/>
                <w:lang w:val="en-US"/>
              </w:rPr>
              <w:t>2</w:t>
            </w:r>
          </w:p>
        </w:tc>
        <w:tc>
          <w:tcPr>
            <w:tcW w:w="844" w:type="pct"/>
            <w:vAlign w:val="center"/>
          </w:tcPr>
          <w:p w14:paraId="44A4973E" w14:textId="744733A2" w:rsidR="00BE1025" w:rsidRPr="00AB7D1E" w:rsidRDefault="00BE1025" w:rsidP="00BE1025">
            <w:pPr>
              <w:spacing w:before="0" w:after="0" w:line="240" w:lineRule="auto"/>
              <w:rPr>
                <w:sz w:val="20"/>
                <w:szCs w:val="20"/>
                <w:lang w:val="en-US"/>
              </w:rPr>
            </w:pPr>
            <w:r w:rsidRPr="00AB7D1E">
              <w:rPr>
                <w:sz w:val="20"/>
                <w:szCs w:val="20"/>
                <w:lang w:val="en-US"/>
              </w:rPr>
              <w:t xml:space="preserve">Subcomponent </w:t>
            </w:r>
            <w:r w:rsidR="001E1DEB" w:rsidRPr="00AB7D1E">
              <w:rPr>
                <w:sz w:val="20"/>
                <w:szCs w:val="20"/>
                <w:lang w:val="en-US"/>
              </w:rPr>
              <w:t>2.1.</w:t>
            </w:r>
          </w:p>
        </w:tc>
        <w:tc>
          <w:tcPr>
            <w:tcW w:w="811" w:type="pct"/>
            <w:vAlign w:val="center"/>
          </w:tcPr>
          <w:p w14:paraId="794B0DE5" w14:textId="6FBD6366" w:rsidR="00BE1025" w:rsidRPr="00AB7D1E" w:rsidRDefault="00FC7979" w:rsidP="00BE1025">
            <w:pPr>
              <w:spacing w:before="0" w:after="0" w:line="240" w:lineRule="auto"/>
              <w:rPr>
                <w:bCs/>
                <w:sz w:val="20"/>
                <w:szCs w:val="20"/>
                <w:lang w:val="en-US"/>
              </w:rPr>
            </w:pPr>
            <w:r w:rsidRPr="00AB7D1E">
              <w:rPr>
                <w:bCs/>
                <w:sz w:val="20"/>
                <w:szCs w:val="20"/>
                <w:lang w:val="en-US"/>
              </w:rPr>
              <w:t>Repair / r</w:t>
            </w:r>
            <w:r w:rsidR="00BE1025" w:rsidRPr="00AB7D1E">
              <w:rPr>
                <w:bCs/>
                <w:sz w:val="20"/>
                <w:szCs w:val="20"/>
                <w:lang w:val="en-US"/>
              </w:rPr>
              <w:t>ehabilitation</w:t>
            </w:r>
          </w:p>
        </w:tc>
        <w:tc>
          <w:tcPr>
            <w:tcW w:w="769" w:type="pct"/>
            <w:vAlign w:val="center"/>
          </w:tcPr>
          <w:p w14:paraId="4F610B5E" w14:textId="02627AB2" w:rsidR="00BE1025" w:rsidRPr="00AB7D1E" w:rsidRDefault="00FC7979" w:rsidP="00BE1025">
            <w:pPr>
              <w:spacing w:before="0" w:after="0" w:line="240" w:lineRule="auto"/>
              <w:rPr>
                <w:sz w:val="20"/>
                <w:szCs w:val="20"/>
                <w:lang w:val="en-US"/>
              </w:rPr>
            </w:pPr>
            <w:r w:rsidRPr="00AB7D1E">
              <w:rPr>
                <w:bCs/>
                <w:sz w:val="20"/>
                <w:szCs w:val="20"/>
                <w:lang w:val="en-US"/>
              </w:rPr>
              <w:t>Repair / rehabilitation</w:t>
            </w:r>
            <w:r w:rsidR="001E1DEB" w:rsidRPr="00AB7D1E">
              <w:rPr>
                <w:bCs/>
                <w:sz w:val="20"/>
                <w:szCs w:val="20"/>
                <w:lang w:val="en-US"/>
              </w:rPr>
              <w:t xml:space="preserve"> of public health laboratories</w:t>
            </w:r>
          </w:p>
        </w:tc>
        <w:tc>
          <w:tcPr>
            <w:tcW w:w="775" w:type="pct"/>
            <w:vAlign w:val="center"/>
          </w:tcPr>
          <w:p w14:paraId="2082BB23" w14:textId="5FE0C3B9" w:rsidR="00BE1025" w:rsidRPr="00AB7D1E" w:rsidRDefault="00BE1025" w:rsidP="00BE1025">
            <w:pPr>
              <w:spacing w:before="0" w:after="0" w:line="240" w:lineRule="auto"/>
              <w:rPr>
                <w:b/>
                <w:sz w:val="20"/>
                <w:szCs w:val="20"/>
                <w:lang w:val="en-US"/>
              </w:rPr>
            </w:pPr>
            <w:r w:rsidRPr="00AB7D1E">
              <w:rPr>
                <w:b/>
                <w:sz w:val="20"/>
                <w:szCs w:val="20"/>
                <w:lang w:val="en-US"/>
              </w:rPr>
              <w:t>No</w:t>
            </w:r>
          </w:p>
        </w:tc>
        <w:tc>
          <w:tcPr>
            <w:tcW w:w="1351" w:type="pct"/>
          </w:tcPr>
          <w:p w14:paraId="28C50B42" w14:textId="2299F2E0" w:rsidR="007E32E1" w:rsidRPr="00EA3B87" w:rsidRDefault="007E32E1" w:rsidP="007E32E1">
            <w:pPr>
              <w:spacing w:before="0" w:after="0" w:line="240" w:lineRule="auto"/>
              <w:jc w:val="left"/>
              <w:rPr>
                <w:bCs/>
                <w:sz w:val="20"/>
                <w:szCs w:val="20"/>
                <w:lang w:val="en-US"/>
              </w:rPr>
            </w:pPr>
            <w:r w:rsidRPr="00EA3B87">
              <w:rPr>
                <w:bCs/>
                <w:sz w:val="20"/>
                <w:szCs w:val="20"/>
                <w:lang w:val="en-US"/>
              </w:rPr>
              <w:t xml:space="preserve">If a sub-project </w:t>
            </w:r>
            <w:proofErr w:type="gramStart"/>
            <w:r w:rsidRPr="00EA3B87">
              <w:rPr>
                <w:bCs/>
                <w:sz w:val="20"/>
                <w:szCs w:val="20"/>
                <w:lang w:val="en-US"/>
              </w:rPr>
              <w:t>is located in</w:t>
            </w:r>
            <w:proofErr w:type="gramEnd"/>
            <w:r w:rsidRPr="00EA3B87">
              <w:rPr>
                <w:bCs/>
                <w:sz w:val="20"/>
                <w:szCs w:val="20"/>
                <w:lang w:val="en-US"/>
              </w:rPr>
              <w:t xml:space="preserve"> NATURA 2000 area or nature protected area:</w:t>
            </w:r>
          </w:p>
          <w:p w14:paraId="070737FF" w14:textId="77777777" w:rsidR="008E6F33" w:rsidRPr="00EA3B87" w:rsidRDefault="008E6F33" w:rsidP="007E32E1">
            <w:pPr>
              <w:spacing w:before="0" w:after="0" w:line="240" w:lineRule="auto"/>
              <w:jc w:val="left"/>
              <w:rPr>
                <w:bCs/>
                <w:sz w:val="20"/>
                <w:szCs w:val="20"/>
                <w:lang w:val="en-US"/>
              </w:rPr>
            </w:pPr>
          </w:p>
          <w:p w14:paraId="0D139360" w14:textId="3AFBE317" w:rsidR="00BE1025" w:rsidRPr="00EA3B87" w:rsidRDefault="008E6F33" w:rsidP="00BE60A0">
            <w:pPr>
              <w:pStyle w:val="ListParagraph"/>
              <w:numPr>
                <w:ilvl w:val="0"/>
                <w:numId w:val="14"/>
              </w:numPr>
              <w:spacing w:before="0" w:after="0" w:line="240" w:lineRule="auto"/>
              <w:ind w:left="385"/>
              <w:jc w:val="left"/>
              <w:rPr>
                <w:bCs/>
                <w:sz w:val="20"/>
                <w:szCs w:val="20"/>
                <w:lang w:val="en-US"/>
              </w:rPr>
            </w:pPr>
            <w:r w:rsidRPr="00EA3B87">
              <w:rPr>
                <w:sz w:val="20"/>
                <w:szCs w:val="20"/>
                <w:lang w:val="en-US"/>
              </w:rPr>
              <w:t>Request for a preliminary assessment of the acceptability of the project to the ecological network</w:t>
            </w:r>
          </w:p>
          <w:p w14:paraId="6C43BEB2" w14:textId="77777777" w:rsidR="008E6F33" w:rsidRPr="00EA3B87" w:rsidRDefault="008E6F33" w:rsidP="008E6F33">
            <w:pPr>
              <w:pStyle w:val="ListParagraph"/>
              <w:spacing w:before="0" w:after="0" w:line="240" w:lineRule="auto"/>
              <w:ind w:left="385"/>
              <w:jc w:val="left"/>
              <w:rPr>
                <w:bCs/>
                <w:sz w:val="20"/>
                <w:szCs w:val="20"/>
                <w:lang w:val="en-US"/>
              </w:rPr>
            </w:pPr>
          </w:p>
          <w:p w14:paraId="4F984755" w14:textId="77777777" w:rsidR="00625BA4" w:rsidRPr="00EA3B87" w:rsidRDefault="008E6F33" w:rsidP="00BE60A0">
            <w:pPr>
              <w:pStyle w:val="ListParagraph"/>
              <w:numPr>
                <w:ilvl w:val="0"/>
                <w:numId w:val="14"/>
              </w:numPr>
              <w:spacing w:before="0" w:after="0" w:line="240" w:lineRule="auto"/>
              <w:ind w:left="385"/>
              <w:jc w:val="left"/>
              <w:rPr>
                <w:bCs/>
                <w:sz w:val="20"/>
                <w:szCs w:val="20"/>
                <w:lang w:val="en-US"/>
              </w:rPr>
            </w:pPr>
            <w:r w:rsidRPr="00EA3B87">
              <w:rPr>
                <w:sz w:val="20"/>
                <w:szCs w:val="20"/>
                <w:lang w:val="en-US"/>
              </w:rPr>
              <w:t xml:space="preserve">Permission regarding interventions in the nature protected </w:t>
            </w:r>
            <w:proofErr w:type="gramStart"/>
            <w:r w:rsidRPr="00EA3B87">
              <w:rPr>
                <w:sz w:val="20"/>
                <w:szCs w:val="20"/>
                <w:lang w:val="en-US"/>
              </w:rPr>
              <w:t xml:space="preserve">areas </w:t>
            </w:r>
            <w:r w:rsidR="009C4B1E" w:rsidRPr="00EA3B87">
              <w:rPr>
                <w:sz w:val="20"/>
                <w:szCs w:val="20"/>
                <w:lang w:val="en-US"/>
              </w:rPr>
              <w:t xml:space="preserve"> (</w:t>
            </w:r>
            <w:proofErr w:type="gramEnd"/>
            <w:r w:rsidR="009C4B1E" w:rsidRPr="00EA3B87">
              <w:rPr>
                <w:sz w:val="20"/>
                <w:szCs w:val="20"/>
                <w:lang w:val="en-US"/>
              </w:rPr>
              <w:t>f</w:t>
            </w:r>
            <w:r w:rsidRPr="00EA3B87">
              <w:rPr>
                <w:sz w:val="20"/>
                <w:szCs w:val="20"/>
                <w:lang w:val="en-US"/>
              </w:rPr>
              <w:t xml:space="preserve">or interventions and research in the area of strict reserve, national park, special reserve and nature park permission is issued by </w:t>
            </w:r>
            <w:proofErr w:type="spellStart"/>
            <w:r w:rsidRPr="00EA3B87">
              <w:rPr>
                <w:sz w:val="20"/>
                <w:szCs w:val="20"/>
                <w:lang w:val="en-US"/>
              </w:rPr>
              <w:t>MoESD</w:t>
            </w:r>
            <w:proofErr w:type="spellEnd"/>
            <w:r w:rsidRPr="00EA3B87">
              <w:rPr>
                <w:sz w:val="20"/>
                <w:szCs w:val="20"/>
                <w:lang w:val="en-US"/>
              </w:rPr>
              <w:t>. For interventions and research in the area of natural monuments, regional parks, significant landscapes, forest parks and monuments of park architecture permission is issued by administrative body, counties and City of Zagreb</w:t>
            </w:r>
            <w:r w:rsidR="009C4B1E" w:rsidRPr="00EA3B87">
              <w:rPr>
                <w:sz w:val="20"/>
                <w:szCs w:val="20"/>
                <w:lang w:val="en-US"/>
              </w:rPr>
              <w:t>).</w:t>
            </w:r>
          </w:p>
          <w:p w14:paraId="154E8147" w14:textId="065BF334" w:rsidR="009C4B1E" w:rsidRPr="00EA3B87" w:rsidRDefault="009C4B1E" w:rsidP="009C4B1E">
            <w:pPr>
              <w:pStyle w:val="ListParagraph"/>
              <w:ind w:left="34"/>
              <w:rPr>
                <w:bCs/>
                <w:sz w:val="20"/>
                <w:szCs w:val="20"/>
                <w:lang w:val="en-US"/>
              </w:rPr>
            </w:pPr>
            <w:r w:rsidRPr="00EA3B87">
              <w:rPr>
                <w:bCs/>
                <w:i/>
                <w:iCs/>
                <w:sz w:val="20"/>
                <w:szCs w:val="20"/>
                <w:lang w:val="en-US"/>
              </w:rPr>
              <w:t>For minor repairs of the laboratories, application of this instrument may not be necessary but after the consultation with competent authority.</w:t>
            </w:r>
          </w:p>
        </w:tc>
      </w:tr>
    </w:tbl>
    <w:p w14:paraId="6F52188A" w14:textId="77777777" w:rsidR="00D26743" w:rsidRPr="00EA3B87" w:rsidRDefault="00D26743" w:rsidP="00BE1870">
      <w:pPr>
        <w:spacing w:line="21" w:lineRule="atLeast"/>
        <w:rPr>
          <w:rFonts w:ascii="Calibri" w:hAnsi="Calibri" w:cs="Calibri"/>
          <w:shd w:val="clear" w:color="auto" w:fill="FFFFFF"/>
          <w:lang w:val="en-GB"/>
        </w:rPr>
      </w:pPr>
      <w:bookmarkStart w:id="184" w:name="_Hlk51707090"/>
      <w:r w:rsidRPr="00EA3B87">
        <w:rPr>
          <w:rFonts w:ascii="Calibri" w:hAnsi="Calibri" w:cs="Calibri"/>
          <w:shd w:val="clear" w:color="auto" w:fill="FFFFFF"/>
          <w:lang w:val="en-GB"/>
        </w:rPr>
        <w:t xml:space="preserve">Due to declaring a natural disaster in the area of City of Zagreb, </w:t>
      </w:r>
      <w:proofErr w:type="spellStart"/>
      <w:r w:rsidRPr="00EA3B87">
        <w:rPr>
          <w:rFonts w:ascii="Calibri" w:hAnsi="Calibri" w:cs="Calibri"/>
          <w:shd w:val="clear" w:color="auto" w:fill="FFFFFF"/>
          <w:lang w:val="en-GB"/>
        </w:rPr>
        <w:t>Krapina-zagorje</w:t>
      </w:r>
      <w:proofErr w:type="spellEnd"/>
      <w:r w:rsidRPr="00EA3B87">
        <w:rPr>
          <w:rFonts w:ascii="Calibri" w:hAnsi="Calibri" w:cs="Calibri"/>
          <w:shd w:val="clear" w:color="auto" w:fill="FFFFFF"/>
          <w:lang w:val="en-GB"/>
        </w:rPr>
        <w:t xml:space="preserve"> County and Zagreb County, caused by an earthquake, according Articles 129 and 130 of the Construction Act, exception regarding building permitting process applies for construction works on earthquake damaged buildings. Accordingly, the earthquake damaged building can be returned to its original condition without obtaining a building permit.</w:t>
      </w:r>
    </w:p>
    <w:p w14:paraId="5F9EF6D9" w14:textId="2A6B726E" w:rsidR="00D26743" w:rsidRPr="00EA3B87" w:rsidRDefault="00D26743"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t xml:space="preserve">Civil works under the Subcomponent 2.1 </w:t>
      </w:r>
      <w:r w:rsidR="00CD5B3B" w:rsidRPr="00EA3B87">
        <w:rPr>
          <w:rFonts w:ascii="Calibri" w:hAnsi="Calibri" w:cs="Calibri"/>
          <w:shd w:val="clear" w:color="auto" w:fill="FFFFFF"/>
          <w:lang w:val="en-GB"/>
        </w:rPr>
        <w:t xml:space="preserve">for earthquake damaged buildings </w:t>
      </w:r>
      <w:r w:rsidRPr="00EA3B87">
        <w:rPr>
          <w:rFonts w:ascii="Calibri" w:hAnsi="Calibri" w:cs="Calibri"/>
          <w:shd w:val="clear" w:color="auto" w:fill="FFFFFF"/>
          <w:lang w:val="en-GB"/>
        </w:rPr>
        <w:t xml:space="preserve">(activities of repair and rehabilitation of public health laboratories) must be performed according to Act on Reconstruction of Earthquake Damaged Buildings in the City of Zagreb, </w:t>
      </w:r>
      <w:proofErr w:type="spellStart"/>
      <w:r w:rsidRPr="00EA3B87">
        <w:rPr>
          <w:rFonts w:ascii="Calibri" w:hAnsi="Calibri" w:cs="Calibri"/>
          <w:shd w:val="clear" w:color="auto" w:fill="FFFFFF"/>
          <w:lang w:val="en-GB"/>
        </w:rPr>
        <w:t>Krapina-Zagorje</w:t>
      </w:r>
      <w:proofErr w:type="spellEnd"/>
      <w:r w:rsidRPr="00EA3B87">
        <w:rPr>
          <w:rFonts w:ascii="Calibri" w:hAnsi="Calibri" w:cs="Calibri"/>
          <w:shd w:val="clear" w:color="auto" w:fill="FFFFFF"/>
          <w:lang w:val="en-GB"/>
        </w:rPr>
        <w:t xml:space="preserve"> County and Zagreb County (OG 102/20), respecting all legislation to which the Act refers.</w:t>
      </w:r>
    </w:p>
    <w:p w14:paraId="7070DADD" w14:textId="77777777" w:rsidR="00D26743" w:rsidRPr="00EA3B87" w:rsidRDefault="00D26743"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lastRenderedPageBreak/>
        <w:t>Necessary administrative procedure and required technical documentation will depend on the type of civil works - levels of reconstruction of earthquake damaged building in relation to mechanical resistance and stability.</w:t>
      </w:r>
    </w:p>
    <w:p w14:paraId="12D05DF0" w14:textId="77777777" w:rsidR="00D26743" w:rsidRPr="00EA3B87" w:rsidRDefault="00D26743" w:rsidP="00BE1870">
      <w:pPr>
        <w:suppressAutoHyphens w:val="0"/>
        <w:autoSpaceDN/>
        <w:spacing w:line="21" w:lineRule="atLeast"/>
        <w:textAlignment w:val="auto"/>
        <w:rPr>
          <w:rFonts w:ascii="Calibri" w:hAnsi="Calibri"/>
          <w:lang w:val="en-GB"/>
        </w:rPr>
      </w:pPr>
      <w:r w:rsidRPr="00EA3B87">
        <w:rPr>
          <w:rFonts w:ascii="Calibri" w:hAnsi="Calibri"/>
          <w:lang w:val="en-GB"/>
        </w:rPr>
        <w:t>Damaged buildings must be renovated based on project of reconstruction of the building construction</w:t>
      </w:r>
      <w:r w:rsidRPr="00EA3B87">
        <w:rPr>
          <w:rFonts w:ascii="Calibri" w:hAnsi="Calibri"/>
          <w:vertAlign w:val="superscript"/>
          <w:lang w:val="en-GB"/>
        </w:rPr>
        <w:footnoteReference w:id="136"/>
      </w:r>
      <w:r w:rsidRPr="00EA3B87">
        <w:rPr>
          <w:rFonts w:ascii="Calibri" w:hAnsi="Calibri"/>
          <w:lang w:val="en-GB"/>
        </w:rPr>
        <w:t xml:space="preserve"> and project of the complete reconstruction of the building. While preparing these projects the provisions of existing construction regulations governing the issue of meeting the basic requirements for construction in the main project must apply. In the case that building is an individually protected cultural heritage or located in the historic urban ensemble of the City of Zagreb, projects must be prepared in accordance with special conditions determined by the competent body (in accordance with the regulations governing the protection of cultural heritage).</w:t>
      </w:r>
    </w:p>
    <w:p w14:paraId="3140FEB8" w14:textId="70BF049C" w:rsidR="00D26743" w:rsidRPr="00EA3B87" w:rsidRDefault="00080364"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t xml:space="preserve">Declaring natural disaster and adoption of special Act regulating renovation of earthquake damaged area does not suspend application of environmental protection and </w:t>
      </w:r>
      <w:r w:rsidR="00590415" w:rsidRPr="00EA3B87">
        <w:rPr>
          <w:rFonts w:ascii="Calibri" w:hAnsi="Calibri" w:cs="Calibri"/>
          <w:shd w:val="clear" w:color="auto" w:fill="FFFFFF"/>
          <w:lang w:val="en-GB"/>
        </w:rPr>
        <w:t xml:space="preserve">OHS legislation. Furthermore, elements of Construction Act regulating environmental and social protection </w:t>
      </w:r>
      <w:proofErr w:type="gramStart"/>
      <w:r w:rsidR="00590415" w:rsidRPr="00EA3B87">
        <w:rPr>
          <w:rFonts w:ascii="Calibri" w:hAnsi="Calibri" w:cs="Calibri"/>
          <w:shd w:val="clear" w:color="auto" w:fill="FFFFFF"/>
          <w:lang w:val="en-GB"/>
        </w:rPr>
        <w:t>have to</w:t>
      </w:r>
      <w:proofErr w:type="gramEnd"/>
      <w:r w:rsidR="00590415" w:rsidRPr="00EA3B87">
        <w:rPr>
          <w:rFonts w:ascii="Calibri" w:hAnsi="Calibri" w:cs="Calibri"/>
          <w:shd w:val="clear" w:color="auto" w:fill="FFFFFF"/>
          <w:lang w:val="en-GB"/>
        </w:rPr>
        <w:t xml:space="preserve"> be respected during renovation process.</w:t>
      </w:r>
    </w:p>
    <w:p w14:paraId="30229151" w14:textId="44B15572" w:rsidR="00D26743" w:rsidRPr="00EA3B87" w:rsidRDefault="00D26743"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t xml:space="preserve">Detail regarding necessary technical documentation in relation of type of civil works - levels of reconstruction are defined by Technical Regulation for Building Structures (OG 17/17,75/20) and are presented in Chapter </w:t>
      </w:r>
      <w:r w:rsidR="00DF7057" w:rsidRPr="00EA3B87">
        <w:rPr>
          <w:rFonts w:ascii="Calibri" w:hAnsi="Calibri" w:cs="Calibri"/>
          <w:shd w:val="clear" w:color="auto" w:fill="FFFFFF"/>
          <w:lang w:val="en-GB"/>
        </w:rPr>
        <w:fldChar w:fldCharType="begin"/>
      </w:r>
      <w:r w:rsidR="00DF7057" w:rsidRPr="00EA3B87">
        <w:rPr>
          <w:rFonts w:ascii="Calibri" w:hAnsi="Calibri" w:cs="Calibri"/>
          <w:shd w:val="clear" w:color="auto" w:fill="FFFFFF"/>
          <w:lang w:val="en-GB"/>
        </w:rPr>
        <w:instrText xml:space="preserve"> REF _Ref51773615 \r \h </w:instrText>
      </w:r>
      <w:r w:rsidR="00EA3B87">
        <w:rPr>
          <w:rFonts w:ascii="Calibri" w:hAnsi="Calibri" w:cs="Calibri"/>
          <w:shd w:val="clear" w:color="auto" w:fill="FFFFFF"/>
          <w:lang w:val="en-GB"/>
        </w:rPr>
        <w:instrText xml:space="preserve"> \* MERGEFORMAT </w:instrText>
      </w:r>
      <w:r w:rsidR="00DF7057" w:rsidRPr="00EA3B87">
        <w:rPr>
          <w:rFonts w:ascii="Calibri" w:hAnsi="Calibri" w:cs="Calibri"/>
          <w:shd w:val="clear" w:color="auto" w:fill="FFFFFF"/>
          <w:lang w:val="en-GB"/>
        </w:rPr>
      </w:r>
      <w:r w:rsidR="00DF7057" w:rsidRPr="00EA3B87">
        <w:rPr>
          <w:rFonts w:ascii="Calibri" w:hAnsi="Calibri" w:cs="Calibri"/>
          <w:shd w:val="clear" w:color="auto" w:fill="FFFFFF"/>
          <w:lang w:val="en-GB"/>
        </w:rPr>
        <w:fldChar w:fldCharType="separate"/>
      </w:r>
      <w:r w:rsidR="007D1E1B">
        <w:rPr>
          <w:rFonts w:ascii="Calibri" w:hAnsi="Calibri" w:cs="Calibri"/>
          <w:shd w:val="clear" w:color="auto" w:fill="FFFFFF"/>
          <w:lang w:val="en-GB"/>
        </w:rPr>
        <w:t>4.1.5.2</w:t>
      </w:r>
      <w:r w:rsidR="00DF7057" w:rsidRPr="00EA3B87">
        <w:rPr>
          <w:rFonts w:ascii="Calibri" w:hAnsi="Calibri" w:cs="Calibri"/>
          <w:shd w:val="clear" w:color="auto" w:fill="FFFFFF"/>
          <w:lang w:val="en-GB"/>
        </w:rPr>
        <w:fldChar w:fldCharType="end"/>
      </w:r>
      <w:r w:rsidRPr="00EA3B87">
        <w:rPr>
          <w:rFonts w:ascii="Calibri" w:hAnsi="Calibri" w:cs="Calibri"/>
          <w:shd w:val="clear" w:color="auto" w:fill="FFFFFF"/>
          <w:lang w:val="en-GB"/>
        </w:rPr>
        <w:t xml:space="preserve"> and </w:t>
      </w:r>
      <w:r w:rsidR="006C7F86">
        <w:rPr>
          <w:lang w:val="en-US"/>
        </w:rPr>
        <w:fldChar w:fldCharType="begin"/>
      </w:r>
      <w:r w:rsidR="006C7F86">
        <w:rPr>
          <w:rFonts w:ascii="Calibri" w:hAnsi="Calibri" w:cs="Calibri"/>
          <w:shd w:val="clear" w:color="auto" w:fill="FFFFFF"/>
          <w:lang w:val="en-GB"/>
        </w:rPr>
        <w:instrText xml:space="preserve"> REF _Ref56950030 \h </w:instrText>
      </w:r>
      <w:r w:rsidR="006C7F86">
        <w:rPr>
          <w:lang w:val="en-US"/>
        </w:rPr>
      </w:r>
      <w:r w:rsidR="006C7F86">
        <w:rPr>
          <w:lang w:val="en-US"/>
        </w:rPr>
        <w:fldChar w:fldCharType="separate"/>
      </w:r>
      <w:r w:rsidR="007D1E1B">
        <w:t xml:space="preserve">ANNEX </w:t>
      </w:r>
      <w:r w:rsidR="007D1E1B">
        <w:rPr>
          <w:noProof/>
        </w:rPr>
        <w:t>VI</w:t>
      </w:r>
      <w:r w:rsidR="006C7F86">
        <w:rPr>
          <w:lang w:val="en-US"/>
        </w:rPr>
        <w:fldChar w:fldCharType="end"/>
      </w:r>
      <w:r w:rsidR="006C7F86">
        <w:rPr>
          <w:lang w:val="en-US"/>
        </w:rPr>
        <w:t xml:space="preserve"> </w:t>
      </w:r>
      <w:r w:rsidRPr="00EA3B87">
        <w:rPr>
          <w:rFonts w:ascii="Calibri" w:hAnsi="Calibri" w:cs="Calibri"/>
          <w:shd w:val="clear" w:color="auto" w:fill="FFFFFF"/>
          <w:lang w:val="en-GB"/>
        </w:rPr>
        <w:t>of this ESMF.</w:t>
      </w:r>
    </w:p>
    <w:p w14:paraId="69B77686" w14:textId="7FFCF439" w:rsidR="00CD5B3B" w:rsidRPr="00D26743" w:rsidRDefault="00CD5B3B" w:rsidP="00BE1870">
      <w:pPr>
        <w:spacing w:line="21" w:lineRule="atLeast"/>
        <w:rPr>
          <w:rFonts w:ascii="Calibri" w:hAnsi="Calibri" w:cs="Calibri"/>
          <w:shd w:val="clear" w:color="auto" w:fill="FFFFFF"/>
          <w:lang w:val="en-GB"/>
        </w:rPr>
      </w:pPr>
      <w:r w:rsidRPr="00EA3B87">
        <w:rPr>
          <w:rFonts w:ascii="Calibri" w:hAnsi="Calibri" w:cs="Calibri"/>
          <w:shd w:val="clear" w:color="auto" w:fill="FFFFFF"/>
          <w:lang w:val="en-GB"/>
        </w:rPr>
        <w:t xml:space="preserve">In a case that civil works are conducted on building that was not earthquake damaged regular building permitting procedure must be followed (see </w:t>
      </w:r>
      <w:r w:rsidR="00F63FB8">
        <w:rPr>
          <w:rFonts w:ascii="Calibri" w:hAnsi="Calibri" w:cs="Calibri"/>
          <w:shd w:val="clear" w:color="auto" w:fill="FFFFFF"/>
          <w:lang w:val="en-GB"/>
        </w:rPr>
        <w:fldChar w:fldCharType="begin"/>
      </w:r>
      <w:r w:rsidR="00F63FB8">
        <w:rPr>
          <w:rFonts w:ascii="Calibri" w:hAnsi="Calibri" w:cs="Calibri"/>
          <w:shd w:val="clear" w:color="auto" w:fill="FFFFFF"/>
          <w:lang w:val="en-GB"/>
        </w:rPr>
        <w:instrText xml:space="preserve"> REF _Ref56949555 \h </w:instrText>
      </w:r>
      <w:r w:rsidR="00F63FB8">
        <w:rPr>
          <w:rFonts w:ascii="Calibri" w:hAnsi="Calibri" w:cs="Calibri"/>
          <w:shd w:val="clear" w:color="auto" w:fill="FFFFFF"/>
          <w:lang w:val="en-GB"/>
        </w:rPr>
      </w:r>
      <w:r w:rsidR="00F63FB8">
        <w:rPr>
          <w:rFonts w:ascii="Calibri" w:hAnsi="Calibri" w:cs="Calibri"/>
          <w:shd w:val="clear" w:color="auto" w:fill="FFFFFF"/>
          <w:lang w:val="en-GB"/>
        </w:rPr>
        <w:fldChar w:fldCharType="separate"/>
      </w:r>
      <w:r w:rsidR="00F63FB8">
        <w:t xml:space="preserve">ANNEX </w:t>
      </w:r>
      <w:r w:rsidR="00F63FB8">
        <w:rPr>
          <w:noProof/>
        </w:rPr>
        <w:t>IV</w:t>
      </w:r>
      <w:r w:rsidR="00F63FB8">
        <w:rPr>
          <w:rFonts w:ascii="Calibri" w:hAnsi="Calibri" w:cs="Calibri"/>
          <w:shd w:val="clear" w:color="auto" w:fill="FFFFFF"/>
          <w:lang w:val="en-GB"/>
        </w:rPr>
        <w:fldChar w:fldCharType="end"/>
      </w:r>
      <w:r w:rsidR="00F63FB8">
        <w:rPr>
          <w:rFonts w:ascii="Calibri" w:hAnsi="Calibri" w:cs="Calibri"/>
          <w:shd w:val="clear" w:color="auto" w:fill="FFFFFF"/>
          <w:lang w:val="en-GB"/>
        </w:rPr>
        <w:t xml:space="preserve"> </w:t>
      </w:r>
      <w:r w:rsidRPr="00EA3B87">
        <w:rPr>
          <w:rFonts w:ascii="Calibri" w:hAnsi="Calibri" w:cs="Calibri"/>
          <w:shd w:val="clear" w:color="auto" w:fill="FFFFFF"/>
          <w:lang w:val="en-GB"/>
        </w:rPr>
        <w:t xml:space="preserve">and </w:t>
      </w:r>
      <w:r w:rsidR="006C7F86">
        <w:rPr>
          <w:rFonts w:ascii="Calibri" w:hAnsi="Calibri" w:cs="Calibri"/>
          <w:shd w:val="clear" w:color="auto" w:fill="FFFFFF"/>
          <w:lang w:val="en-GB"/>
        </w:rPr>
        <w:fldChar w:fldCharType="begin"/>
      </w:r>
      <w:r w:rsidR="006C7F86">
        <w:rPr>
          <w:rFonts w:ascii="Calibri" w:hAnsi="Calibri" w:cs="Calibri"/>
          <w:shd w:val="clear" w:color="auto" w:fill="FFFFFF"/>
          <w:lang w:val="en-GB"/>
        </w:rPr>
        <w:instrText xml:space="preserve"> REF _Ref56949566 \h </w:instrText>
      </w:r>
      <w:r w:rsidR="006C7F86">
        <w:rPr>
          <w:rFonts w:ascii="Calibri" w:hAnsi="Calibri" w:cs="Calibri"/>
          <w:shd w:val="clear" w:color="auto" w:fill="FFFFFF"/>
          <w:lang w:val="en-GB"/>
        </w:rPr>
      </w:r>
      <w:r w:rsidR="006C7F86">
        <w:rPr>
          <w:rFonts w:ascii="Calibri" w:hAnsi="Calibri" w:cs="Calibri"/>
          <w:shd w:val="clear" w:color="auto" w:fill="FFFFFF"/>
          <w:lang w:val="en-GB"/>
        </w:rPr>
        <w:fldChar w:fldCharType="separate"/>
      </w:r>
      <w:r w:rsidR="00F63FB8">
        <w:t xml:space="preserve">ANNEX </w:t>
      </w:r>
      <w:r w:rsidR="00F63FB8">
        <w:rPr>
          <w:noProof/>
        </w:rPr>
        <w:t>V</w:t>
      </w:r>
      <w:r w:rsidR="006C7F86">
        <w:rPr>
          <w:rFonts w:ascii="Calibri" w:hAnsi="Calibri" w:cs="Calibri"/>
          <w:shd w:val="clear" w:color="auto" w:fill="FFFFFF"/>
          <w:lang w:val="en-GB"/>
        </w:rPr>
        <w:fldChar w:fldCharType="end"/>
      </w:r>
      <w:r w:rsidRPr="00EA3B87">
        <w:rPr>
          <w:rFonts w:ascii="Calibri" w:hAnsi="Calibri" w:cs="Calibri"/>
          <w:shd w:val="clear" w:color="auto" w:fill="FFFFFF"/>
          <w:lang w:val="en-GB"/>
        </w:rPr>
        <w:t>)</w:t>
      </w:r>
      <w:r w:rsidR="006C7F86">
        <w:rPr>
          <w:rFonts w:ascii="Calibri" w:hAnsi="Calibri" w:cs="Calibri"/>
          <w:shd w:val="clear" w:color="auto" w:fill="FFFFFF"/>
          <w:lang w:val="en-GB"/>
        </w:rPr>
        <w:t>.</w:t>
      </w:r>
    </w:p>
    <w:bookmarkEnd w:id="184"/>
    <w:p w14:paraId="3087E6DB" w14:textId="5B357A88" w:rsidR="00ED3F70" w:rsidRDefault="00816697" w:rsidP="00ED3F70">
      <w:pPr>
        <w:rPr>
          <w:b/>
          <w:bCs/>
          <w:lang w:val="en-US"/>
        </w:rPr>
      </w:pPr>
      <w:r w:rsidRPr="00AB7D1E">
        <w:rPr>
          <w:lang w:val="en-US"/>
        </w:rPr>
        <w:t xml:space="preserve">The </w:t>
      </w:r>
      <w:r w:rsidR="00F92E68" w:rsidRPr="00AB7D1E">
        <w:rPr>
          <w:lang w:val="en-US"/>
        </w:rPr>
        <w:t>p</w:t>
      </w:r>
      <w:r w:rsidRPr="00AB7D1E">
        <w:rPr>
          <w:lang w:val="en-US"/>
        </w:rPr>
        <w:t>roject</w:t>
      </w:r>
      <w:r w:rsidR="00F92E68" w:rsidRPr="00AB7D1E">
        <w:rPr>
          <w:lang w:val="en-US"/>
        </w:rPr>
        <w:t xml:space="preserve"> (Component 2)</w:t>
      </w:r>
      <w:r w:rsidRPr="00AB7D1E">
        <w:rPr>
          <w:lang w:val="en-US"/>
        </w:rPr>
        <w:t xml:space="preserve"> will finance small</w:t>
      </w:r>
      <w:r w:rsidR="00AC2E1B" w:rsidRPr="00AB7D1E">
        <w:rPr>
          <w:lang w:val="en-US"/>
        </w:rPr>
        <w:t xml:space="preserve"> to medium </w:t>
      </w:r>
      <w:r w:rsidRPr="00AB7D1E">
        <w:rPr>
          <w:lang w:val="en-US"/>
        </w:rPr>
        <w:t xml:space="preserve">scale </w:t>
      </w:r>
      <w:r w:rsidR="00821982" w:rsidRPr="00AB7D1E">
        <w:rPr>
          <w:lang w:val="en-US"/>
        </w:rPr>
        <w:t xml:space="preserve">repair and </w:t>
      </w:r>
      <w:r w:rsidRPr="00AB7D1E">
        <w:rPr>
          <w:lang w:val="en-US"/>
        </w:rPr>
        <w:t xml:space="preserve">rehabilitation works on the </w:t>
      </w:r>
      <w:r w:rsidR="00821982" w:rsidRPr="00AB7D1E">
        <w:rPr>
          <w:lang w:val="en-US"/>
        </w:rPr>
        <w:t xml:space="preserve">public health </w:t>
      </w:r>
      <w:r w:rsidRPr="00AB7D1E">
        <w:rPr>
          <w:lang w:val="en-US"/>
        </w:rPr>
        <w:t xml:space="preserve">facilities and will have certain social and environmental impacts. Based on review of available project documents and discussions with Ministry representatives, works associated with </w:t>
      </w:r>
      <w:r w:rsidR="00821982" w:rsidRPr="00AB7D1E">
        <w:rPr>
          <w:lang w:val="en-US"/>
        </w:rPr>
        <w:t xml:space="preserve">repair and </w:t>
      </w:r>
      <w:r w:rsidRPr="00AB7D1E">
        <w:rPr>
          <w:lang w:val="en-US"/>
        </w:rPr>
        <w:t xml:space="preserve">rehabilitation of buildings are not expected to have significant and irreversible negative impact on the environment. </w:t>
      </w:r>
      <w:bookmarkStart w:id="185" w:name="_Hlk51610231"/>
      <w:r w:rsidR="001B588A" w:rsidRPr="00AB7D1E">
        <w:rPr>
          <w:b/>
          <w:bCs/>
          <w:lang w:val="en-US"/>
        </w:rPr>
        <w:t>Repair and</w:t>
      </w:r>
      <w:r w:rsidR="001B588A" w:rsidRPr="00AB7D1E">
        <w:rPr>
          <w:lang w:val="en-US"/>
        </w:rPr>
        <w:t xml:space="preserve"> </w:t>
      </w:r>
      <w:r w:rsidR="001B588A" w:rsidRPr="00AB7D1E">
        <w:rPr>
          <w:b/>
          <w:bCs/>
          <w:lang w:val="en-US"/>
        </w:rPr>
        <w:t>r</w:t>
      </w:r>
      <w:r w:rsidRPr="00AB7D1E">
        <w:rPr>
          <w:b/>
          <w:bCs/>
          <w:lang w:val="en-US"/>
        </w:rPr>
        <w:t xml:space="preserve">ehabilitation works are expected to have </w:t>
      </w:r>
      <w:r w:rsidR="00C9010D" w:rsidRPr="00AB7D1E">
        <w:rPr>
          <w:b/>
          <w:bCs/>
          <w:lang w:val="en-US"/>
        </w:rPr>
        <w:t>small to medium</w:t>
      </w:r>
      <w:r w:rsidRPr="00AB7D1E">
        <w:rPr>
          <w:b/>
          <w:bCs/>
          <w:lang w:val="en-US"/>
        </w:rPr>
        <w:t xml:space="preserve"> environmental and social impacts, thus development of ESMP </w:t>
      </w:r>
      <w:r w:rsidRPr="006C7F86">
        <w:rPr>
          <w:b/>
          <w:bCs/>
          <w:lang w:val="en-US"/>
        </w:rPr>
        <w:t>Checklists (</w:t>
      </w:r>
      <w:r w:rsidR="006C7F86" w:rsidRPr="006C7F86">
        <w:rPr>
          <w:b/>
          <w:bCs/>
          <w:highlight w:val="yellow"/>
          <w:lang w:val="en-US"/>
        </w:rPr>
        <w:fldChar w:fldCharType="begin"/>
      </w:r>
      <w:r w:rsidR="006C7F86" w:rsidRPr="006C7F86">
        <w:rPr>
          <w:b/>
          <w:bCs/>
          <w:lang w:val="en-US"/>
        </w:rPr>
        <w:instrText xml:space="preserve"> REF _Ref56949676 \h </w:instrText>
      </w:r>
      <w:r w:rsidR="006C7F86" w:rsidRPr="006C7F86">
        <w:rPr>
          <w:b/>
          <w:bCs/>
          <w:highlight w:val="yellow"/>
          <w:lang w:val="en-US"/>
        </w:rPr>
        <w:instrText xml:space="preserve"> \* MERGEFORMAT </w:instrText>
      </w:r>
      <w:r w:rsidR="006C7F86" w:rsidRPr="006C7F86">
        <w:rPr>
          <w:b/>
          <w:bCs/>
          <w:highlight w:val="yellow"/>
          <w:lang w:val="en-US"/>
        </w:rPr>
      </w:r>
      <w:r w:rsidR="006C7F86" w:rsidRPr="006C7F86">
        <w:rPr>
          <w:b/>
          <w:bCs/>
          <w:highlight w:val="yellow"/>
          <w:lang w:val="en-US"/>
        </w:rPr>
        <w:fldChar w:fldCharType="separate"/>
      </w:r>
      <w:r w:rsidR="007D1E1B" w:rsidRPr="007D1E1B">
        <w:rPr>
          <w:b/>
          <w:bCs/>
        </w:rPr>
        <w:t xml:space="preserve">ANNEX </w:t>
      </w:r>
      <w:r w:rsidR="007D1E1B" w:rsidRPr="007D1E1B">
        <w:rPr>
          <w:b/>
          <w:bCs/>
          <w:noProof/>
        </w:rPr>
        <w:t>IX</w:t>
      </w:r>
      <w:r w:rsidR="006C7F86" w:rsidRPr="006C7F86">
        <w:rPr>
          <w:b/>
          <w:bCs/>
          <w:highlight w:val="yellow"/>
          <w:lang w:val="en-US"/>
        </w:rPr>
        <w:fldChar w:fldCharType="end"/>
      </w:r>
      <w:r w:rsidRPr="006C7F86">
        <w:rPr>
          <w:b/>
          <w:bCs/>
          <w:lang w:val="en-US"/>
        </w:rPr>
        <w:t>)</w:t>
      </w:r>
      <w:r w:rsidRPr="00AB7D1E">
        <w:rPr>
          <w:lang w:val="en-US"/>
        </w:rPr>
        <w:t xml:space="preserve"> </w:t>
      </w:r>
      <w:r w:rsidRPr="00AB7D1E">
        <w:rPr>
          <w:b/>
          <w:bCs/>
          <w:lang w:val="en-US"/>
        </w:rPr>
        <w:t xml:space="preserve">should be </w:t>
      </w:r>
      <w:r w:rsidR="001B588A" w:rsidRPr="00AB7D1E">
        <w:rPr>
          <w:b/>
          <w:bCs/>
          <w:lang w:val="en-US"/>
        </w:rPr>
        <w:t>sufficient</w:t>
      </w:r>
      <w:r w:rsidRPr="00AB7D1E">
        <w:rPr>
          <w:b/>
          <w:bCs/>
          <w:lang w:val="en-US"/>
        </w:rPr>
        <w:t xml:space="preserve"> (no need for the full-scale E</w:t>
      </w:r>
      <w:r w:rsidR="000106AB">
        <w:rPr>
          <w:b/>
          <w:bCs/>
          <w:lang w:val="en-US"/>
        </w:rPr>
        <w:t>S</w:t>
      </w:r>
      <w:r w:rsidRPr="00AB7D1E">
        <w:rPr>
          <w:b/>
          <w:bCs/>
          <w:lang w:val="en-US"/>
        </w:rPr>
        <w:t xml:space="preserve">IA). </w:t>
      </w:r>
    </w:p>
    <w:p w14:paraId="7DD54450" w14:textId="6C6017A8" w:rsidR="00F74DB3" w:rsidRDefault="00F74DB3" w:rsidP="00F74DB3">
      <w:pPr>
        <w:spacing w:before="0" w:after="0"/>
        <w:rPr>
          <w:highlight w:val="green"/>
          <w:lang w:val="en-GB"/>
        </w:rPr>
      </w:pPr>
      <w:r w:rsidRPr="00C02ECA">
        <w:rPr>
          <w:lang w:val="en-GB"/>
        </w:rPr>
        <w:t xml:space="preserve">Cultural heritage related risks will be addressed through the development of Cultural Heritage </w:t>
      </w:r>
      <w:r w:rsidRPr="00C02ECA">
        <w:rPr>
          <w:b/>
          <w:bCs/>
          <w:lang w:val="en-GB"/>
        </w:rPr>
        <w:t>Management Plan (CHMP)</w:t>
      </w:r>
      <w:r w:rsidRPr="00C02ECA">
        <w:rPr>
          <w:lang w:val="en-GB"/>
        </w:rPr>
        <w:t xml:space="preserve"> </w:t>
      </w:r>
      <w:r>
        <w:rPr>
          <w:lang w:val="en-GB"/>
        </w:rPr>
        <w:t xml:space="preserve">and, where applicable, </w:t>
      </w:r>
      <w:r w:rsidRPr="00C02ECA">
        <w:rPr>
          <w:lang w:val="en-GB"/>
        </w:rPr>
        <w:t>with integrated conditions obtained in opinions and permits of competent authorities for interventions into physical cultural heritage.</w:t>
      </w:r>
      <w:r>
        <w:rPr>
          <w:lang w:val="en-GB"/>
        </w:rPr>
        <w:t xml:space="preserve"> CHMP will be annex to ESMP Checklist.</w:t>
      </w:r>
    </w:p>
    <w:p w14:paraId="3D786C70" w14:textId="77777777" w:rsidR="00F74DB3" w:rsidRPr="00F74DB3" w:rsidRDefault="00F74DB3" w:rsidP="00F74DB3">
      <w:pPr>
        <w:spacing w:before="0" w:after="0"/>
        <w:rPr>
          <w:highlight w:val="green"/>
          <w:lang w:val="en-GB"/>
        </w:rPr>
      </w:pPr>
    </w:p>
    <w:p w14:paraId="17B89074" w14:textId="2FBAE8F6" w:rsidR="003252B6" w:rsidRPr="00D66B3E" w:rsidRDefault="00816697" w:rsidP="00ED3F70">
      <w:pPr>
        <w:rPr>
          <w:b/>
          <w:bCs/>
          <w:i/>
          <w:iCs/>
          <w:lang w:val="en-US"/>
        </w:rPr>
      </w:pPr>
      <w:r w:rsidRPr="00D66B3E">
        <w:rPr>
          <w:b/>
          <w:bCs/>
          <w:i/>
          <w:iCs/>
          <w:lang w:val="en-US"/>
        </w:rPr>
        <w:t xml:space="preserve">Infection Control and Waste Management Plan </w:t>
      </w:r>
    </w:p>
    <w:p w14:paraId="00EE6934" w14:textId="0881F03E" w:rsidR="00955270" w:rsidRPr="00AB7D1E" w:rsidRDefault="00816697" w:rsidP="00ED3F70">
      <w:pPr>
        <w:rPr>
          <w:lang w:val="en-US"/>
        </w:rPr>
      </w:pPr>
      <w:r w:rsidRPr="000E4B70">
        <w:rPr>
          <w:lang w:val="en-US"/>
        </w:rPr>
        <w:t xml:space="preserve">A detailed </w:t>
      </w:r>
      <w:r w:rsidR="00CC24E6" w:rsidRPr="000E4B70">
        <w:rPr>
          <w:lang w:val="en-US"/>
        </w:rPr>
        <w:t>Infection Control and Waste Management Plan</w:t>
      </w:r>
      <w:r w:rsidR="00CC24E6" w:rsidRPr="00AB7D1E">
        <w:rPr>
          <w:lang w:val="en-US"/>
        </w:rPr>
        <w:t xml:space="preserve"> (</w:t>
      </w:r>
      <w:r w:rsidRPr="00AB7D1E">
        <w:rPr>
          <w:lang w:val="en-US"/>
        </w:rPr>
        <w:t>ICWMP</w:t>
      </w:r>
      <w:r w:rsidR="00CC24E6" w:rsidRPr="00AB7D1E">
        <w:rPr>
          <w:lang w:val="en-US"/>
        </w:rPr>
        <w:t>)</w:t>
      </w:r>
      <w:r w:rsidRPr="00AB7D1E">
        <w:rPr>
          <w:lang w:val="en-US"/>
        </w:rPr>
        <w:t xml:space="preserve"> is described in </w:t>
      </w:r>
      <w:r w:rsidR="006C7F86">
        <w:rPr>
          <w:lang w:val="en-US"/>
        </w:rPr>
        <w:fldChar w:fldCharType="begin"/>
      </w:r>
      <w:r w:rsidR="006C7F86">
        <w:rPr>
          <w:lang w:val="en-US"/>
        </w:rPr>
        <w:instrText xml:space="preserve"> REF _Ref56949693 \h </w:instrText>
      </w:r>
      <w:r w:rsidR="006C7F86">
        <w:rPr>
          <w:lang w:val="en-US"/>
        </w:rPr>
      </w:r>
      <w:r w:rsidR="006C7F86">
        <w:rPr>
          <w:lang w:val="en-US"/>
        </w:rPr>
        <w:fldChar w:fldCharType="separate"/>
      </w:r>
      <w:r w:rsidR="007D1E1B">
        <w:t xml:space="preserve">ANNEX </w:t>
      </w:r>
      <w:r w:rsidR="007D1E1B">
        <w:rPr>
          <w:noProof/>
        </w:rPr>
        <w:t>XI</w:t>
      </w:r>
      <w:r w:rsidR="006C7F86">
        <w:rPr>
          <w:lang w:val="en-US"/>
        </w:rPr>
        <w:fldChar w:fldCharType="end"/>
      </w:r>
      <w:r w:rsidR="00AB1E22" w:rsidRPr="00AB7D1E">
        <w:rPr>
          <w:lang w:val="en-US"/>
        </w:rPr>
        <w:t xml:space="preserve">. </w:t>
      </w:r>
      <w:bookmarkEnd w:id="185"/>
      <w:r w:rsidRPr="00AB7D1E">
        <w:rPr>
          <w:lang w:val="en-US"/>
        </w:rPr>
        <w:t xml:space="preserve">The </w:t>
      </w:r>
      <w:proofErr w:type="spellStart"/>
      <w:r w:rsidRPr="00AB7D1E">
        <w:rPr>
          <w:lang w:val="en-US"/>
        </w:rPr>
        <w:t>M</w:t>
      </w:r>
      <w:r w:rsidR="00955270" w:rsidRPr="00AB7D1E">
        <w:rPr>
          <w:lang w:val="en-US"/>
        </w:rPr>
        <w:t>o</w:t>
      </w:r>
      <w:r w:rsidRPr="00AB7D1E">
        <w:rPr>
          <w:lang w:val="en-US"/>
        </w:rPr>
        <w:t>H</w:t>
      </w:r>
      <w:proofErr w:type="spellEnd"/>
      <w:r w:rsidRPr="00AB7D1E">
        <w:rPr>
          <w:lang w:val="en-US"/>
        </w:rPr>
        <w:t xml:space="preserve"> is responsible for </w:t>
      </w:r>
      <w:r w:rsidR="00955270" w:rsidRPr="00AB7D1E">
        <w:rPr>
          <w:lang w:val="en-US"/>
        </w:rPr>
        <w:t>implementing</w:t>
      </w:r>
      <w:r w:rsidRPr="00AB7D1E">
        <w:rPr>
          <w:lang w:val="en-US"/>
        </w:rPr>
        <w:t xml:space="preserve"> the legal framework managing environmental and social risks in the health sector and develop various instruments to address priority health issues. </w:t>
      </w:r>
    </w:p>
    <w:p w14:paraId="0A63DF0E" w14:textId="71AD5CED" w:rsidR="00955270" w:rsidRPr="00AB7D1E" w:rsidRDefault="00955270" w:rsidP="00AC2E1B">
      <w:pPr>
        <w:widowControl w:val="0"/>
        <w:suppressAutoHyphens w:val="0"/>
        <w:autoSpaceDE w:val="0"/>
        <w:spacing w:line="240" w:lineRule="auto"/>
        <w:ind w:right="119"/>
        <w:textAlignment w:val="auto"/>
        <w:rPr>
          <w:rFonts w:eastAsia="Times New Roman" w:cstheme="minorHAnsi"/>
          <w:b/>
          <w:lang w:val="en-US"/>
        </w:rPr>
      </w:pPr>
      <w:r w:rsidRPr="00AB7D1E">
        <w:rPr>
          <w:rFonts w:eastAsia="Times New Roman" w:cstheme="minorHAnsi"/>
          <w:lang w:val="en-US"/>
        </w:rPr>
        <w:t xml:space="preserve">The </w:t>
      </w:r>
      <w:proofErr w:type="spellStart"/>
      <w:r w:rsidRPr="00AB7D1E">
        <w:rPr>
          <w:rFonts w:eastAsia="Times New Roman" w:cstheme="minorHAnsi"/>
          <w:lang w:val="en-US"/>
        </w:rPr>
        <w:t>MoH</w:t>
      </w:r>
      <w:proofErr w:type="spellEnd"/>
      <w:r w:rsidRPr="00AB7D1E">
        <w:rPr>
          <w:rFonts w:eastAsia="Times New Roman" w:cstheme="minorHAnsi"/>
          <w:lang w:val="en-US"/>
        </w:rPr>
        <w:t xml:space="preserve"> medical facilities are utilizing services of the private sector </w:t>
      </w:r>
      <w:r w:rsidR="003252B6" w:rsidRPr="00AB7D1E">
        <w:rPr>
          <w:rFonts w:eastAsia="Times New Roman" w:cstheme="minorHAnsi"/>
          <w:lang w:val="en-US"/>
        </w:rPr>
        <w:t>for</w:t>
      </w:r>
      <w:r w:rsidRPr="00AB7D1E">
        <w:rPr>
          <w:rFonts w:eastAsia="Times New Roman" w:cstheme="minorHAnsi"/>
          <w:lang w:val="en-US"/>
        </w:rPr>
        <w:t xml:space="preserve"> the collection and transportation of health care wastes to the licensed waste management </w:t>
      </w:r>
      <w:r w:rsidR="003252B6" w:rsidRPr="00AB7D1E">
        <w:rPr>
          <w:rFonts w:eastAsia="Times New Roman" w:cstheme="minorHAnsi"/>
          <w:lang w:val="en-US"/>
        </w:rPr>
        <w:t xml:space="preserve">treatment </w:t>
      </w:r>
      <w:r w:rsidRPr="00AB7D1E">
        <w:rPr>
          <w:rFonts w:eastAsia="Times New Roman" w:cstheme="minorHAnsi"/>
          <w:lang w:val="en-US"/>
        </w:rPr>
        <w:t>companies. Identifying gaps and preparing Infection Control and Waste Management Plan (ICWMP) will be important to address the risk of COVID-19. The medical facility will receive project support if no critical gaps are found. This goes along with the capacity building of healthcare staff and other stakeholders involved in the effective implementation of ICWMP.</w:t>
      </w:r>
      <w:r w:rsidRPr="00AB7D1E" w:rsidDel="0003541F">
        <w:rPr>
          <w:rFonts w:eastAsia="Times New Roman" w:cstheme="minorHAnsi"/>
          <w:lang w:val="en-US"/>
        </w:rPr>
        <w:t xml:space="preserve"> </w:t>
      </w:r>
      <w:r w:rsidRPr="00AB7D1E">
        <w:rPr>
          <w:rFonts w:eastAsia="Times New Roman" w:cstheme="minorHAnsi"/>
          <w:lang w:val="en-US"/>
        </w:rPr>
        <w:t xml:space="preserve">It is mandatory that all medical facilities receiving project support use services of licensed medical waste </w:t>
      </w:r>
      <w:r w:rsidR="005C55B6" w:rsidRPr="00AB7D1E">
        <w:rPr>
          <w:rFonts w:eastAsia="Times New Roman" w:cstheme="minorHAnsi"/>
          <w:lang w:val="en-US"/>
        </w:rPr>
        <w:t xml:space="preserve">management </w:t>
      </w:r>
      <w:r w:rsidRPr="00AB7D1E">
        <w:rPr>
          <w:rFonts w:eastAsia="Times New Roman" w:cstheme="minorHAnsi"/>
          <w:lang w:val="en-US"/>
        </w:rPr>
        <w:t>contractors.</w:t>
      </w:r>
    </w:p>
    <w:p w14:paraId="3470D7A8" w14:textId="7177FE29" w:rsidR="00955270" w:rsidRPr="00AB7D1E" w:rsidRDefault="00955270" w:rsidP="00AC2E1B">
      <w:pPr>
        <w:widowControl w:val="0"/>
        <w:suppressAutoHyphens w:val="0"/>
        <w:autoSpaceDE w:val="0"/>
        <w:spacing w:line="240" w:lineRule="auto"/>
        <w:ind w:right="119"/>
        <w:textAlignment w:val="auto"/>
        <w:rPr>
          <w:rFonts w:eastAsia="Times New Roman" w:cstheme="minorHAnsi"/>
          <w:bCs/>
          <w:lang w:val="en-US"/>
        </w:rPr>
      </w:pPr>
      <w:r w:rsidRPr="00AB7D1E">
        <w:rPr>
          <w:rFonts w:eastAsia="Times New Roman" w:cstheme="minorHAnsi"/>
          <w:bCs/>
          <w:lang w:val="en-US"/>
        </w:rPr>
        <w:t xml:space="preserve">In the event that </w:t>
      </w:r>
      <w:proofErr w:type="gramStart"/>
      <w:r w:rsidRPr="00AB7D1E">
        <w:rPr>
          <w:rFonts w:eastAsia="Times New Roman" w:cstheme="minorHAnsi"/>
          <w:bCs/>
          <w:lang w:val="en-US"/>
        </w:rPr>
        <w:t>screening</w:t>
      </w:r>
      <w:proofErr w:type="gramEnd"/>
      <w:r w:rsidRPr="00AB7D1E">
        <w:rPr>
          <w:rFonts w:eastAsia="Times New Roman" w:cstheme="minorHAnsi"/>
          <w:bCs/>
          <w:lang w:val="en-US"/>
        </w:rPr>
        <w:t xml:space="preserve"> or monitoring identifies gaps with the ICWMP hospital management will </w:t>
      </w:r>
      <w:r w:rsidRPr="00AB7D1E">
        <w:rPr>
          <w:rFonts w:eastAsia="Times New Roman" w:cstheme="minorHAnsi"/>
          <w:bCs/>
          <w:lang w:val="en-US"/>
        </w:rPr>
        <w:lastRenderedPageBreak/>
        <w:t xml:space="preserve">be alerted and remedial actions agreed. Remedial actions may involve, for example, strengthening of hospital practices and oversight regarding handling and disposal of medical waste, identification of alternative waste disposal sites and transportation measures to ensure that medical waste is safely transported to adequate waste disposal areas. Only when adequate measures are put in place and confirmed by </w:t>
      </w:r>
      <w:proofErr w:type="spellStart"/>
      <w:r w:rsidR="005C55B6" w:rsidRPr="00AB7D1E">
        <w:rPr>
          <w:rFonts w:eastAsia="Times New Roman" w:cstheme="minorHAnsi"/>
          <w:bCs/>
          <w:lang w:val="en-US"/>
        </w:rPr>
        <w:t>MoH</w:t>
      </w:r>
      <w:proofErr w:type="spellEnd"/>
      <w:r w:rsidR="005C55B6" w:rsidRPr="00AB7D1E">
        <w:rPr>
          <w:rFonts w:eastAsia="Times New Roman" w:cstheme="minorHAnsi"/>
          <w:bCs/>
          <w:lang w:val="en-US"/>
        </w:rPr>
        <w:t xml:space="preserve"> </w:t>
      </w:r>
      <w:r w:rsidRPr="00AB7D1E">
        <w:rPr>
          <w:rFonts w:eastAsia="Times New Roman" w:cstheme="minorHAnsi"/>
          <w:bCs/>
          <w:lang w:val="en-US"/>
        </w:rPr>
        <w:t>PIU, may project activities begin or resume.</w:t>
      </w:r>
    </w:p>
    <w:p w14:paraId="67A6C48F" w14:textId="77777777" w:rsidR="00AC2E1B" w:rsidRPr="00AB7D1E" w:rsidRDefault="005C55B6" w:rsidP="00AC2E1B">
      <w:pPr>
        <w:rPr>
          <w:lang w:val="en-US"/>
        </w:rPr>
      </w:pPr>
      <w:bookmarkStart w:id="186" w:name="_Hlk48333585"/>
      <w:r w:rsidRPr="00AB7D1E">
        <w:rPr>
          <w:b/>
          <w:bCs/>
          <w:lang w:val="en-US"/>
        </w:rPr>
        <w:t>Medical waste management.</w:t>
      </w:r>
      <w:r w:rsidRPr="00AB7D1E">
        <w:rPr>
          <w:lang w:val="en-US"/>
        </w:rPr>
        <w:t xml:space="preserve"> The </w:t>
      </w:r>
      <w:proofErr w:type="spellStart"/>
      <w:r w:rsidRPr="00AB7D1E">
        <w:rPr>
          <w:lang w:val="en-US"/>
        </w:rPr>
        <w:t>MoH</w:t>
      </w:r>
      <w:proofErr w:type="spellEnd"/>
      <w:r w:rsidRPr="00AB7D1E">
        <w:rPr>
          <w:lang w:val="en-US"/>
        </w:rPr>
        <w:t xml:space="preserve"> PIU and medical facility will ensure the following: </w:t>
      </w:r>
    </w:p>
    <w:p w14:paraId="0D7E05BC" w14:textId="77777777" w:rsidR="00AC2E1B" w:rsidRPr="00AB7D1E" w:rsidRDefault="005C55B6" w:rsidP="00BE60A0">
      <w:pPr>
        <w:pStyle w:val="ListParagraph"/>
        <w:numPr>
          <w:ilvl w:val="0"/>
          <w:numId w:val="51"/>
        </w:numPr>
        <w:rPr>
          <w:lang w:val="en-US"/>
        </w:rPr>
      </w:pPr>
      <w:r w:rsidRPr="00AB7D1E">
        <w:rPr>
          <w:lang w:val="en-US"/>
        </w:rPr>
        <w:t xml:space="preserve">Each medical facility is operated in accordance with the ICWMP; </w:t>
      </w:r>
    </w:p>
    <w:p w14:paraId="2F625338" w14:textId="77777777" w:rsidR="00AC2E1B" w:rsidRPr="00AB7D1E" w:rsidRDefault="005C55B6" w:rsidP="00BE60A0">
      <w:pPr>
        <w:pStyle w:val="ListParagraph"/>
        <w:numPr>
          <w:ilvl w:val="0"/>
          <w:numId w:val="51"/>
        </w:numPr>
        <w:rPr>
          <w:lang w:val="en-US"/>
        </w:rPr>
      </w:pPr>
      <w:r w:rsidRPr="00AB7D1E">
        <w:rPr>
          <w:lang w:val="en-US"/>
        </w:rPr>
        <w:t>Waste separation, packaging, collection, storage disposal, and transport is conducted in compliance with the ICWMP and WHO COVID-19 Guidelines;</w:t>
      </w:r>
    </w:p>
    <w:p w14:paraId="2D7902D8" w14:textId="77777777" w:rsidR="00AC2E1B" w:rsidRPr="00AB7D1E" w:rsidRDefault="005C55B6" w:rsidP="00BE60A0">
      <w:pPr>
        <w:pStyle w:val="ListParagraph"/>
        <w:numPr>
          <w:ilvl w:val="0"/>
          <w:numId w:val="51"/>
        </w:numPr>
        <w:rPr>
          <w:lang w:val="en-US"/>
        </w:rPr>
      </w:pPr>
      <w:r w:rsidRPr="00AB7D1E">
        <w:rPr>
          <w:lang w:val="en-US"/>
        </w:rPr>
        <w:t xml:space="preserve">Onsite waste management will be reviewed regularly and training on protocols contained in the ICWMP conducted; </w:t>
      </w:r>
    </w:p>
    <w:p w14:paraId="23E22E65" w14:textId="03C72D10" w:rsidR="00AC2E1B" w:rsidRPr="00AB7D1E" w:rsidRDefault="005C55B6" w:rsidP="00BE60A0">
      <w:pPr>
        <w:pStyle w:val="ListParagraph"/>
        <w:numPr>
          <w:ilvl w:val="0"/>
          <w:numId w:val="51"/>
        </w:numPr>
        <w:rPr>
          <w:lang w:val="en-US"/>
        </w:rPr>
      </w:pPr>
      <w:r w:rsidRPr="00AB7D1E">
        <w:rPr>
          <w:lang w:val="en-US"/>
        </w:rPr>
        <w:t xml:space="preserve">The </w:t>
      </w:r>
      <w:proofErr w:type="spellStart"/>
      <w:r w:rsidRPr="00AB7D1E">
        <w:rPr>
          <w:lang w:val="en-US"/>
        </w:rPr>
        <w:t>MoH</w:t>
      </w:r>
      <w:proofErr w:type="spellEnd"/>
      <w:r w:rsidRPr="00AB7D1E">
        <w:rPr>
          <w:lang w:val="en-US"/>
        </w:rPr>
        <w:t xml:space="preserve"> PIU</w:t>
      </w:r>
      <w:r w:rsidR="00B0234D">
        <w:rPr>
          <w:lang w:val="en-US"/>
        </w:rPr>
        <w:t xml:space="preserve"> (PIU-2)</w:t>
      </w:r>
      <w:r w:rsidRPr="00AB7D1E">
        <w:rPr>
          <w:lang w:val="en-US"/>
        </w:rPr>
        <w:t xml:space="preserve"> will </w:t>
      </w:r>
      <w:r w:rsidR="00962353">
        <w:rPr>
          <w:lang w:val="en-US"/>
        </w:rPr>
        <w:t>monitor</w:t>
      </w:r>
      <w:r w:rsidRPr="00AB7D1E">
        <w:rPr>
          <w:lang w:val="en-US"/>
        </w:rPr>
        <w:t xml:space="preserve"> off-site waste disposal required and institute any remedial measures required to ensure compliance; and</w:t>
      </w:r>
    </w:p>
    <w:p w14:paraId="46F69521" w14:textId="766F38C7" w:rsidR="005C55B6" w:rsidRPr="00AB7D1E" w:rsidRDefault="005C55B6" w:rsidP="00BE60A0">
      <w:pPr>
        <w:pStyle w:val="ListParagraph"/>
        <w:numPr>
          <w:ilvl w:val="0"/>
          <w:numId w:val="51"/>
        </w:numPr>
        <w:rPr>
          <w:lang w:val="en-US"/>
        </w:rPr>
      </w:pPr>
      <w:r w:rsidRPr="00AB7D1E">
        <w:rPr>
          <w:lang w:val="en-US"/>
        </w:rPr>
        <w:t xml:space="preserve">Waste generation, minimization, reuse, and recycling are practiced were practical in the COVID-19 context. </w:t>
      </w:r>
    </w:p>
    <w:p w14:paraId="7CC3DE70" w14:textId="0CACA4AE" w:rsidR="005C55B6" w:rsidRPr="00AB7D1E" w:rsidRDefault="005C55B6" w:rsidP="00AC2E1B">
      <w:pPr>
        <w:rPr>
          <w:lang w:val="en-US"/>
        </w:rPr>
      </w:pPr>
      <w:r w:rsidRPr="00AB7D1E">
        <w:rPr>
          <w:b/>
          <w:bCs/>
          <w:lang w:val="en-US"/>
        </w:rPr>
        <w:t>Protecting healthcare workers.</w:t>
      </w:r>
      <w:r w:rsidRPr="00AB7D1E">
        <w:rPr>
          <w:lang w:val="en-US"/>
        </w:rPr>
        <w:t xml:space="preserve"> The </w:t>
      </w:r>
      <w:proofErr w:type="spellStart"/>
      <w:r w:rsidR="00FD6204" w:rsidRPr="00AB7D1E">
        <w:rPr>
          <w:lang w:val="en-US"/>
        </w:rPr>
        <w:t>MoH</w:t>
      </w:r>
      <w:proofErr w:type="spellEnd"/>
      <w:r w:rsidR="00FD6204" w:rsidRPr="00AB7D1E">
        <w:rPr>
          <w:lang w:val="en-US"/>
        </w:rPr>
        <w:t xml:space="preserve"> </w:t>
      </w:r>
      <w:r w:rsidRPr="00AB7D1E">
        <w:rPr>
          <w:lang w:val="en-US"/>
        </w:rPr>
        <w:t xml:space="preserve">PIU and medical facility will ensure the following: </w:t>
      </w:r>
    </w:p>
    <w:p w14:paraId="1140F041" w14:textId="77777777" w:rsidR="00AC2E1B" w:rsidRPr="00AB7D1E" w:rsidRDefault="005C55B6" w:rsidP="00BE60A0">
      <w:pPr>
        <w:pStyle w:val="ListParagraph"/>
        <w:numPr>
          <w:ilvl w:val="0"/>
          <w:numId w:val="52"/>
        </w:numPr>
        <w:rPr>
          <w:lang w:val="en-US"/>
        </w:rPr>
      </w:pPr>
      <w:r w:rsidRPr="00AB7D1E">
        <w:rPr>
          <w:lang w:val="en-US"/>
        </w:rPr>
        <w:t>Regular delivery and proper storage of goods, including samples, pharmaceuticals, disinfectant, reagents, other hazardous materials, PPEs, etc.;</w:t>
      </w:r>
    </w:p>
    <w:p w14:paraId="6F1E1259" w14:textId="085B0EC7" w:rsidR="00AC2E1B" w:rsidRPr="00AB7D1E" w:rsidRDefault="00CC2C3C" w:rsidP="00BE60A0">
      <w:pPr>
        <w:pStyle w:val="ListParagraph"/>
        <w:numPr>
          <w:ilvl w:val="0"/>
          <w:numId w:val="52"/>
        </w:numPr>
        <w:rPr>
          <w:lang w:val="en-US"/>
        </w:rPr>
      </w:pPr>
      <w:r>
        <w:rPr>
          <w:lang w:val="en-US"/>
        </w:rPr>
        <w:t>Develop</w:t>
      </w:r>
      <w:r w:rsidR="005C55B6" w:rsidRPr="00AB7D1E">
        <w:rPr>
          <w:lang w:val="en-US"/>
        </w:rPr>
        <w:t xml:space="preserve"> protocols for regular disinfection of public rooms, wards, equipment, tools, and waste are in place and followed;</w:t>
      </w:r>
    </w:p>
    <w:p w14:paraId="6E446C15" w14:textId="285290AE" w:rsidR="00AC2E1B" w:rsidRPr="00AB7D1E" w:rsidRDefault="00AD6A0C" w:rsidP="00BE60A0">
      <w:pPr>
        <w:pStyle w:val="ListParagraph"/>
        <w:numPr>
          <w:ilvl w:val="0"/>
          <w:numId w:val="52"/>
        </w:numPr>
        <w:rPr>
          <w:lang w:val="en-US"/>
        </w:rPr>
      </w:pPr>
      <w:r>
        <w:rPr>
          <w:lang w:val="en-US"/>
        </w:rPr>
        <w:t>H</w:t>
      </w:r>
      <w:r w:rsidR="005C55B6" w:rsidRPr="00AB7D1E">
        <w:rPr>
          <w:lang w:val="en-US"/>
        </w:rPr>
        <w:t xml:space="preserve">andwashing and other sanitary stations are always supplied with clean water, soap, and disinfectant; </w:t>
      </w:r>
    </w:p>
    <w:p w14:paraId="2067A67F" w14:textId="02853962" w:rsidR="00AC2E1B" w:rsidRPr="00AB7D1E" w:rsidRDefault="00AD6A0C" w:rsidP="00BE60A0">
      <w:pPr>
        <w:pStyle w:val="ListParagraph"/>
        <w:numPr>
          <w:ilvl w:val="0"/>
          <w:numId w:val="52"/>
        </w:numPr>
        <w:rPr>
          <w:lang w:val="en-US"/>
        </w:rPr>
      </w:pPr>
      <w:r>
        <w:rPr>
          <w:lang w:val="en-US"/>
        </w:rPr>
        <w:t>E</w:t>
      </w:r>
      <w:r w:rsidR="005C55B6" w:rsidRPr="00AB7D1E">
        <w:rPr>
          <w:lang w:val="en-US"/>
        </w:rPr>
        <w:t>quipment such as autoclaves are in working order; and</w:t>
      </w:r>
    </w:p>
    <w:p w14:paraId="3B35FB14" w14:textId="2EA8E50B" w:rsidR="005C55B6" w:rsidRPr="00AB7D1E" w:rsidRDefault="005C55B6" w:rsidP="00BE60A0">
      <w:pPr>
        <w:pStyle w:val="ListParagraph"/>
        <w:numPr>
          <w:ilvl w:val="0"/>
          <w:numId w:val="52"/>
        </w:numPr>
        <w:rPr>
          <w:lang w:val="en-US"/>
        </w:rPr>
      </w:pPr>
      <w:r w:rsidRPr="00AB7D1E">
        <w:rPr>
          <w:lang w:val="en-US"/>
        </w:rPr>
        <w:t xml:space="preserve">Provide regular testing to healthcare workers routinely in contact with COVID-19 patients. </w:t>
      </w:r>
    </w:p>
    <w:p w14:paraId="20EE0D80" w14:textId="25B27564" w:rsidR="005C55B6" w:rsidRPr="00AB7D1E" w:rsidRDefault="005C55B6" w:rsidP="00AC2E1B">
      <w:pPr>
        <w:rPr>
          <w:lang w:val="en-US"/>
        </w:rPr>
      </w:pPr>
      <w:r w:rsidRPr="00AB7D1E">
        <w:rPr>
          <w:b/>
          <w:bCs/>
          <w:lang w:val="en-US"/>
        </w:rPr>
        <w:t>Containment of COVID-19.</w:t>
      </w:r>
      <w:r w:rsidRPr="00AB7D1E">
        <w:rPr>
          <w:lang w:val="en-US"/>
        </w:rPr>
        <w:t xml:space="preserve"> The </w:t>
      </w:r>
      <w:proofErr w:type="spellStart"/>
      <w:r w:rsidRPr="00AB7D1E">
        <w:rPr>
          <w:lang w:val="en-US"/>
        </w:rPr>
        <w:t>MoH</w:t>
      </w:r>
      <w:proofErr w:type="spellEnd"/>
      <w:r w:rsidRPr="00AB7D1E">
        <w:rPr>
          <w:lang w:val="en-US"/>
        </w:rPr>
        <w:t xml:space="preserve"> PIU and medical facility will ensure the following: </w:t>
      </w:r>
    </w:p>
    <w:p w14:paraId="486498E1" w14:textId="77777777" w:rsidR="00AC2E1B" w:rsidRPr="00AB7D1E" w:rsidRDefault="005C55B6" w:rsidP="00BE60A0">
      <w:pPr>
        <w:pStyle w:val="ListParagraph"/>
        <w:numPr>
          <w:ilvl w:val="0"/>
          <w:numId w:val="53"/>
        </w:numPr>
        <w:rPr>
          <w:lang w:val="en-US"/>
        </w:rPr>
      </w:pPr>
      <w:r w:rsidRPr="00AB7D1E">
        <w:rPr>
          <w:lang w:val="en-US"/>
        </w:rPr>
        <w:t>Quarantine procedures for COVID-19 patients are maintained;</w:t>
      </w:r>
    </w:p>
    <w:p w14:paraId="13EE96DC" w14:textId="77777777" w:rsidR="00AC2E1B" w:rsidRPr="00AB7D1E" w:rsidRDefault="005C55B6" w:rsidP="00BE60A0">
      <w:pPr>
        <w:pStyle w:val="ListParagraph"/>
        <w:numPr>
          <w:ilvl w:val="0"/>
          <w:numId w:val="53"/>
        </w:numPr>
        <w:rPr>
          <w:lang w:val="en-US"/>
        </w:rPr>
      </w:pPr>
      <w:r w:rsidRPr="00AB7D1E">
        <w:rPr>
          <w:lang w:val="en-US"/>
        </w:rPr>
        <w:t xml:space="preserve">When practical, COVID-19 patients are given access to phone or other means of contact with family and friends to lessen the impact of isolation in quarantine; </w:t>
      </w:r>
    </w:p>
    <w:p w14:paraId="19B8998A" w14:textId="77777777" w:rsidR="00AC2E1B" w:rsidRPr="00AB7D1E" w:rsidRDefault="005C55B6" w:rsidP="00BE60A0">
      <w:pPr>
        <w:pStyle w:val="ListParagraph"/>
        <w:numPr>
          <w:ilvl w:val="0"/>
          <w:numId w:val="53"/>
        </w:numPr>
        <w:rPr>
          <w:lang w:val="en-US"/>
        </w:rPr>
      </w:pPr>
      <w:r w:rsidRPr="00AB7D1E">
        <w:rPr>
          <w:lang w:val="en-US"/>
        </w:rPr>
        <w:t xml:space="preserve">The public is regularly updated on the situation and reminded of protocols to prevent the spread of COVID-19; and </w:t>
      </w:r>
    </w:p>
    <w:p w14:paraId="3E085C4F" w14:textId="4BF713BB" w:rsidR="005C55B6" w:rsidRPr="00AB7D1E" w:rsidRDefault="005C55B6" w:rsidP="00BE60A0">
      <w:pPr>
        <w:pStyle w:val="ListParagraph"/>
        <w:numPr>
          <w:ilvl w:val="0"/>
          <w:numId w:val="53"/>
        </w:numPr>
        <w:rPr>
          <w:lang w:val="en-US"/>
        </w:rPr>
      </w:pPr>
      <w:r w:rsidRPr="00AB7D1E">
        <w:rPr>
          <w:lang w:val="en-US"/>
        </w:rPr>
        <w:t>Members of the general public (family and friends) who have been exposed to confirmed COVID-19 patients are tested.</w:t>
      </w:r>
    </w:p>
    <w:bookmarkEnd w:id="186"/>
    <w:p w14:paraId="082097C4" w14:textId="68B02FF4" w:rsidR="00961766" w:rsidRPr="00AB7D1E" w:rsidRDefault="00961766" w:rsidP="00961766">
      <w:pPr>
        <w:suppressAutoHyphens w:val="0"/>
        <w:autoSpaceDN/>
        <w:spacing w:before="0" w:line="276" w:lineRule="auto"/>
        <w:textAlignment w:val="auto"/>
        <w:rPr>
          <w:rFonts w:ascii="Calibri" w:hAnsi="Calibri" w:cs="Calibri"/>
          <w:lang w:val="en-US"/>
        </w:rPr>
      </w:pPr>
      <w:r w:rsidRPr="00AB7D1E">
        <w:rPr>
          <w:rFonts w:ascii="Calibri" w:hAnsi="Calibri" w:cs="Calibri"/>
          <w:b/>
          <w:bCs/>
          <w:lang w:val="en-US"/>
        </w:rPr>
        <w:t>Stakeholder Engagement Plan (SEP)</w:t>
      </w:r>
      <w:r w:rsidRPr="00AB7D1E">
        <w:rPr>
          <w:rFonts w:ascii="Calibri" w:hAnsi="Calibri" w:cs="Calibri"/>
          <w:lang w:val="en-US"/>
        </w:rPr>
        <w:t xml:space="preserve"> is an instrument that is describing the planned stakeholder consultation and engagement process for the Project, as well as, the grievance mechanism for people to raise any concerns about the Project activities. </w:t>
      </w:r>
    </w:p>
    <w:p w14:paraId="656AFA7D" w14:textId="77777777" w:rsidR="00961766" w:rsidRPr="00AB7D1E" w:rsidRDefault="00961766" w:rsidP="00961766">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Stakeholder refers to individuals or groups who are affected or likely to be affected by the project (</w:t>
      </w:r>
      <w:r w:rsidRPr="00AB7D1E">
        <w:rPr>
          <w:rFonts w:ascii="Calibri" w:hAnsi="Calibri" w:cs="Calibri"/>
          <w:b/>
          <w:bCs/>
          <w:lang w:val="en-US"/>
        </w:rPr>
        <w:t>project-affected parties</w:t>
      </w:r>
      <w:r w:rsidRPr="00AB7D1E">
        <w:rPr>
          <w:rFonts w:ascii="Calibri" w:hAnsi="Calibri" w:cs="Calibri"/>
          <w:lang w:val="en-US"/>
        </w:rPr>
        <w:t>) and may have an interest in the project (</w:t>
      </w:r>
      <w:r w:rsidRPr="00AB7D1E">
        <w:rPr>
          <w:rFonts w:ascii="Calibri" w:hAnsi="Calibri" w:cs="Calibri"/>
          <w:b/>
          <w:bCs/>
          <w:lang w:val="en-US"/>
        </w:rPr>
        <w:t>other interested parties</w:t>
      </w:r>
      <w:r w:rsidRPr="00AB7D1E">
        <w:rPr>
          <w:rFonts w:ascii="Calibri" w:hAnsi="Calibri" w:cs="Calibri"/>
          <w:lang w:val="en-US"/>
        </w:rPr>
        <w:t xml:space="preserve">). </w:t>
      </w:r>
    </w:p>
    <w:p w14:paraId="541887C4" w14:textId="4630C82E" w:rsidR="00961766" w:rsidRPr="00AB7D1E" w:rsidRDefault="00961766" w:rsidP="00961766">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t xml:space="preserve">The term “stakeholder engagement” is a way to describe a broader, more inclusive and continuous process between a project developer and those potentially affected by a </w:t>
      </w:r>
      <w:r w:rsidR="00FD6204" w:rsidRPr="00AB7D1E">
        <w:rPr>
          <w:rFonts w:ascii="Calibri" w:hAnsi="Calibri" w:cs="Calibri"/>
          <w:lang w:val="en-US"/>
        </w:rPr>
        <w:t>p</w:t>
      </w:r>
      <w:r w:rsidRPr="00AB7D1E">
        <w:rPr>
          <w:rFonts w:ascii="Calibri" w:hAnsi="Calibri" w:cs="Calibri"/>
          <w:lang w:val="en-US"/>
        </w:rPr>
        <w:t xml:space="preserve">rojects/(sub-) projects. </w:t>
      </w:r>
    </w:p>
    <w:p w14:paraId="4C1D5BCB" w14:textId="77777777" w:rsidR="00961766" w:rsidRPr="00AB7D1E" w:rsidRDefault="00961766" w:rsidP="00961766">
      <w:pPr>
        <w:suppressAutoHyphens w:val="0"/>
        <w:autoSpaceDN/>
        <w:spacing w:before="0" w:line="276" w:lineRule="auto"/>
        <w:textAlignment w:val="auto"/>
        <w:rPr>
          <w:rFonts w:ascii="Calibri" w:hAnsi="Calibri" w:cs="Calibri"/>
          <w:lang w:val="en-US"/>
        </w:rPr>
      </w:pPr>
      <w:r w:rsidRPr="00AB7D1E">
        <w:rPr>
          <w:rFonts w:ascii="Calibri" w:hAnsi="Calibri" w:cs="Calibri"/>
          <w:lang w:val="en-US"/>
        </w:rPr>
        <w:lastRenderedPageBreak/>
        <w:t xml:space="preserve">Stakeholder engagement can encompass a range of activities and approaches, including consultation, engagement, external relations, information disclosure and dissemination, and community participation. Stakeholder Identification and Analysis involves determining who the project stakeholders with more in-depth look at the interests of stakeholder groups, how they will be affected, and what influence they can have on a project. </w:t>
      </w:r>
      <w:r w:rsidRPr="00AB7D1E">
        <w:rPr>
          <w:rFonts w:ascii="Calibri" w:hAnsi="Calibri" w:cs="Calibri"/>
          <w:b/>
          <w:bCs/>
          <w:lang w:val="en-US"/>
        </w:rPr>
        <w:t>Grievance Mechanism and Management</w:t>
      </w:r>
      <w:r w:rsidRPr="00AB7D1E">
        <w:rPr>
          <w:rFonts w:ascii="Calibri" w:hAnsi="Calibri" w:cs="Calibri"/>
          <w:lang w:val="en-US"/>
        </w:rPr>
        <w:t xml:space="preserve"> must be part of it. </w:t>
      </w:r>
    </w:p>
    <w:p w14:paraId="102B7836" w14:textId="38738889" w:rsidR="001B588A" w:rsidRDefault="00961766" w:rsidP="00AB1E22">
      <w:pPr>
        <w:rPr>
          <w:b/>
          <w:bCs/>
          <w:lang w:val="en-US"/>
        </w:rPr>
      </w:pPr>
      <w:r w:rsidRPr="00AB7D1E">
        <w:rPr>
          <w:rFonts w:ascii="Calibri" w:hAnsi="Calibri" w:cs="Calibri"/>
          <w:lang w:val="en-US"/>
        </w:rPr>
        <w:t xml:space="preserve">The Initial Stakeholder Engagement Plan is prepared before project </w:t>
      </w:r>
      <w:proofErr w:type="gramStart"/>
      <w:r w:rsidRPr="00AB7D1E">
        <w:rPr>
          <w:rFonts w:ascii="Calibri" w:hAnsi="Calibri" w:cs="Calibri"/>
          <w:lang w:val="en-US"/>
        </w:rPr>
        <w:t>appraisal, and</w:t>
      </w:r>
      <w:proofErr w:type="gramEnd"/>
      <w:r w:rsidRPr="00AB7D1E">
        <w:rPr>
          <w:rFonts w:ascii="Calibri" w:hAnsi="Calibri" w:cs="Calibri"/>
          <w:lang w:val="en-US"/>
        </w:rPr>
        <w:t xml:space="preserve"> was disclosed on the </w:t>
      </w:r>
      <w:proofErr w:type="spellStart"/>
      <w:r w:rsidRPr="00AB7D1E">
        <w:rPr>
          <w:rFonts w:ascii="Calibri" w:hAnsi="Calibri" w:cs="Calibri"/>
          <w:lang w:val="en-US"/>
        </w:rPr>
        <w:t>MoPPCS</w:t>
      </w:r>
      <w:r w:rsidR="009C5DBA">
        <w:rPr>
          <w:rFonts w:ascii="Calibri" w:hAnsi="Calibri" w:cs="Calibri"/>
          <w:lang w:val="en-US"/>
        </w:rPr>
        <w:t>A</w:t>
      </w:r>
      <w:proofErr w:type="spellEnd"/>
      <w:r w:rsidRPr="00AB7D1E">
        <w:rPr>
          <w:rFonts w:ascii="Calibri" w:hAnsi="Calibri" w:cs="Calibri"/>
          <w:lang w:val="en-US"/>
        </w:rPr>
        <w:t xml:space="preserve"> and WB website on May 6, 2020. </w:t>
      </w:r>
      <w:r w:rsidRPr="00AB7D1E">
        <w:rPr>
          <w:b/>
          <w:bCs/>
          <w:lang w:val="en-US"/>
        </w:rPr>
        <w:t>It will be updated periodically as necessary.</w:t>
      </w:r>
    </w:p>
    <w:p w14:paraId="4349B108" w14:textId="77777777" w:rsidR="007C2007" w:rsidRDefault="007C2007" w:rsidP="00AB1E22">
      <w:pPr>
        <w:rPr>
          <w:b/>
          <w:bCs/>
          <w:lang w:val="en-US"/>
        </w:rPr>
      </w:pPr>
    </w:p>
    <w:p w14:paraId="00626CD4" w14:textId="289214BF" w:rsidR="00FD4DD1" w:rsidRDefault="00FD4DD1" w:rsidP="000604A8">
      <w:pPr>
        <w:pStyle w:val="Heading4"/>
        <w:rPr>
          <w:lang w:val="en-US"/>
        </w:rPr>
      </w:pPr>
      <w:bookmarkStart w:id="187" w:name="_Hlk51707639"/>
      <w:r w:rsidRPr="00FD4DD1">
        <w:rPr>
          <w:lang w:val="en-US"/>
        </w:rPr>
        <w:t>Environmental and Social Review (Step-by-Step}</w:t>
      </w:r>
    </w:p>
    <w:p w14:paraId="0D0D77C9" w14:textId="77EB706C"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For projects involving multiple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the World Bank requirements involve mandatory review of adequacy of local environmental and social requirements relevant for the subprojects, as well as assessment of the Borrower’s capacity to manage the environmental and social risks and impacts of such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particularly, Borrower’s capacity to (a) perform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screening; (b) ensure necessary specialists for conducting environmental and social assessment; (c) review findings of environmental and social assessment for individual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(d) implement mitigation measures; and (e) monitor environmental and social impact during project implementation. The WB requires appropriate environmental and social assessment of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is carried out, and prepare and implement such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projects, Substantial Risk, Moderate Risk and Low Risk subprojects, in accordance with national law and any requirement of the ESSs that the Bank deems relevant to such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 xml:space="preserve">projects by developing </w:t>
      </w:r>
      <w:r w:rsidRPr="00FD4DD1">
        <w:rPr>
          <w:rFonts w:ascii="Calibri" w:eastAsia="Times New Roman" w:hAnsi="Calibri" w:cs="Calibri"/>
          <w:b/>
          <w:bCs/>
          <w:u w:val="single"/>
          <w:lang w:val="en-GB" w:eastAsia="hr-HR"/>
        </w:rPr>
        <w:t>and following procedures to secure ESF and regulation compliant implementation</w:t>
      </w:r>
      <w:r w:rsidRPr="00FD4DD1">
        <w:rPr>
          <w:rFonts w:ascii="Calibri" w:eastAsia="Times New Roman" w:hAnsi="Calibri" w:cs="Calibri"/>
          <w:lang w:val="en-GB" w:eastAsia="hr-HR"/>
        </w:rPr>
        <w:t>. If necessary, the project may envisage measures to further strengthen Borrower’s capacities.</w:t>
      </w:r>
    </w:p>
    <w:p w14:paraId="58B910CA" w14:textId="501D8163"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b/>
          <w:bCs/>
          <w:lang w:val="en-GB" w:eastAsia="hr-HR"/>
        </w:rPr>
        <w:t>The PIU (PIU 1 for civil works for Component 1 and Component 2) and PIU – 2 for all activities under the Component 2, except civil works</w:t>
      </w:r>
      <w:r w:rsidRPr="00FD4DD1">
        <w:rPr>
          <w:rFonts w:ascii="Calibri" w:eastAsia="Times New Roman" w:hAnsi="Calibri" w:cs="Calibri"/>
          <w:lang w:val="en-GB" w:eastAsia="hr-HR"/>
        </w:rPr>
        <w:t>, will ensure, that environmental management is an integral part of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 planning, design, implementation, and operation and maintenance. The PIUs will screen, monitor and report on the environmental and social performance, national legislation and ESF compliance under each sub</w:t>
      </w:r>
      <w:r w:rsidR="005F4369">
        <w:rPr>
          <w:rFonts w:ascii="Calibri" w:eastAsia="Times New Roman" w:hAnsi="Calibri" w:cs="Calibri"/>
          <w:lang w:val="en-GB" w:eastAsia="hr-HR"/>
        </w:rPr>
        <w:t>-</w:t>
      </w:r>
      <w:r w:rsidRPr="00FD4DD1">
        <w:rPr>
          <w:rFonts w:ascii="Calibri" w:eastAsia="Times New Roman" w:hAnsi="Calibri" w:cs="Calibri"/>
          <w:lang w:val="en-GB" w:eastAsia="hr-HR"/>
        </w:rPr>
        <w:t>project ensure efficient application of measures as defined in site-specific management instruments including ESMF.</w:t>
      </w:r>
    </w:p>
    <w:p w14:paraId="4EC60D1E" w14:textId="3408420C"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Each sub</w:t>
      </w:r>
      <w:r w:rsidR="00181CA9">
        <w:rPr>
          <w:rFonts w:ascii="Calibri" w:eastAsia="Times New Roman" w:hAnsi="Calibri" w:cs="Calibri"/>
          <w:lang w:val="en-GB" w:eastAsia="hr-HR"/>
        </w:rPr>
        <w:t>-</w:t>
      </w:r>
      <w:r w:rsidRPr="00FD4DD1">
        <w:rPr>
          <w:rFonts w:ascii="Calibri" w:eastAsia="Times New Roman" w:hAnsi="Calibri" w:cs="Calibri"/>
          <w:lang w:val="en-GB" w:eastAsia="hr-HR"/>
        </w:rPr>
        <w:t>project and its activities must undergo environmental and social assessment compliant to this ESMF, and consequently the ESF integrating stakeholder engagement activities including consultation and feedback.</w:t>
      </w:r>
    </w:p>
    <w:p w14:paraId="1EF21BC8"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The Environmental and Social assessment will follow the 5 step Process to identify risks associated with specific sub-projects, screen out any high-risk activity, identify potential impacts and define measures aimed to prevent or minimize negative impacts and determine the type of management instrument required to meet the project standards.</w:t>
      </w:r>
    </w:p>
    <w:p w14:paraId="49206A69" w14:textId="3BDA85F9" w:rsidR="00FD4DD1" w:rsidRPr="009768DC" w:rsidRDefault="00FD4DD1" w:rsidP="009768DC">
      <w:pPr>
        <w:rPr>
          <w:b/>
          <w:bCs/>
          <w:lang w:val="en-GB" w:eastAsia="hr-HR"/>
        </w:rPr>
      </w:pPr>
      <w:bookmarkStart w:id="188" w:name="_Toc50353313"/>
      <w:r w:rsidRPr="009768DC">
        <w:rPr>
          <w:b/>
          <w:bCs/>
          <w:lang w:val="en-GB" w:eastAsia="hr-HR"/>
        </w:rPr>
        <w:t>STEP 1: Sub</w:t>
      </w:r>
      <w:r w:rsidR="00181CA9" w:rsidRPr="009768DC">
        <w:rPr>
          <w:b/>
          <w:bCs/>
          <w:lang w:val="en-GB" w:eastAsia="hr-HR"/>
        </w:rPr>
        <w:t>-</w:t>
      </w:r>
      <w:r w:rsidRPr="009768DC">
        <w:rPr>
          <w:b/>
          <w:bCs/>
          <w:lang w:val="en-GB" w:eastAsia="hr-HR"/>
        </w:rPr>
        <w:t>project screening and risk classification</w:t>
      </w:r>
      <w:bookmarkEnd w:id="188"/>
    </w:p>
    <w:p w14:paraId="7B9F294A" w14:textId="4D749D0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 xml:space="preserve">The Environmental and Social Screening Questionnaire (ESSQ) provided in </w:t>
      </w:r>
      <w:r w:rsidR="006C7F86">
        <w:rPr>
          <w:rFonts w:ascii="Calibri" w:eastAsia="Times New Roman" w:hAnsi="Calibri" w:cs="Calibri"/>
          <w:highlight w:val="yellow"/>
          <w:lang w:val="en-GB" w:eastAsia="hr-HR"/>
        </w:rPr>
        <w:fldChar w:fldCharType="begin"/>
      </w:r>
      <w:r w:rsidR="006C7F86">
        <w:rPr>
          <w:rFonts w:ascii="Calibri" w:eastAsia="Times New Roman" w:hAnsi="Calibri" w:cs="Calibri"/>
          <w:lang w:val="en-GB" w:eastAsia="hr-HR"/>
        </w:rPr>
        <w:instrText xml:space="preserve"> REF _Ref56950131 \h </w:instrText>
      </w:r>
      <w:r w:rsidR="006C7F86">
        <w:rPr>
          <w:rFonts w:ascii="Calibri" w:eastAsia="Times New Roman" w:hAnsi="Calibri" w:cs="Calibri"/>
          <w:highlight w:val="yellow"/>
          <w:lang w:val="en-GB" w:eastAsia="hr-HR"/>
        </w:rPr>
      </w:r>
      <w:r w:rsidR="006C7F86">
        <w:rPr>
          <w:rFonts w:ascii="Calibri" w:eastAsia="Times New Roman" w:hAnsi="Calibri" w:cs="Calibri"/>
          <w:highlight w:val="yellow"/>
          <w:lang w:val="en-GB" w:eastAsia="hr-HR"/>
        </w:rPr>
        <w:fldChar w:fldCharType="separate"/>
      </w:r>
      <w:r w:rsidR="007D1E1B">
        <w:t xml:space="preserve">ANNEX </w:t>
      </w:r>
      <w:r w:rsidR="007D1E1B">
        <w:rPr>
          <w:noProof/>
        </w:rPr>
        <w:t>VIII</w:t>
      </w:r>
      <w:r w:rsidR="006C7F86">
        <w:rPr>
          <w:rFonts w:ascii="Calibri" w:eastAsia="Times New Roman" w:hAnsi="Calibri" w:cs="Calibri"/>
          <w:highlight w:val="yellow"/>
          <w:lang w:val="en-GB" w:eastAsia="hr-HR"/>
        </w:rPr>
        <w:fldChar w:fldCharType="end"/>
      </w:r>
      <w:r w:rsidR="00CF02AA">
        <w:rPr>
          <w:rFonts w:ascii="Calibri" w:eastAsia="Times New Roman" w:hAnsi="Calibri" w:cs="Calibri"/>
          <w:lang w:val="en-GB" w:eastAsia="hr-HR"/>
        </w:rPr>
        <w:t xml:space="preserve"> </w:t>
      </w:r>
      <w:r w:rsidRPr="00FD4DD1">
        <w:rPr>
          <w:rFonts w:ascii="Calibri" w:eastAsia="Times New Roman" w:hAnsi="Calibri" w:cs="Calibri"/>
          <w:lang w:val="en-GB" w:eastAsia="hr-HR"/>
        </w:rPr>
        <w:t>contains questions about the project (type of the proposed activities – repair/rehabilitation, use of hazardous or toxic materials, impacts on protected areas, etc.)</w:t>
      </w:r>
    </w:p>
    <w:p w14:paraId="23FFF259"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lastRenderedPageBreak/>
        <w:t xml:space="preserve">Environmental and Social Screening Questionnaire is prepared by the PIUs under the guidance of the PIUs Environmental and Social Specialists (ESS). Once the ESSQ has been satisfactorily completed, the PIU and the ESS will submit the document and the E&amp;S Screening report to the WB. </w:t>
      </w:r>
    </w:p>
    <w:p w14:paraId="2D00FA8E" w14:textId="74D68ED3"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 xml:space="preserve">Screening according to the World Bank risk classification identifies that sub-projects under Component 2 are </w:t>
      </w:r>
      <w:r w:rsidRPr="00FD4DD1">
        <w:rPr>
          <w:rFonts w:ascii="Calibri" w:eastAsia="Times New Roman" w:hAnsi="Calibri" w:cs="Calibri"/>
          <w:b/>
          <w:bCs/>
          <w:lang w:val="en-GB" w:eastAsia="hr-HR"/>
        </w:rPr>
        <w:t xml:space="preserve">low </w:t>
      </w:r>
      <w:r w:rsidR="00EC1E07">
        <w:rPr>
          <w:rFonts w:ascii="Calibri" w:eastAsia="Times New Roman" w:hAnsi="Calibri" w:cs="Calibri"/>
          <w:b/>
          <w:bCs/>
          <w:lang w:val="en-GB" w:eastAsia="hr-HR"/>
        </w:rPr>
        <w:t xml:space="preserve">and </w:t>
      </w:r>
      <w:r w:rsidR="00EC1E07" w:rsidRPr="00FD4DD1">
        <w:rPr>
          <w:rFonts w:ascii="Calibri" w:eastAsia="Times New Roman" w:hAnsi="Calibri" w:cs="Calibri"/>
          <w:b/>
          <w:bCs/>
          <w:lang w:val="en-GB" w:eastAsia="hr-HR"/>
        </w:rPr>
        <w:t xml:space="preserve">moderate </w:t>
      </w:r>
      <w:r w:rsidRPr="00FD4DD1">
        <w:rPr>
          <w:rFonts w:ascii="Calibri" w:eastAsia="Times New Roman" w:hAnsi="Calibri" w:cs="Calibri"/>
          <w:b/>
          <w:bCs/>
          <w:lang w:val="en-GB" w:eastAsia="hr-HR"/>
        </w:rPr>
        <w:t>risk</w:t>
      </w:r>
      <w:r w:rsidRPr="00FD4DD1">
        <w:rPr>
          <w:rFonts w:ascii="Calibri" w:eastAsia="Times New Roman" w:hAnsi="Calibri" w:cs="Calibri"/>
          <w:lang w:val="en-GB" w:eastAsia="hr-HR"/>
        </w:rPr>
        <w:t>.</w:t>
      </w:r>
    </w:p>
    <w:p w14:paraId="1998D23C"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The ESSQ helps the ES specialist to determine the sub - project risk classification based on screening criteria and preliminary impact assessment.</w:t>
      </w:r>
    </w:p>
    <w:p w14:paraId="16C60790"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 xml:space="preserve">Determining risk will </w:t>
      </w:r>
      <w:proofErr w:type="gramStart"/>
      <w:r w:rsidRPr="00FD4DD1">
        <w:rPr>
          <w:rFonts w:ascii="Calibri" w:eastAsia="Times New Roman" w:hAnsi="Calibri" w:cs="Calibri"/>
          <w:lang w:val="en-GB" w:eastAsia="hr-HR"/>
        </w:rPr>
        <w:t>take into account</w:t>
      </w:r>
      <w:proofErr w:type="gramEnd"/>
      <w:r w:rsidRPr="00FD4DD1">
        <w:rPr>
          <w:rFonts w:ascii="Calibri" w:eastAsia="Times New Roman" w:hAnsi="Calibri" w:cs="Calibri"/>
          <w:lang w:val="en-GB" w:eastAsia="hr-HR"/>
        </w:rPr>
        <w:t xml:space="preserve"> relevant issues, such as the type, location, sensitivity, and scale of the project, etc.</w:t>
      </w:r>
    </w:p>
    <w:p w14:paraId="461CE8E4" w14:textId="77777777" w:rsidR="00FD4DD1" w:rsidRPr="00FD4DD1" w:rsidRDefault="00FD4DD1" w:rsidP="00FD4DD1">
      <w:pPr>
        <w:shd w:val="clear" w:color="auto" w:fill="FFFFFF"/>
        <w:suppressAutoHyphens w:val="0"/>
        <w:autoSpaceDN/>
        <w:spacing w:before="100" w:beforeAutospacing="1" w:after="100" w:afterAutospacing="1" w:line="240" w:lineRule="auto"/>
        <w:textAlignment w:val="auto"/>
        <w:rPr>
          <w:rFonts w:ascii="Calibri" w:eastAsia="Times New Roman" w:hAnsi="Calibri" w:cs="Calibri"/>
          <w:lang w:val="en-GB" w:eastAsia="hr-HR"/>
        </w:rPr>
      </w:pPr>
      <w:r w:rsidRPr="00FD4DD1">
        <w:rPr>
          <w:rFonts w:ascii="Calibri" w:eastAsia="Times New Roman" w:hAnsi="Calibri" w:cs="Calibri"/>
          <w:lang w:val="en-GB" w:eastAsia="hr-HR"/>
        </w:rPr>
        <w:t>The final decision requires endorsement of the World Bank.</w:t>
      </w:r>
    </w:p>
    <w:p w14:paraId="3DF87592" w14:textId="77777777" w:rsidR="0022599E" w:rsidRDefault="00FD4DD1" w:rsidP="009768DC">
      <w:pPr>
        <w:rPr>
          <w:lang w:val="en-US"/>
        </w:rPr>
      </w:pPr>
      <w:r w:rsidRPr="00FD4DD1">
        <w:rPr>
          <w:lang w:val="en-US"/>
        </w:rPr>
        <w:t>Before the assessment, PIU prepares a screening report, subject of the approval from WB Environmental and Social Specialists, who confirms the risk.</w:t>
      </w:r>
    </w:p>
    <w:p w14:paraId="7687122F" w14:textId="4FEC795B" w:rsidR="0020233C" w:rsidRPr="009768DC" w:rsidRDefault="0020233C" w:rsidP="009768DC">
      <w:pPr>
        <w:rPr>
          <w:b/>
          <w:bCs/>
          <w:lang w:val="en-GB" w:eastAsia="hr-HR"/>
        </w:rPr>
      </w:pPr>
      <w:r w:rsidRPr="009768DC">
        <w:rPr>
          <w:b/>
          <w:bCs/>
          <w:lang w:val="en-GB" w:eastAsia="hr-HR"/>
        </w:rPr>
        <w:t>STEP 2: Sub-Project Preparation</w:t>
      </w:r>
    </w:p>
    <w:p w14:paraId="36D19DD2" w14:textId="29F61A2B" w:rsidR="0020233C" w:rsidRPr="0020233C" w:rsidRDefault="0020233C" w:rsidP="0020233C">
      <w:pPr>
        <w:shd w:val="clear" w:color="auto" w:fill="FFFFFF"/>
        <w:suppressAutoHyphens w:val="0"/>
        <w:autoSpaceDN/>
        <w:spacing w:before="100" w:beforeAutospacing="1" w:after="100" w:afterAutospacing="1" w:line="240" w:lineRule="auto"/>
        <w:ind w:right="61"/>
        <w:textAlignment w:val="auto"/>
        <w:rPr>
          <w:rFonts w:ascii="Calibri" w:eastAsia="Times New Roman" w:hAnsi="Calibri" w:cs="Calibri"/>
          <w:lang w:val="en-GB" w:eastAsia="hr-HR"/>
        </w:rPr>
      </w:pPr>
      <w:r w:rsidRPr="0020233C">
        <w:rPr>
          <w:rFonts w:ascii="Calibri" w:eastAsia="Times New Roman" w:hAnsi="Calibri" w:cs="Calibri"/>
          <w:lang w:val="en-GB" w:eastAsia="hr-HR"/>
        </w:rPr>
        <w:t xml:space="preserve">The PIU prepares necessary documentation for </w:t>
      </w:r>
      <w:r w:rsidR="00D01F4C">
        <w:rPr>
          <w:rFonts w:ascii="Calibri" w:eastAsia="Times New Roman" w:hAnsi="Calibri" w:cs="Calibri"/>
          <w:lang w:val="en-GB" w:eastAsia="hr-HR"/>
        </w:rPr>
        <w:t>s</w:t>
      </w:r>
      <w:r w:rsidRPr="0020233C">
        <w:rPr>
          <w:rFonts w:ascii="Calibri" w:eastAsia="Times New Roman" w:hAnsi="Calibri" w:cs="Calibri"/>
          <w:lang w:val="en-GB" w:eastAsia="hr-HR"/>
        </w:rPr>
        <w:t>ub-</w:t>
      </w:r>
      <w:r w:rsidR="00D01F4C">
        <w:rPr>
          <w:rFonts w:ascii="Calibri" w:eastAsia="Times New Roman" w:hAnsi="Calibri" w:cs="Calibri"/>
          <w:lang w:val="en-GB" w:eastAsia="hr-HR"/>
        </w:rPr>
        <w:t>p</w:t>
      </w:r>
      <w:r w:rsidRPr="0020233C">
        <w:rPr>
          <w:rFonts w:ascii="Calibri" w:eastAsia="Times New Roman" w:hAnsi="Calibri" w:cs="Calibri"/>
          <w:lang w:val="en-GB" w:eastAsia="hr-HR"/>
        </w:rPr>
        <w:t>roject implementation including, Technical documentation, for the sub</w:t>
      </w:r>
      <w:r w:rsidR="00D01F4C">
        <w:rPr>
          <w:rFonts w:ascii="Calibri" w:eastAsia="Times New Roman" w:hAnsi="Calibri" w:cs="Calibri"/>
          <w:lang w:val="en-GB" w:eastAsia="hr-HR"/>
        </w:rPr>
        <w:t>-</w:t>
      </w:r>
      <w:r w:rsidRPr="0020233C">
        <w:rPr>
          <w:rFonts w:ascii="Calibri" w:eastAsia="Times New Roman" w:hAnsi="Calibri" w:cs="Calibri"/>
          <w:lang w:val="en-GB" w:eastAsia="hr-HR"/>
        </w:rPr>
        <w:t>project to be financed including the technical description of the sub</w:t>
      </w:r>
      <w:r w:rsidR="00D01F4C">
        <w:rPr>
          <w:rFonts w:ascii="Calibri" w:eastAsia="Times New Roman" w:hAnsi="Calibri" w:cs="Calibri"/>
          <w:lang w:val="en-GB" w:eastAsia="hr-HR"/>
        </w:rPr>
        <w:t>-</w:t>
      </w:r>
      <w:r w:rsidRPr="0020233C">
        <w:rPr>
          <w:rFonts w:ascii="Calibri" w:eastAsia="Times New Roman" w:hAnsi="Calibri" w:cs="Calibri"/>
          <w:lang w:val="en-GB" w:eastAsia="hr-HR"/>
        </w:rPr>
        <w:t>project, permits and approvals issued by competent bodies related to the implementation of the sub</w:t>
      </w:r>
      <w:r w:rsidR="00D01F4C">
        <w:rPr>
          <w:rFonts w:ascii="Calibri" w:eastAsia="Times New Roman" w:hAnsi="Calibri" w:cs="Calibri"/>
          <w:lang w:val="en-GB" w:eastAsia="hr-HR"/>
        </w:rPr>
        <w:t>-</w:t>
      </w:r>
      <w:r w:rsidRPr="0020233C">
        <w:rPr>
          <w:rFonts w:ascii="Calibri" w:eastAsia="Times New Roman" w:hAnsi="Calibri" w:cs="Calibri"/>
          <w:lang w:val="en-GB" w:eastAsia="hr-HR"/>
        </w:rPr>
        <w:t>project as well as the time schedule of works.</w:t>
      </w:r>
    </w:p>
    <w:p w14:paraId="4EABFBFF" w14:textId="0DF9B972" w:rsidR="0020233C" w:rsidRPr="009768DC" w:rsidRDefault="0020233C" w:rsidP="009768DC">
      <w:pPr>
        <w:rPr>
          <w:b/>
          <w:bCs/>
          <w:color w:val="2F5496"/>
          <w:lang w:val="en-GB" w:eastAsia="hr-HR"/>
        </w:rPr>
      </w:pPr>
      <w:bookmarkStart w:id="189" w:name="_Toc50353314"/>
      <w:r w:rsidRPr="009768DC">
        <w:rPr>
          <w:b/>
          <w:bCs/>
          <w:lang w:val="en-GB" w:eastAsia="hr-HR"/>
        </w:rPr>
        <w:t xml:space="preserve">STEP 3: Preparation and Disclosure of </w:t>
      </w:r>
      <w:r w:rsidR="008C3F73" w:rsidRPr="009768DC">
        <w:rPr>
          <w:b/>
          <w:bCs/>
          <w:lang w:val="en-GB" w:eastAsia="hr-HR"/>
        </w:rPr>
        <w:t>ESMP C</w:t>
      </w:r>
      <w:r w:rsidRPr="009768DC">
        <w:rPr>
          <w:b/>
          <w:bCs/>
          <w:lang w:val="en-GB" w:eastAsia="hr-HR"/>
        </w:rPr>
        <w:t>hecklist</w:t>
      </w:r>
      <w:r w:rsidR="0022599E">
        <w:rPr>
          <w:b/>
          <w:bCs/>
          <w:lang w:val="en-GB" w:eastAsia="hr-HR"/>
        </w:rPr>
        <w:t>, CHMP</w:t>
      </w:r>
      <w:r w:rsidRPr="009768DC">
        <w:rPr>
          <w:b/>
          <w:bCs/>
          <w:lang w:val="en-GB" w:eastAsia="hr-HR"/>
        </w:rPr>
        <w:t xml:space="preserve"> and public consultations</w:t>
      </w:r>
      <w:bookmarkEnd w:id="189"/>
      <w:r w:rsidR="00E4324C" w:rsidRPr="009768DC">
        <w:rPr>
          <w:b/>
          <w:bCs/>
          <w:lang w:val="en-GB" w:eastAsia="hr-HR"/>
        </w:rPr>
        <w:t xml:space="preserve"> and preparation of </w:t>
      </w:r>
      <w:r w:rsidR="00D1588C">
        <w:rPr>
          <w:b/>
          <w:bCs/>
          <w:lang w:val="en-GB" w:eastAsia="hr-HR"/>
        </w:rPr>
        <w:t>ICWMP</w:t>
      </w:r>
    </w:p>
    <w:p w14:paraId="3EDC1F8D" w14:textId="01A5FF76" w:rsidR="0022599E" w:rsidRDefault="0020233C" w:rsidP="0020233C">
      <w:pPr>
        <w:rPr>
          <w:rFonts w:ascii="Calibri" w:hAnsi="Calibri" w:cs="Calibri"/>
          <w:lang w:val="en-US"/>
        </w:rPr>
      </w:pPr>
      <w:r w:rsidRPr="0020233C">
        <w:rPr>
          <w:rFonts w:ascii="Calibri" w:hAnsi="Calibri" w:cs="Calibri"/>
          <w:lang w:val="en-US"/>
        </w:rPr>
        <w:t>Repair and rehabilitation works are expected to have small to medium environmental and social impacts, thus development of ESMP Checklists (</w:t>
      </w:r>
      <w:r w:rsidR="006C7F86">
        <w:rPr>
          <w:rFonts w:ascii="Calibri" w:hAnsi="Calibri" w:cs="Calibri"/>
          <w:highlight w:val="yellow"/>
          <w:lang w:val="en-US"/>
        </w:rPr>
        <w:fldChar w:fldCharType="begin"/>
      </w:r>
      <w:r w:rsidR="006C7F86">
        <w:rPr>
          <w:rFonts w:ascii="Calibri" w:hAnsi="Calibri" w:cs="Calibri"/>
          <w:lang w:val="en-US"/>
        </w:rPr>
        <w:instrText xml:space="preserve"> REF _Ref56949676 \h </w:instrText>
      </w:r>
      <w:r w:rsidR="006C7F86">
        <w:rPr>
          <w:rFonts w:ascii="Calibri" w:hAnsi="Calibri" w:cs="Calibri"/>
          <w:highlight w:val="yellow"/>
          <w:lang w:val="en-US"/>
        </w:rPr>
      </w:r>
      <w:r w:rsidR="006C7F86">
        <w:rPr>
          <w:rFonts w:ascii="Calibri" w:hAnsi="Calibri" w:cs="Calibri"/>
          <w:highlight w:val="yellow"/>
          <w:lang w:val="en-US"/>
        </w:rPr>
        <w:fldChar w:fldCharType="separate"/>
      </w:r>
      <w:r w:rsidR="007D1E1B">
        <w:t xml:space="preserve">ANNEX </w:t>
      </w:r>
      <w:r w:rsidR="007D1E1B">
        <w:rPr>
          <w:noProof/>
        </w:rPr>
        <w:t>IX</w:t>
      </w:r>
      <w:r w:rsidR="006C7F86">
        <w:rPr>
          <w:rFonts w:ascii="Calibri" w:hAnsi="Calibri" w:cs="Calibri"/>
          <w:highlight w:val="yellow"/>
          <w:lang w:val="en-US"/>
        </w:rPr>
        <w:fldChar w:fldCharType="end"/>
      </w:r>
      <w:r w:rsidRPr="0020233C">
        <w:rPr>
          <w:rFonts w:ascii="Calibri" w:hAnsi="Calibri" w:cs="Calibri"/>
          <w:lang w:val="en-US"/>
        </w:rPr>
        <w:t xml:space="preserve">) will be developed (no need for the full-scale ESIA). </w:t>
      </w:r>
      <w:r w:rsidR="0022599E" w:rsidRPr="0022599E">
        <w:rPr>
          <w:rFonts w:ascii="Calibri" w:hAnsi="Calibri" w:cs="Calibri"/>
          <w:lang w:val="en-US"/>
        </w:rPr>
        <w:t>Cultural heritage related risks will be addressed through the development of Cultural Heritage Management Plan (CHMP) and, where applicable, with integrated conditions obtained in opinions and permits of competent authorities for interventions into physical cultural heritage. CHMP annex to ESMP Checklist.</w:t>
      </w:r>
    </w:p>
    <w:p w14:paraId="36EF4DDD" w14:textId="470E4E64" w:rsidR="0020233C" w:rsidRDefault="0020233C" w:rsidP="0020233C">
      <w:pPr>
        <w:rPr>
          <w:rFonts w:ascii="Calibri" w:eastAsia="Times New Roman" w:hAnsi="Calibri" w:cs="Calibri"/>
          <w:lang w:val="en-GB" w:eastAsia="hr-HR"/>
        </w:rPr>
      </w:pPr>
      <w:r w:rsidRPr="0020233C">
        <w:rPr>
          <w:rFonts w:ascii="Calibri" w:hAnsi="Calibri" w:cs="Calibri"/>
          <w:lang w:val="en-US"/>
        </w:rPr>
        <w:t xml:space="preserve">A detailed Infection Control and Waste Management Plan (ICWMP) is described in </w:t>
      </w:r>
      <w:r w:rsidR="006C7F86">
        <w:rPr>
          <w:rFonts w:ascii="Calibri" w:hAnsi="Calibri" w:cs="Calibri"/>
          <w:lang w:val="en-US"/>
        </w:rPr>
        <w:fldChar w:fldCharType="begin"/>
      </w:r>
      <w:r w:rsidR="006C7F86">
        <w:rPr>
          <w:rFonts w:ascii="Calibri" w:hAnsi="Calibri" w:cs="Calibri"/>
          <w:lang w:val="en-US"/>
        </w:rPr>
        <w:instrText xml:space="preserve"> REF _Ref56949693 \h </w:instrText>
      </w:r>
      <w:r w:rsidR="006C7F86">
        <w:rPr>
          <w:rFonts w:ascii="Calibri" w:hAnsi="Calibri" w:cs="Calibri"/>
          <w:lang w:val="en-US"/>
        </w:rPr>
      </w:r>
      <w:r w:rsidR="006C7F86">
        <w:rPr>
          <w:rFonts w:ascii="Calibri" w:hAnsi="Calibri" w:cs="Calibri"/>
          <w:lang w:val="en-US"/>
        </w:rPr>
        <w:fldChar w:fldCharType="separate"/>
      </w:r>
      <w:r w:rsidR="007D1E1B">
        <w:t xml:space="preserve">ANNEX </w:t>
      </w:r>
      <w:r w:rsidR="007D1E1B">
        <w:rPr>
          <w:noProof/>
        </w:rPr>
        <w:t>XI</w:t>
      </w:r>
      <w:r w:rsidR="006C7F86">
        <w:rPr>
          <w:rFonts w:ascii="Calibri" w:hAnsi="Calibri" w:cs="Calibri"/>
          <w:lang w:val="en-US"/>
        </w:rPr>
        <w:fldChar w:fldCharType="end"/>
      </w:r>
      <w:r w:rsidRPr="0020233C">
        <w:rPr>
          <w:rFonts w:ascii="Calibri" w:hAnsi="Calibri" w:cs="Calibri"/>
          <w:lang w:val="en-US"/>
        </w:rPr>
        <w:t xml:space="preserve">, </w:t>
      </w:r>
      <w:r w:rsidR="004631FE">
        <w:rPr>
          <w:rFonts w:ascii="Calibri" w:hAnsi="Calibri" w:cs="Calibri"/>
          <w:lang w:val="en-US"/>
        </w:rPr>
        <w:t xml:space="preserve">and </w:t>
      </w:r>
      <w:r w:rsidRPr="0020233C">
        <w:rPr>
          <w:rFonts w:ascii="Calibri" w:hAnsi="Calibri" w:cs="Calibri"/>
          <w:lang w:val="en-US"/>
        </w:rPr>
        <w:t>will be prepared by healthcare facilities subject to Component 2</w:t>
      </w:r>
      <w:r w:rsidR="008C3F73">
        <w:rPr>
          <w:rFonts w:ascii="Calibri" w:hAnsi="Calibri" w:cs="Calibri"/>
          <w:lang w:val="en-US"/>
        </w:rPr>
        <w:t xml:space="preserve"> and regularly monitored by </w:t>
      </w:r>
      <w:proofErr w:type="spellStart"/>
      <w:r w:rsidR="008C3F73">
        <w:rPr>
          <w:rFonts w:ascii="Calibri" w:hAnsi="Calibri" w:cs="Calibri"/>
          <w:lang w:val="en-US"/>
        </w:rPr>
        <w:t>MoH</w:t>
      </w:r>
      <w:proofErr w:type="spellEnd"/>
      <w:r w:rsidR="00E4324C">
        <w:rPr>
          <w:rFonts w:ascii="Calibri" w:hAnsi="Calibri" w:cs="Calibri"/>
          <w:lang w:val="en-US"/>
        </w:rPr>
        <w:t xml:space="preserve"> PIU</w:t>
      </w:r>
      <w:r w:rsidRPr="0020233C">
        <w:rPr>
          <w:rFonts w:ascii="Calibri" w:hAnsi="Calibri" w:cs="Calibri"/>
          <w:lang w:val="en-US"/>
        </w:rPr>
        <w:t xml:space="preserve">. This </w:t>
      </w:r>
      <w:proofErr w:type="gramStart"/>
      <w:r w:rsidRPr="0020233C">
        <w:rPr>
          <w:rFonts w:ascii="Calibri" w:hAnsi="Calibri" w:cs="Calibri"/>
          <w:lang w:val="en-US"/>
        </w:rPr>
        <w:t>have to</w:t>
      </w:r>
      <w:proofErr w:type="gramEnd"/>
      <w:r w:rsidRPr="0020233C">
        <w:rPr>
          <w:rFonts w:ascii="Calibri" w:hAnsi="Calibri" w:cs="Calibri"/>
          <w:lang w:val="en-US"/>
        </w:rPr>
        <w:t xml:space="preserve"> be prepared </w:t>
      </w:r>
      <w:r w:rsidRPr="0020233C">
        <w:rPr>
          <w:rFonts w:ascii="Calibri" w:eastAsia="Times New Roman" w:hAnsi="Calibri" w:cs="Calibri"/>
          <w:lang w:val="en-GB" w:eastAsia="hr-HR"/>
        </w:rPr>
        <w:t>prior to bidding procedures, by the PIUs Environmental and Social Specialists, and shall be subject to review and approval of the WB.</w:t>
      </w:r>
    </w:p>
    <w:p w14:paraId="6BDD8025" w14:textId="1AD69A3D" w:rsidR="008C3F73" w:rsidRPr="008C3F73" w:rsidRDefault="008C3F73" w:rsidP="008C3F73">
      <w:pPr>
        <w:rPr>
          <w:rFonts w:ascii="Calibri" w:hAnsi="Calibri"/>
          <w:lang w:val="en-US"/>
        </w:rPr>
      </w:pPr>
      <w:r w:rsidRPr="008C3F73">
        <w:rPr>
          <w:rFonts w:ascii="Calibri" w:hAnsi="Calibri"/>
          <w:lang w:val="en-US"/>
        </w:rPr>
        <w:t xml:space="preserve">The Project Implementation Unit (PIU) within the </w:t>
      </w:r>
      <w:proofErr w:type="spellStart"/>
      <w:r w:rsidRPr="008C3F73">
        <w:rPr>
          <w:rFonts w:ascii="Calibri" w:hAnsi="Calibri"/>
          <w:lang w:val="en-US"/>
        </w:rPr>
        <w:t>MoH</w:t>
      </w:r>
      <w:proofErr w:type="spellEnd"/>
      <w:r w:rsidRPr="008C3F73">
        <w:rPr>
          <w:rFonts w:ascii="Calibri" w:hAnsi="Calibri"/>
          <w:lang w:val="en-US"/>
        </w:rPr>
        <w:t xml:space="preserve"> will include Environmental and Social (ES) Specialist responsible for the implementation of this ESMF, except for the implementation of civil works. The latter will be managed by the ES Specialist in the PIU set under the </w:t>
      </w:r>
      <w:proofErr w:type="spellStart"/>
      <w:r w:rsidRPr="008C3F73">
        <w:rPr>
          <w:rFonts w:ascii="Calibri" w:hAnsi="Calibri"/>
          <w:lang w:val="en-US"/>
        </w:rPr>
        <w:t>MoPPCSA</w:t>
      </w:r>
      <w:proofErr w:type="spellEnd"/>
      <w:r w:rsidRPr="008C3F73">
        <w:rPr>
          <w:rFonts w:ascii="Calibri" w:hAnsi="Calibri"/>
          <w:lang w:val="en-US"/>
        </w:rPr>
        <w:t xml:space="preserve"> also responsible for the implementation of the Component 1. </w:t>
      </w:r>
    </w:p>
    <w:p w14:paraId="2B8A0E6B" w14:textId="1988345F" w:rsidR="008C3F73" w:rsidRPr="008C3F73" w:rsidRDefault="008C3F73" w:rsidP="008C3F73">
      <w:pPr>
        <w:rPr>
          <w:rFonts w:ascii="Calibri" w:hAnsi="Calibri"/>
          <w:lang w:val="en-US"/>
        </w:rPr>
      </w:pPr>
      <w:r w:rsidRPr="008C3F73">
        <w:rPr>
          <w:rFonts w:ascii="Calibri" w:hAnsi="Calibri"/>
          <w:lang w:val="en-US"/>
        </w:rPr>
        <w:t xml:space="preserve">The ESMP checklists are to be prepared by an </w:t>
      </w:r>
      <w:proofErr w:type="spellStart"/>
      <w:r w:rsidRPr="008C3F73">
        <w:rPr>
          <w:rFonts w:ascii="Calibri" w:hAnsi="Calibri"/>
          <w:lang w:val="en-US"/>
        </w:rPr>
        <w:t>MoPPCSA</w:t>
      </w:r>
      <w:proofErr w:type="spellEnd"/>
      <w:r w:rsidRPr="008C3F73">
        <w:rPr>
          <w:rFonts w:ascii="Calibri" w:hAnsi="Calibri"/>
          <w:lang w:val="en-US"/>
        </w:rPr>
        <w:t xml:space="preserve"> ES specialists. They will decide, on a case-by-case basis on required ESS documentation. When confident that the document meets WB quality and content requirements ES specialist submits the draft documents for the review by the World Bank. After the approval is obtained, the documents must be publicly disclosed. Documents reflecting relevant comments obtained in the public consultations will be considered finalized. ESMP Checklists will constitute an integral part of bidding and contracting documentation for contractors. All </w:t>
      </w:r>
      <w:r w:rsidRPr="008C3F73">
        <w:rPr>
          <w:rFonts w:ascii="Calibri" w:hAnsi="Calibri"/>
          <w:lang w:val="en-US"/>
        </w:rPr>
        <w:lastRenderedPageBreak/>
        <w:t xml:space="preserve">documents need to be prepared in Croatian and English language. When satisfied with the quality of ESMP Checklists, the Bank may decide to perform only post review of these documents. </w:t>
      </w:r>
    </w:p>
    <w:p w14:paraId="6A57E5D3" w14:textId="45B8A2A2" w:rsidR="008C3F73" w:rsidRPr="00BD679B" w:rsidRDefault="008C3F73" w:rsidP="008C3F73">
      <w:pPr>
        <w:spacing w:after="60" w:line="240" w:lineRule="auto"/>
        <w:jc w:val="left"/>
        <w:rPr>
          <w:rFonts w:ascii="Calibri" w:hAnsi="Calibri" w:cs="Calibri"/>
          <w:color w:val="373545"/>
          <w:sz w:val="20"/>
          <w:szCs w:val="18"/>
          <w:lang w:val="en-US"/>
        </w:rPr>
      </w:pPr>
      <w:bookmarkStart w:id="190" w:name="_Toc56952719"/>
      <w:r w:rsidRPr="00BD679B">
        <w:rPr>
          <w:rFonts w:ascii="Calibri" w:hAnsi="Calibri"/>
          <w:color w:val="373545"/>
          <w:sz w:val="20"/>
          <w:szCs w:val="18"/>
          <w:lang w:val="en-US"/>
        </w:rPr>
        <w:t xml:space="preserve">Table </w:t>
      </w:r>
      <w:r w:rsidRPr="00BD679B">
        <w:rPr>
          <w:rFonts w:ascii="Calibri" w:hAnsi="Calibri"/>
          <w:color w:val="373545"/>
          <w:sz w:val="20"/>
          <w:szCs w:val="18"/>
          <w:lang w:val="en-US"/>
        </w:rPr>
        <w:fldChar w:fldCharType="begin"/>
      </w:r>
      <w:r w:rsidRPr="00BD679B">
        <w:rPr>
          <w:rFonts w:ascii="Calibri" w:hAnsi="Calibri"/>
          <w:color w:val="373545"/>
          <w:sz w:val="20"/>
          <w:szCs w:val="18"/>
          <w:lang w:val="en-US"/>
        </w:rPr>
        <w:instrText xml:space="preserve"> SEQ Table \* ARABIC </w:instrText>
      </w:r>
      <w:r w:rsidRPr="00BD679B">
        <w:rPr>
          <w:rFonts w:ascii="Calibri" w:hAnsi="Calibri"/>
          <w:color w:val="373545"/>
          <w:sz w:val="20"/>
          <w:szCs w:val="18"/>
          <w:lang w:val="en-US"/>
        </w:rPr>
        <w:fldChar w:fldCharType="separate"/>
      </w:r>
      <w:r w:rsidR="007D1E1B">
        <w:rPr>
          <w:rFonts w:ascii="Calibri" w:hAnsi="Calibri"/>
          <w:noProof/>
          <w:color w:val="373545"/>
          <w:sz w:val="20"/>
          <w:szCs w:val="18"/>
          <w:lang w:val="en-US"/>
        </w:rPr>
        <w:t>19</w:t>
      </w:r>
      <w:r w:rsidRPr="00BD679B">
        <w:rPr>
          <w:rFonts w:ascii="Calibri" w:hAnsi="Calibri"/>
          <w:color w:val="373545"/>
          <w:sz w:val="20"/>
          <w:szCs w:val="18"/>
          <w:lang w:val="en-US"/>
        </w:rPr>
        <w:fldChar w:fldCharType="end"/>
      </w:r>
      <w:r w:rsidRPr="00BD679B">
        <w:rPr>
          <w:rFonts w:ascii="Calibri" w:hAnsi="Calibri"/>
          <w:color w:val="373545"/>
          <w:sz w:val="20"/>
          <w:szCs w:val="18"/>
          <w:lang w:val="en-US"/>
        </w:rPr>
        <w:t>. Specific responsibilities for the identification, assessment and addressing environmental and social aspects of the project activities, by implementing body</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C3F73" w:rsidRPr="008C3F73" w14:paraId="6B16540E" w14:textId="77777777" w:rsidTr="0052241C">
        <w:trPr>
          <w:tblHeader/>
        </w:trPr>
        <w:tc>
          <w:tcPr>
            <w:tcW w:w="4508" w:type="dxa"/>
            <w:shd w:val="clear" w:color="auto" w:fill="CEDBE6"/>
          </w:tcPr>
          <w:p w14:paraId="4918D061" w14:textId="77777777" w:rsidR="008C3F73" w:rsidRPr="008C3F73" w:rsidRDefault="008C3F73" w:rsidP="008C3F73">
            <w:pPr>
              <w:spacing w:before="0" w:after="0" w:line="240" w:lineRule="auto"/>
              <w:jc w:val="center"/>
              <w:rPr>
                <w:rFonts w:ascii="Calibri" w:hAnsi="Calibri" w:cs="Calibri"/>
                <w:b/>
                <w:bCs/>
                <w:sz w:val="20"/>
                <w:szCs w:val="20"/>
                <w:lang w:val="en-US"/>
              </w:rPr>
            </w:pPr>
            <w:r w:rsidRPr="008C3F73">
              <w:rPr>
                <w:rFonts w:ascii="Calibri" w:hAnsi="Calibri" w:cs="Calibri"/>
                <w:b/>
                <w:bCs/>
                <w:sz w:val="20"/>
                <w:szCs w:val="20"/>
                <w:lang w:val="en-US"/>
              </w:rPr>
              <w:t>Responsibility</w:t>
            </w:r>
          </w:p>
        </w:tc>
        <w:tc>
          <w:tcPr>
            <w:tcW w:w="4508" w:type="dxa"/>
            <w:shd w:val="clear" w:color="auto" w:fill="CEDBE6"/>
          </w:tcPr>
          <w:p w14:paraId="57FEF553" w14:textId="77777777" w:rsidR="008C3F73" w:rsidRPr="008C3F73" w:rsidRDefault="008C3F73" w:rsidP="008C3F73">
            <w:pPr>
              <w:spacing w:before="0" w:after="0" w:line="240" w:lineRule="auto"/>
              <w:jc w:val="center"/>
              <w:rPr>
                <w:rFonts w:ascii="Calibri" w:hAnsi="Calibri" w:cs="Calibri"/>
                <w:b/>
                <w:bCs/>
                <w:sz w:val="20"/>
                <w:szCs w:val="20"/>
                <w:lang w:val="en-US"/>
              </w:rPr>
            </w:pPr>
            <w:r w:rsidRPr="008C3F73">
              <w:rPr>
                <w:rFonts w:ascii="Calibri" w:hAnsi="Calibri" w:cs="Calibri"/>
                <w:b/>
                <w:bCs/>
                <w:sz w:val="20"/>
                <w:szCs w:val="20"/>
                <w:lang w:val="en-US"/>
              </w:rPr>
              <w:t>Implementing body</w:t>
            </w:r>
          </w:p>
        </w:tc>
      </w:tr>
      <w:tr w:rsidR="008C3F73" w:rsidRPr="008C3F73" w14:paraId="1EA1EAF8" w14:textId="77777777" w:rsidTr="0052241C">
        <w:tc>
          <w:tcPr>
            <w:tcW w:w="4508" w:type="dxa"/>
            <w:shd w:val="clear" w:color="auto" w:fill="auto"/>
          </w:tcPr>
          <w:p w14:paraId="52A3944C" w14:textId="35B5E8A3"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Preparation of site-specific ESMP Checklists</w:t>
            </w:r>
            <w:r w:rsidR="0022599E">
              <w:rPr>
                <w:rFonts w:ascii="Calibri" w:hAnsi="Calibri" w:cs="Calibri"/>
                <w:sz w:val="20"/>
                <w:szCs w:val="20"/>
                <w:lang w:val="en-US"/>
              </w:rPr>
              <w:t xml:space="preserve"> and CHMP</w:t>
            </w:r>
          </w:p>
        </w:tc>
        <w:tc>
          <w:tcPr>
            <w:tcW w:w="4508" w:type="dxa"/>
            <w:shd w:val="clear" w:color="auto" w:fill="auto"/>
          </w:tcPr>
          <w:p w14:paraId="687D0126" w14:textId="77777777" w:rsidR="008C3F73" w:rsidRPr="008C3F73" w:rsidRDefault="008C3F73" w:rsidP="008C3F73">
            <w:pPr>
              <w:spacing w:before="0" w:after="0" w:line="240" w:lineRule="auto"/>
              <w:rPr>
                <w:rFonts w:ascii="Calibri" w:hAnsi="Calibri" w:cs="Calibri"/>
                <w:sz w:val="20"/>
                <w:szCs w:val="20"/>
                <w:lang w:val="en-US"/>
              </w:rPr>
            </w:pPr>
            <w:proofErr w:type="spellStart"/>
            <w:r w:rsidRPr="008C3F73">
              <w:rPr>
                <w:rFonts w:ascii="Calibri" w:hAnsi="Calibri" w:cs="Calibri"/>
                <w:sz w:val="20"/>
                <w:szCs w:val="20"/>
                <w:lang w:val="en-US"/>
              </w:rPr>
              <w:t>MoPPCSA</w:t>
            </w:r>
            <w:proofErr w:type="spellEnd"/>
            <w:r w:rsidRPr="008C3F73">
              <w:rPr>
                <w:rFonts w:ascii="Calibri" w:hAnsi="Calibri" w:cs="Calibri"/>
                <w:sz w:val="20"/>
                <w:szCs w:val="20"/>
                <w:lang w:val="en-US"/>
              </w:rPr>
              <w:t xml:space="preserve"> PIU </w:t>
            </w:r>
          </w:p>
        </w:tc>
      </w:tr>
      <w:tr w:rsidR="008C3F73" w:rsidRPr="008C3F73" w14:paraId="4F54651C" w14:textId="77777777" w:rsidTr="0052241C">
        <w:tc>
          <w:tcPr>
            <w:tcW w:w="4508" w:type="dxa"/>
            <w:shd w:val="clear" w:color="auto" w:fill="auto"/>
          </w:tcPr>
          <w:p w14:paraId="44BFEF9B" w14:textId="14100F3E"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Review and approval of site-specific ESMP Checklists</w:t>
            </w:r>
            <w:r w:rsidR="0022599E">
              <w:rPr>
                <w:rFonts w:ascii="Calibri" w:hAnsi="Calibri" w:cs="Calibri"/>
                <w:sz w:val="20"/>
                <w:szCs w:val="20"/>
                <w:lang w:val="en-US"/>
              </w:rPr>
              <w:t xml:space="preserve"> and CHMP</w:t>
            </w:r>
          </w:p>
        </w:tc>
        <w:tc>
          <w:tcPr>
            <w:tcW w:w="4508" w:type="dxa"/>
            <w:shd w:val="clear" w:color="auto" w:fill="auto"/>
          </w:tcPr>
          <w:p w14:paraId="1257DA0A"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WB</w:t>
            </w:r>
          </w:p>
        </w:tc>
      </w:tr>
      <w:tr w:rsidR="008C3F73" w:rsidRPr="008C3F73" w14:paraId="77E51538" w14:textId="77777777" w:rsidTr="0052241C">
        <w:tc>
          <w:tcPr>
            <w:tcW w:w="4508" w:type="dxa"/>
            <w:shd w:val="clear" w:color="auto" w:fill="auto"/>
          </w:tcPr>
          <w:p w14:paraId="73B7B4D7" w14:textId="463C2896"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Integration of site-specific ESMP Checklists</w:t>
            </w:r>
            <w:r w:rsidR="0022599E">
              <w:rPr>
                <w:rFonts w:ascii="Calibri" w:hAnsi="Calibri" w:cs="Calibri"/>
                <w:sz w:val="20"/>
                <w:szCs w:val="20"/>
                <w:lang w:val="en-US"/>
              </w:rPr>
              <w:t xml:space="preserve"> and CHMP</w:t>
            </w:r>
            <w:r w:rsidRPr="008C3F73">
              <w:rPr>
                <w:rFonts w:ascii="Calibri" w:hAnsi="Calibri" w:cs="Calibri"/>
                <w:sz w:val="20"/>
                <w:szCs w:val="20"/>
                <w:lang w:val="en-US"/>
              </w:rPr>
              <w:t xml:space="preserve"> into Bidding Documents and respective Contracts</w:t>
            </w:r>
          </w:p>
        </w:tc>
        <w:tc>
          <w:tcPr>
            <w:tcW w:w="4508" w:type="dxa"/>
            <w:shd w:val="clear" w:color="auto" w:fill="auto"/>
          </w:tcPr>
          <w:p w14:paraId="69A19BDB" w14:textId="77777777" w:rsidR="008C3F73" w:rsidRPr="008C3F73" w:rsidRDefault="008C3F73" w:rsidP="008C3F73">
            <w:pPr>
              <w:spacing w:before="0" w:after="0" w:line="240" w:lineRule="auto"/>
              <w:rPr>
                <w:rFonts w:ascii="Calibri" w:hAnsi="Calibri" w:cs="Calibri"/>
                <w:sz w:val="20"/>
                <w:szCs w:val="20"/>
                <w:lang w:val="en-US"/>
              </w:rPr>
            </w:pPr>
            <w:proofErr w:type="spellStart"/>
            <w:r w:rsidRPr="008C3F73">
              <w:rPr>
                <w:rFonts w:ascii="Calibri" w:hAnsi="Calibri" w:cs="Calibri"/>
                <w:sz w:val="20"/>
                <w:szCs w:val="20"/>
                <w:lang w:val="en-US"/>
              </w:rPr>
              <w:t>MoPPCSA</w:t>
            </w:r>
            <w:proofErr w:type="spellEnd"/>
            <w:r w:rsidRPr="008C3F73">
              <w:rPr>
                <w:rFonts w:ascii="Calibri" w:hAnsi="Calibri" w:cs="Calibri"/>
                <w:sz w:val="20"/>
                <w:szCs w:val="20"/>
                <w:lang w:val="en-US"/>
              </w:rPr>
              <w:t xml:space="preserve"> PIU</w:t>
            </w:r>
          </w:p>
        </w:tc>
      </w:tr>
      <w:tr w:rsidR="008C3F73" w:rsidRPr="008C3F73" w14:paraId="580FF82E" w14:textId="77777777" w:rsidTr="0052241C">
        <w:tc>
          <w:tcPr>
            <w:tcW w:w="4508" w:type="dxa"/>
            <w:shd w:val="clear" w:color="auto" w:fill="auto"/>
          </w:tcPr>
          <w:p w14:paraId="2A6BFE6E" w14:textId="7702377D"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Execution of site-specific ESMPs Checklists</w:t>
            </w:r>
            <w:r w:rsidR="0022599E">
              <w:rPr>
                <w:rFonts w:ascii="Calibri" w:hAnsi="Calibri" w:cs="Calibri"/>
                <w:sz w:val="20"/>
                <w:szCs w:val="20"/>
                <w:lang w:val="en-US"/>
              </w:rPr>
              <w:t xml:space="preserve"> and CHMP</w:t>
            </w:r>
          </w:p>
        </w:tc>
        <w:tc>
          <w:tcPr>
            <w:tcW w:w="4508" w:type="dxa"/>
            <w:shd w:val="clear" w:color="auto" w:fill="auto"/>
          </w:tcPr>
          <w:p w14:paraId="0C0C89D2"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 xml:space="preserve">Respective Contractor(s) and </w:t>
            </w:r>
            <w:proofErr w:type="spellStart"/>
            <w:r w:rsidRPr="008C3F73">
              <w:rPr>
                <w:rFonts w:ascii="Calibri" w:hAnsi="Calibri" w:cs="Calibri"/>
                <w:sz w:val="20"/>
                <w:szCs w:val="20"/>
                <w:lang w:val="en-US"/>
              </w:rPr>
              <w:t>MoPPCSA</w:t>
            </w:r>
            <w:proofErr w:type="spellEnd"/>
            <w:r w:rsidRPr="008C3F73">
              <w:rPr>
                <w:rFonts w:ascii="Calibri" w:hAnsi="Calibri" w:cs="Calibri"/>
                <w:sz w:val="20"/>
                <w:szCs w:val="20"/>
                <w:lang w:val="en-US"/>
              </w:rPr>
              <w:t xml:space="preserve"> PIU</w:t>
            </w:r>
          </w:p>
        </w:tc>
      </w:tr>
      <w:tr w:rsidR="008C3F73" w:rsidRPr="008C3F73" w14:paraId="6AA51380" w14:textId="77777777" w:rsidTr="0052241C">
        <w:tc>
          <w:tcPr>
            <w:tcW w:w="4508" w:type="dxa"/>
            <w:shd w:val="clear" w:color="auto" w:fill="auto"/>
          </w:tcPr>
          <w:p w14:paraId="77B0F412" w14:textId="5B038F61"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Monitoring and reporting of compliance with ESMF and site-specific ESMP Checklists</w:t>
            </w:r>
            <w:r w:rsidR="0022599E">
              <w:rPr>
                <w:rFonts w:ascii="Calibri" w:hAnsi="Calibri" w:cs="Calibri"/>
                <w:sz w:val="20"/>
                <w:szCs w:val="20"/>
                <w:lang w:val="en-US"/>
              </w:rPr>
              <w:t xml:space="preserve"> and CHMP</w:t>
            </w:r>
          </w:p>
        </w:tc>
        <w:tc>
          <w:tcPr>
            <w:tcW w:w="4508" w:type="dxa"/>
            <w:shd w:val="clear" w:color="auto" w:fill="auto"/>
          </w:tcPr>
          <w:p w14:paraId="5A903DF0" w14:textId="77777777" w:rsidR="008C3F73" w:rsidRPr="008C3F73" w:rsidRDefault="008C3F73" w:rsidP="008C3F73">
            <w:pPr>
              <w:spacing w:before="0" w:after="0" w:line="240" w:lineRule="auto"/>
              <w:rPr>
                <w:rFonts w:ascii="Calibri" w:hAnsi="Calibri" w:cs="Calibri"/>
                <w:sz w:val="20"/>
                <w:szCs w:val="20"/>
                <w:lang w:val="en-US"/>
              </w:rPr>
            </w:pPr>
            <w:proofErr w:type="spellStart"/>
            <w:r w:rsidRPr="008C3F73">
              <w:rPr>
                <w:rFonts w:ascii="Calibri" w:hAnsi="Calibri" w:cs="Calibri"/>
                <w:sz w:val="20"/>
                <w:szCs w:val="20"/>
                <w:lang w:val="en-US"/>
              </w:rPr>
              <w:t>MoPPCSA</w:t>
            </w:r>
            <w:proofErr w:type="spellEnd"/>
            <w:r w:rsidRPr="008C3F73">
              <w:rPr>
                <w:rFonts w:ascii="Calibri" w:hAnsi="Calibri" w:cs="Calibri"/>
                <w:sz w:val="20"/>
                <w:szCs w:val="20"/>
                <w:lang w:val="en-US"/>
              </w:rPr>
              <w:t xml:space="preserve"> PIU and supervising engineer</w:t>
            </w:r>
          </w:p>
        </w:tc>
      </w:tr>
      <w:tr w:rsidR="008C3F73" w:rsidRPr="008C3F73" w14:paraId="17DB1AAE" w14:textId="77777777" w:rsidTr="0052241C">
        <w:tc>
          <w:tcPr>
            <w:tcW w:w="4508" w:type="dxa"/>
            <w:shd w:val="clear" w:color="auto" w:fill="auto"/>
          </w:tcPr>
          <w:p w14:paraId="59EA043E" w14:textId="77777777" w:rsidR="008C3F73" w:rsidRPr="008C3F73" w:rsidRDefault="008C3F73" w:rsidP="008C3F73">
            <w:pPr>
              <w:spacing w:before="0" w:after="0" w:line="240" w:lineRule="auto"/>
              <w:rPr>
                <w:rFonts w:ascii="Calibri" w:hAnsi="Calibri" w:cs="Calibri"/>
                <w:sz w:val="20"/>
                <w:szCs w:val="20"/>
                <w:lang w:val="en-US"/>
              </w:rPr>
            </w:pPr>
            <w:r w:rsidRPr="008C3F73">
              <w:rPr>
                <w:rFonts w:ascii="Calibri" w:hAnsi="Calibri" w:cs="Calibri"/>
                <w:sz w:val="20"/>
                <w:szCs w:val="20"/>
                <w:lang w:val="en-US"/>
              </w:rPr>
              <w:t>Reporting compliance to WB</w:t>
            </w:r>
          </w:p>
        </w:tc>
        <w:tc>
          <w:tcPr>
            <w:tcW w:w="4508" w:type="dxa"/>
            <w:shd w:val="clear" w:color="auto" w:fill="auto"/>
          </w:tcPr>
          <w:p w14:paraId="01B1AA33" w14:textId="77777777" w:rsidR="008C3F73" w:rsidRPr="008C3F73" w:rsidRDefault="008C3F73" w:rsidP="008C3F73">
            <w:pPr>
              <w:spacing w:before="0" w:after="0" w:line="240" w:lineRule="auto"/>
              <w:rPr>
                <w:rFonts w:ascii="Calibri" w:hAnsi="Calibri" w:cs="Calibri"/>
                <w:sz w:val="20"/>
                <w:szCs w:val="20"/>
                <w:lang w:val="en-US"/>
              </w:rPr>
            </w:pPr>
            <w:proofErr w:type="spellStart"/>
            <w:r w:rsidRPr="008C3F73">
              <w:rPr>
                <w:rFonts w:ascii="Calibri" w:hAnsi="Calibri" w:cs="Calibri"/>
                <w:sz w:val="20"/>
                <w:szCs w:val="20"/>
                <w:lang w:val="en-US"/>
              </w:rPr>
              <w:t>MoPPCSA</w:t>
            </w:r>
            <w:proofErr w:type="spellEnd"/>
            <w:r w:rsidRPr="008C3F73">
              <w:rPr>
                <w:rFonts w:ascii="Calibri" w:hAnsi="Calibri" w:cs="Calibri"/>
                <w:sz w:val="20"/>
                <w:szCs w:val="20"/>
                <w:lang w:val="en-US"/>
              </w:rPr>
              <w:t xml:space="preserve"> PIU</w:t>
            </w:r>
          </w:p>
        </w:tc>
      </w:tr>
    </w:tbl>
    <w:p w14:paraId="158AE42A" w14:textId="7777777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 xml:space="preserve">Public consultation and engagement are covered in national legislation, including the right to address petitions, request information on projects carried by public bodies, consultation of </w:t>
      </w:r>
      <w:proofErr w:type="spellStart"/>
      <w:r w:rsidRPr="00D1588C">
        <w:rPr>
          <w:rFonts w:ascii="Calibri" w:eastAsia="Times New Roman" w:hAnsi="Calibri" w:cs="Calibri"/>
          <w:lang w:val="en-GB" w:eastAsia="hr-HR"/>
        </w:rPr>
        <w:t>neighbors</w:t>
      </w:r>
      <w:proofErr w:type="spellEnd"/>
      <w:r w:rsidRPr="00D1588C">
        <w:rPr>
          <w:rFonts w:ascii="Calibri" w:eastAsia="Times New Roman" w:hAnsi="Calibri" w:cs="Calibri"/>
          <w:lang w:val="en-GB" w:eastAsia="hr-HR"/>
        </w:rPr>
        <w:t xml:space="preserve"> and communities, etc. Additionally, the processes for reaching and informing potentially impacted persons and communities will be amended by WB principles, and by engaging actively with these persons/groups, especially with vulnerable groups where such situations will surface. </w:t>
      </w:r>
    </w:p>
    <w:p w14:paraId="0C5FE0AC" w14:textId="7777777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 xml:space="preserve">These aspects are dealt in the current document, under the provisions for Grievance Redress Mechanism, Public Consultation and Social Risk mitigation measures </w:t>
      </w:r>
      <w:proofErr w:type="gramStart"/>
      <w:r w:rsidRPr="00D1588C">
        <w:rPr>
          <w:rFonts w:ascii="Calibri" w:eastAsia="Times New Roman" w:hAnsi="Calibri" w:cs="Calibri"/>
          <w:lang w:val="en-GB" w:eastAsia="hr-HR"/>
        </w:rPr>
        <w:t>and also</w:t>
      </w:r>
      <w:proofErr w:type="gramEnd"/>
      <w:r w:rsidRPr="00D1588C">
        <w:rPr>
          <w:rFonts w:ascii="Calibri" w:eastAsia="Times New Roman" w:hAnsi="Calibri" w:cs="Calibri"/>
          <w:lang w:val="en-GB" w:eastAsia="hr-HR"/>
        </w:rPr>
        <w:t xml:space="preserve"> through SEP.</w:t>
      </w:r>
    </w:p>
    <w:p w14:paraId="553AEFEA" w14:textId="7777777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Employees within PIU -1- and PIU-2 will be responsible for publishing the documents to the public and introducing the public in the whole process of project realization.</w:t>
      </w:r>
    </w:p>
    <w:p w14:paraId="5112BE25" w14:textId="7AAB85D7" w:rsidR="0020233C" w:rsidRPr="0020233C" w:rsidRDefault="0020233C" w:rsidP="00BE60A0">
      <w:pPr>
        <w:numPr>
          <w:ilvl w:val="0"/>
          <w:numId w:val="32"/>
        </w:numPr>
        <w:suppressAutoHyphens w:val="0"/>
        <w:autoSpaceDN/>
        <w:spacing w:before="0" w:after="0" w:line="240" w:lineRule="auto"/>
        <w:contextualSpacing/>
        <w:jc w:val="left"/>
        <w:textAlignment w:val="auto"/>
        <w:rPr>
          <w:rFonts w:ascii="Calibri" w:hAnsi="Calibri" w:cs="Calibri"/>
          <w:lang w:val="en-US" w:eastAsia="es-ES" w:bidi="en-US"/>
        </w:rPr>
      </w:pPr>
      <w:r w:rsidRPr="0020233C">
        <w:rPr>
          <w:rFonts w:ascii="Calibri" w:eastAsia="Times New Roman" w:hAnsi="Calibri" w:cs="Calibri"/>
          <w:b/>
          <w:bCs/>
          <w:lang w:val="en-US" w:eastAsia="es-ES" w:bidi="en-US"/>
        </w:rPr>
        <w:t>Disclosure package for Draft ESMP Checklist</w:t>
      </w:r>
      <w:r w:rsidR="0022599E">
        <w:rPr>
          <w:rFonts w:ascii="Calibri" w:eastAsia="Times New Roman" w:hAnsi="Calibri" w:cs="Calibri"/>
          <w:b/>
          <w:bCs/>
          <w:lang w:val="en-US" w:eastAsia="es-ES" w:bidi="en-US"/>
        </w:rPr>
        <w:t>/CHMP</w:t>
      </w:r>
      <w:r w:rsidRPr="0020233C">
        <w:rPr>
          <w:rFonts w:ascii="Calibri" w:eastAsia="Times New Roman" w:hAnsi="Calibri" w:cs="Calibri"/>
          <w:lang w:val="en-US" w:eastAsia="es-ES" w:bidi="en-US"/>
        </w:rPr>
        <w:t xml:space="preserve"> will include the following documents: </w:t>
      </w:r>
      <w:r w:rsidRPr="0020233C">
        <w:rPr>
          <w:rFonts w:ascii="Calibri" w:hAnsi="Calibri" w:cs="Calibri"/>
          <w:lang w:val="en-US" w:eastAsia="es-ES" w:bidi="en-US"/>
        </w:rPr>
        <w:t xml:space="preserve">Public announcement for organization of the public disclosure containing the call for comments, Draft version of ESMP Checklist developed for each sub-project –Form for submitting comments and suggestions, Grievance form. </w:t>
      </w:r>
    </w:p>
    <w:p w14:paraId="6EB578D0" w14:textId="56E4F1C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 xml:space="preserve">The disclosure package will be publicly available on the website of the </w:t>
      </w:r>
      <w:proofErr w:type="spellStart"/>
      <w:r w:rsidRPr="00D1588C">
        <w:rPr>
          <w:rFonts w:ascii="Calibri" w:eastAsia="Times New Roman" w:hAnsi="Calibri" w:cs="Calibri"/>
          <w:lang w:val="en-GB" w:eastAsia="hr-HR"/>
        </w:rPr>
        <w:t>MoPPCS</w:t>
      </w:r>
      <w:r w:rsidR="004631FE" w:rsidRPr="00D1588C">
        <w:rPr>
          <w:rFonts w:ascii="Calibri" w:eastAsia="Times New Roman" w:hAnsi="Calibri" w:cs="Calibri"/>
          <w:lang w:val="en-GB" w:eastAsia="hr-HR"/>
        </w:rPr>
        <w:t>A</w:t>
      </w:r>
      <w:proofErr w:type="spellEnd"/>
      <w:r w:rsidRPr="00D1588C">
        <w:rPr>
          <w:rFonts w:ascii="Calibri" w:eastAsia="Times New Roman" w:hAnsi="Calibri" w:cs="Calibri"/>
          <w:lang w:val="en-GB" w:eastAsia="hr-HR"/>
        </w:rPr>
        <w:t xml:space="preserve"> (</w:t>
      </w:r>
      <w:hyperlink r:id="rId57" w:history="1">
        <w:r w:rsidRPr="00D1588C">
          <w:rPr>
            <w:rFonts w:ascii="Calibri" w:eastAsia="Times New Roman" w:hAnsi="Calibri" w:cs="Calibri"/>
            <w:lang w:val="en-GB" w:eastAsia="hr-HR"/>
          </w:rPr>
          <w:t>https://mgipu.gov.hr/</w:t>
        </w:r>
      </w:hyperlink>
      <w:r w:rsidRPr="00D1588C">
        <w:rPr>
          <w:rFonts w:ascii="Calibri" w:eastAsia="Times New Roman" w:hAnsi="Calibri" w:cs="Calibri"/>
          <w:lang w:val="en-GB" w:eastAsia="hr-HR"/>
        </w:rPr>
        <w:t xml:space="preserve">) and website of the </w:t>
      </w:r>
      <w:proofErr w:type="spellStart"/>
      <w:r w:rsidRPr="00D1588C">
        <w:rPr>
          <w:rFonts w:ascii="Calibri" w:eastAsia="Times New Roman" w:hAnsi="Calibri" w:cs="Calibri"/>
          <w:lang w:val="en-GB" w:eastAsia="hr-HR"/>
        </w:rPr>
        <w:t>MoH</w:t>
      </w:r>
      <w:proofErr w:type="spellEnd"/>
      <w:r w:rsidRPr="00D1588C">
        <w:rPr>
          <w:rFonts w:ascii="Calibri" w:eastAsia="Times New Roman" w:hAnsi="Calibri" w:cs="Calibri"/>
          <w:lang w:val="en-GB" w:eastAsia="hr-HR"/>
        </w:rPr>
        <w:t xml:space="preserve"> (</w:t>
      </w:r>
      <w:hyperlink r:id="rId58" w:history="1">
        <w:r w:rsidRPr="00D1588C">
          <w:rPr>
            <w:rFonts w:ascii="Calibri" w:eastAsia="Times New Roman" w:hAnsi="Calibri" w:cs="Calibri"/>
            <w:lang w:val="en-GB" w:eastAsia="hr-HR"/>
          </w:rPr>
          <w:t>https://zdravlje.gov.hr/</w:t>
        </w:r>
      </w:hyperlink>
      <w:r w:rsidRPr="00D1588C">
        <w:rPr>
          <w:rFonts w:ascii="Calibri" w:eastAsia="Times New Roman" w:hAnsi="Calibri" w:cs="Calibri"/>
          <w:lang w:val="en-GB" w:eastAsia="hr-HR"/>
        </w:rPr>
        <w:t xml:space="preserve">). Hard copies will be available in </w:t>
      </w:r>
      <w:proofErr w:type="spellStart"/>
      <w:r w:rsidRPr="00D1588C">
        <w:rPr>
          <w:rFonts w:ascii="Calibri" w:eastAsia="Times New Roman" w:hAnsi="Calibri" w:cs="Calibri"/>
          <w:lang w:val="en-GB" w:eastAsia="hr-HR"/>
        </w:rPr>
        <w:t>MoPPCSA</w:t>
      </w:r>
      <w:proofErr w:type="spellEnd"/>
      <w:r w:rsidRPr="00D1588C">
        <w:rPr>
          <w:rFonts w:ascii="Calibri" w:eastAsia="Times New Roman" w:hAnsi="Calibri" w:cs="Calibri"/>
          <w:lang w:val="en-GB" w:eastAsia="hr-HR"/>
        </w:rPr>
        <w:t xml:space="preserve"> and </w:t>
      </w:r>
      <w:proofErr w:type="spellStart"/>
      <w:r w:rsidRPr="00D1588C">
        <w:rPr>
          <w:rFonts w:ascii="Calibri" w:eastAsia="Times New Roman" w:hAnsi="Calibri" w:cs="Calibri"/>
          <w:lang w:val="en-GB" w:eastAsia="hr-HR"/>
        </w:rPr>
        <w:t>MoH</w:t>
      </w:r>
      <w:proofErr w:type="spellEnd"/>
      <w:r w:rsidRPr="00D1588C">
        <w:rPr>
          <w:rFonts w:ascii="Calibri" w:eastAsia="Times New Roman" w:hAnsi="Calibri" w:cs="Calibri"/>
          <w:lang w:val="en-GB" w:eastAsia="hr-HR"/>
        </w:rPr>
        <w:t xml:space="preserve">. </w:t>
      </w:r>
    </w:p>
    <w:p w14:paraId="7526F955" w14:textId="77777777" w:rsidR="0020233C" w:rsidRPr="00D1588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Form for submitting comments and suggestions, Grievance form will be ensured.</w:t>
      </w:r>
    </w:p>
    <w:p w14:paraId="73381E86" w14:textId="53BE6C41" w:rsidR="0020233C" w:rsidRPr="0020233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D1588C">
        <w:rPr>
          <w:rFonts w:ascii="Calibri" w:eastAsia="Times New Roman" w:hAnsi="Calibri" w:cs="Calibri"/>
          <w:lang w:val="en-GB" w:eastAsia="hr-HR"/>
        </w:rPr>
        <w:t>All comments from the public will be addressed and if needed reflected in the ESMPs checklist.</w:t>
      </w:r>
    </w:p>
    <w:p w14:paraId="4AF7E334" w14:textId="69D76D85" w:rsidR="0020233C" w:rsidRPr="0020233C" w:rsidRDefault="0020233C" w:rsidP="00D1588C">
      <w:pPr>
        <w:shd w:val="clear" w:color="auto" w:fill="FFFFFF"/>
        <w:suppressAutoHyphens w:val="0"/>
        <w:autoSpaceDN/>
        <w:spacing w:line="21" w:lineRule="atLeast"/>
        <w:ind w:right="58"/>
        <w:textAlignment w:val="auto"/>
        <w:rPr>
          <w:rFonts w:ascii="Calibri" w:eastAsia="SimSun" w:hAnsi="Calibri" w:cs="Calibri"/>
          <w:lang w:val="en-GB"/>
        </w:rPr>
      </w:pPr>
      <w:r w:rsidRPr="00D1588C">
        <w:rPr>
          <w:rFonts w:ascii="Calibri" w:eastAsia="Times New Roman" w:hAnsi="Calibri" w:cs="Calibri"/>
          <w:lang w:val="en-GB" w:eastAsia="hr-HR"/>
        </w:rPr>
        <w:t>Information about upcoming public consultations during the preparation of ESMPs Check list</w:t>
      </w:r>
      <w:r w:rsidR="0022599E">
        <w:rPr>
          <w:rFonts w:ascii="Calibri" w:eastAsia="Times New Roman" w:hAnsi="Calibri" w:cs="Calibri"/>
          <w:lang w:val="en-GB" w:eastAsia="hr-HR"/>
        </w:rPr>
        <w:t>/CHMP</w:t>
      </w:r>
      <w:r w:rsidRPr="00D1588C">
        <w:rPr>
          <w:rFonts w:ascii="Calibri" w:eastAsia="Times New Roman" w:hAnsi="Calibri" w:cs="Calibri"/>
          <w:lang w:val="en-GB" w:eastAsia="hr-HR"/>
        </w:rPr>
        <w:t xml:space="preserve"> for respective sites will be posted on the website of the </w:t>
      </w:r>
      <w:proofErr w:type="spellStart"/>
      <w:r w:rsidRPr="00D1588C">
        <w:rPr>
          <w:rFonts w:ascii="Calibri" w:eastAsia="Times New Roman" w:hAnsi="Calibri" w:cs="Calibri"/>
          <w:lang w:val="en-GB" w:eastAsia="hr-HR"/>
        </w:rPr>
        <w:t>MoPPCS</w:t>
      </w:r>
      <w:r w:rsidR="008C3F73" w:rsidRPr="00D1588C">
        <w:rPr>
          <w:rFonts w:ascii="Calibri" w:eastAsia="Times New Roman" w:hAnsi="Calibri" w:cs="Calibri"/>
          <w:lang w:val="en-GB" w:eastAsia="hr-HR"/>
        </w:rPr>
        <w:t>A</w:t>
      </w:r>
      <w:proofErr w:type="spellEnd"/>
      <w:r w:rsidRPr="00D1588C">
        <w:rPr>
          <w:rFonts w:ascii="Calibri" w:eastAsia="Times New Roman" w:hAnsi="Calibri" w:cs="Calibri"/>
          <w:lang w:val="en-GB" w:eastAsia="hr-HR"/>
        </w:rPr>
        <w:t xml:space="preserve"> and </w:t>
      </w:r>
      <w:proofErr w:type="spellStart"/>
      <w:r w:rsidRPr="00D1588C">
        <w:rPr>
          <w:rFonts w:ascii="Calibri" w:eastAsia="Times New Roman" w:hAnsi="Calibri" w:cs="Calibri"/>
          <w:lang w:val="en-GB" w:eastAsia="hr-HR"/>
        </w:rPr>
        <w:t>MoH</w:t>
      </w:r>
      <w:proofErr w:type="spellEnd"/>
      <w:r w:rsidRPr="00D1588C">
        <w:rPr>
          <w:rFonts w:ascii="Calibri" w:eastAsia="Times New Roman" w:hAnsi="Calibri" w:cs="Calibri"/>
          <w:lang w:val="en-GB" w:eastAsia="hr-HR"/>
        </w:rPr>
        <w:t xml:space="preserve"> (press releases in the national</w:t>
      </w:r>
      <w:r w:rsidRPr="0020233C">
        <w:rPr>
          <w:rFonts w:ascii="Calibri" w:eastAsia="SimSun" w:hAnsi="Calibri" w:cs="Calibri"/>
          <w:lang w:val="en-GB"/>
        </w:rPr>
        <w:t xml:space="preserve"> and local media). It will be also be disseminated using other information channels, </w:t>
      </w:r>
      <w:r w:rsidR="004631FE">
        <w:rPr>
          <w:rFonts w:ascii="Calibri" w:eastAsia="SimSun" w:hAnsi="Calibri" w:cs="Calibri"/>
          <w:lang w:val="en-GB"/>
        </w:rPr>
        <w:t xml:space="preserve">like </w:t>
      </w:r>
      <w:r w:rsidRPr="0020233C">
        <w:rPr>
          <w:rFonts w:ascii="Calibri" w:eastAsia="SimSun" w:hAnsi="Calibri" w:cs="Calibri"/>
          <w:lang w:val="en-GB"/>
        </w:rPr>
        <w:t>leaflets/flyers in public spaces and notes on the construction sites. The PIUs will also explore means to disseminate this information in accessible formats, both online and offline.</w:t>
      </w:r>
    </w:p>
    <w:p w14:paraId="22D42AB8" w14:textId="77777777" w:rsidR="0020233C" w:rsidRPr="0020233C" w:rsidRDefault="0020233C" w:rsidP="00D1588C">
      <w:pPr>
        <w:shd w:val="clear" w:color="auto" w:fill="FFFFFF"/>
        <w:suppressAutoHyphens w:val="0"/>
        <w:autoSpaceDN/>
        <w:spacing w:line="21" w:lineRule="atLeast"/>
        <w:ind w:right="58"/>
        <w:textAlignment w:val="auto"/>
        <w:rPr>
          <w:rFonts w:ascii="Calibri" w:eastAsia="Times New Roman" w:hAnsi="Calibri" w:cs="Calibri"/>
          <w:lang w:val="en-GB" w:eastAsia="hr-HR"/>
        </w:rPr>
      </w:pPr>
      <w:r w:rsidRPr="0020233C">
        <w:rPr>
          <w:rFonts w:ascii="Calibri" w:eastAsia="Times New Roman" w:hAnsi="Calibri" w:cs="Calibri"/>
          <w:lang w:val="en-GB" w:eastAsia="hr-HR"/>
        </w:rPr>
        <w:t xml:space="preserve">The design and organization of the consultation meeting will </w:t>
      </w:r>
      <w:proofErr w:type="gramStart"/>
      <w:r w:rsidRPr="0020233C">
        <w:rPr>
          <w:rFonts w:ascii="Calibri" w:eastAsia="Times New Roman" w:hAnsi="Calibri" w:cs="Calibri"/>
          <w:lang w:val="en-GB" w:eastAsia="hr-HR"/>
        </w:rPr>
        <w:t>take into account</w:t>
      </w:r>
      <w:proofErr w:type="gramEnd"/>
      <w:r w:rsidRPr="0020233C">
        <w:rPr>
          <w:rFonts w:ascii="Calibri" w:eastAsia="Times New Roman" w:hAnsi="Calibri" w:cs="Calibri"/>
          <w:lang w:val="en-GB" w:eastAsia="hr-HR"/>
        </w:rPr>
        <w:t xml:space="preserve"> the COVID19 national and WHO rules and recommendations. </w:t>
      </w:r>
    </w:p>
    <w:p w14:paraId="40778CBE" w14:textId="5C5B48A9" w:rsidR="0020233C" w:rsidRPr="00D1588C" w:rsidRDefault="0020233C" w:rsidP="00D1588C">
      <w:pPr>
        <w:spacing w:line="21" w:lineRule="atLeast"/>
        <w:rPr>
          <w:rFonts w:ascii="Calibri" w:hAnsi="Calibri" w:cs="Calibri"/>
          <w:lang w:val="en-GB"/>
        </w:rPr>
      </w:pPr>
      <w:r w:rsidRPr="0020233C">
        <w:rPr>
          <w:rFonts w:ascii="Calibri" w:eastAsia="Times New Roman" w:hAnsi="Calibri" w:cs="Calibri"/>
          <w:lang w:val="en-GB" w:eastAsia="hr-HR"/>
        </w:rPr>
        <w:t>All</w:t>
      </w:r>
      <w:r w:rsidRPr="0020233C">
        <w:rPr>
          <w:rFonts w:ascii="Calibri" w:eastAsia="Times New Roman" w:hAnsi="Calibri" w:cs="Calibri"/>
          <w:spacing w:val="3"/>
          <w:lang w:val="en-GB" w:eastAsia="hr-HR"/>
        </w:rPr>
        <w:t xml:space="preserve"> </w:t>
      </w:r>
      <w:r w:rsidRPr="0020233C">
        <w:rPr>
          <w:rFonts w:ascii="Calibri" w:eastAsia="Times New Roman" w:hAnsi="Calibri" w:cs="Calibri"/>
          <w:lang w:val="en-GB" w:eastAsia="hr-HR"/>
        </w:rPr>
        <w:t>co</w:t>
      </w:r>
      <w:r w:rsidRPr="0020233C">
        <w:rPr>
          <w:rFonts w:ascii="Calibri" w:eastAsia="Times New Roman" w:hAnsi="Calibri" w:cs="Calibri"/>
          <w:spacing w:val="-4"/>
          <w:lang w:val="en-GB" w:eastAsia="hr-HR"/>
        </w:rPr>
        <w:t>mm</w:t>
      </w:r>
      <w:r w:rsidRPr="0020233C">
        <w:rPr>
          <w:rFonts w:ascii="Calibri" w:eastAsia="Times New Roman" w:hAnsi="Calibri" w:cs="Calibri"/>
          <w:spacing w:val="2"/>
          <w:lang w:val="en-GB" w:eastAsia="hr-HR"/>
        </w:rPr>
        <w:t>e</w:t>
      </w:r>
      <w:r w:rsidRPr="0020233C">
        <w:rPr>
          <w:rFonts w:ascii="Calibri" w:eastAsia="Times New Roman" w:hAnsi="Calibri" w:cs="Calibri"/>
          <w:lang w:val="en-GB" w:eastAsia="hr-HR"/>
        </w:rPr>
        <w:t>nts</w:t>
      </w:r>
      <w:r w:rsidRPr="0020233C">
        <w:rPr>
          <w:rFonts w:ascii="Calibri" w:eastAsia="Times New Roman" w:hAnsi="Calibri" w:cs="Calibri"/>
          <w:spacing w:val="2"/>
          <w:lang w:val="en-GB" w:eastAsia="hr-HR"/>
        </w:rPr>
        <w:t xml:space="preserve"> </w:t>
      </w:r>
      <w:r w:rsidRPr="0020233C">
        <w:rPr>
          <w:rFonts w:ascii="Calibri" w:eastAsia="Times New Roman" w:hAnsi="Calibri" w:cs="Calibri"/>
          <w:lang w:val="en-GB" w:eastAsia="hr-HR"/>
        </w:rPr>
        <w:t>and quest</w:t>
      </w:r>
      <w:r w:rsidRPr="0020233C">
        <w:rPr>
          <w:rFonts w:ascii="Calibri" w:eastAsia="Times New Roman" w:hAnsi="Calibri" w:cs="Calibri"/>
          <w:spacing w:val="3"/>
          <w:lang w:val="en-GB" w:eastAsia="hr-HR"/>
        </w:rPr>
        <w:t>i</w:t>
      </w:r>
      <w:r w:rsidRPr="0020233C">
        <w:rPr>
          <w:rFonts w:ascii="Calibri" w:eastAsia="Times New Roman" w:hAnsi="Calibri" w:cs="Calibri"/>
          <w:lang w:val="en-GB" w:eastAsia="hr-HR"/>
        </w:rPr>
        <w:t>ons s</w:t>
      </w:r>
      <w:r w:rsidRPr="0020233C">
        <w:rPr>
          <w:rFonts w:ascii="Calibri" w:eastAsia="Times New Roman" w:hAnsi="Calibri" w:cs="Calibri"/>
          <w:spacing w:val="2"/>
          <w:lang w:val="en-GB" w:eastAsia="hr-HR"/>
        </w:rPr>
        <w:t>h</w:t>
      </w:r>
      <w:r w:rsidRPr="0020233C">
        <w:rPr>
          <w:rFonts w:ascii="Calibri" w:eastAsia="Times New Roman" w:hAnsi="Calibri" w:cs="Calibri"/>
          <w:lang w:val="en-GB" w:eastAsia="hr-HR"/>
        </w:rPr>
        <w:t xml:space="preserve">all </w:t>
      </w:r>
      <w:r w:rsidRPr="00D1588C">
        <w:rPr>
          <w:rFonts w:ascii="Calibri" w:hAnsi="Calibri" w:cs="Calibri"/>
          <w:lang w:val="en-GB"/>
        </w:rPr>
        <w:t>be processed and together with feedback incorporated in the final version of the ESMP Checklist</w:t>
      </w:r>
      <w:r w:rsidR="0022599E">
        <w:rPr>
          <w:rFonts w:ascii="Calibri" w:hAnsi="Calibri" w:cs="Calibri"/>
          <w:lang w:val="en-GB"/>
        </w:rPr>
        <w:t>/CHMP</w:t>
      </w:r>
      <w:r w:rsidRPr="00D1588C">
        <w:rPr>
          <w:rFonts w:ascii="Calibri" w:hAnsi="Calibri" w:cs="Calibri"/>
          <w:lang w:val="en-GB"/>
        </w:rPr>
        <w:t xml:space="preserve"> and captured in the minutes of the meeting. </w:t>
      </w:r>
    </w:p>
    <w:p w14:paraId="455F1BD5" w14:textId="457B6AA3" w:rsidR="0020233C" w:rsidRPr="00D1588C" w:rsidRDefault="0020233C" w:rsidP="00D1588C">
      <w:pPr>
        <w:spacing w:line="21" w:lineRule="atLeast"/>
        <w:rPr>
          <w:rFonts w:ascii="Calibri" w:hAnsi="Calibri" w:cs="Calibri"/>
          <w:lang w:val="en-GB"/>
        </w:rPr>
      </w:pPr>
      <w:r w:rsidRPr="00D1588C">
        <w:rPr>
          <w:rFonts w:ascii="Calibri" w:hAnsi="Calibri" w:cs="Calibri"/>
          <w:lang w:val="en-GB"/>
        </w:rPr>
        <w:t xml:space="preserve">The </w:t>
      </w:r>
      <w:proofErr w:type="spellStart"/>
      <w:r w:rsidR="008C3F73" w:rsidRPr="00D1588C">
        <w:rPr>
          <w:rFonts w:ascii="Calibri" w:hAnsi="Calibri" w:cs="Calibri"/>
          <w:lang w:val="en-GB"/>
        </w:rPr>
        <w:t>MoPPCSA</w:t>
      </w:r>
      <w:proofErr w:type="spellEnd"/>
      <w:r w:rsidR="008C3F73" w:rsidRPr="00D1588C">
        <w:rPr>
          <w:rFonts w:ascii="Calibri" w:hAnsi="Calibri" w:cs="Calibri"/>
          <w:lang w:val="en-GB"/>
        </w:rPr>
        <w:t xml:space="preserve"> </w:t>
      </w:r>
      <w:r w:rsidRPr="00D1588C">
        <w:rPr>
          <w:rFonts w:ascii="Calibri" w:hAnsi="Calibri" w:cs="Calibri"/>
          <w:lang w:val="en-GB"/>
        </w:rPr>
        <w:t xml:space="preserve">PIU will submit such final document with the confirmation of </w:t>
      </w:r>
      <w:proofErr w:type="gramStart"/>
      <w:r w:rsidRPr="00D1588C">
        <w:rPr>
          <w:rFonts w:ascii="Calibri" w:hAnsi="Calibri" w:cs="Calibri"/>
          <w:lang w:val="en-GB"/>
        </w:rPr>
        <w:t>re-disclosure, and</w:t>
      </w:r>
      <w:proofErr w:type="gramEnd"/>
      <w:r w:rsidRPr="00D1588C">
        <w:rPr>
          <w:rFonts w:ascii="Calibri" w:hAnsi="Calibri" w:cs="Calibri"/>
          <w:lang w:val="en-GB"/>
        </w:rPr>
        <w:t xml:space="preserve"> were documents can be accessed to the WB.</w:t>
      </w:r>
    </w:p>
    <w:p w14:paraId="71BA904E" w14:textId="2491DD8E" w:rsidR="00E4324C" w:rsidRPr="00D1588C" w:rsidRDefault="00E4324C" w:rsidP="00D1588C">
      <w:pPr>
        <w:spacing w:line="21" w:lineRule="atLeast"/>
        <w:rPr>
          <w:rFonts w:ascii="Calibri" w:hAnsi="Calibri" w:cs="Calibri"/>
          <w:lang w:val="en-GB"/>
        </w:rPr>
      </w:pPr>
      <w:r w:rsidRPr="00D1588C">
        <w:rPr>
          <w:rFonts w:ascii="Calibri" w:hAnsi="Calibri" w:cs="Calibri"/>
          <w:lang w:val="en-GB"/>
        </w:rPr>
        <w:lastRenderedPageBreak/>
        <w:t xml:space="preserve">The </w:t>
      </w:r>
      <w:proofErr w:type="spellStart"/>
      <w:r w:rsidRPr="00D1588C">
        <w:rPr>
          <w:rFonts w:ascii="Calibri" w:hAnsi="Calibri" w:cs="Calibri"/>
          <w:lang w:val="en-GB"/>
        </w:rPr>
        <w:t>MoH</w:t>
      </w:r>
      <w:proofErr w:type="spellEnd"/>
      <w:r w:rsidRPr="00D1588C">
        <w:rPr>
          <w:rFonts w:ascii="Calibri" w:hAnsi="Calibri" w:cs="Calibri"/>
          <w:lang w:val="en-GB"/>
        </w:rPr>
        <w:t xml:space="preserve"> PIU and medical facility will ensure that each medical facility subject of project activities prepare and operate in accordance with the ICWMP. The </w:t>
      </w:r>
      <w:proofErr w:type="spellStart"/>
      <w:r w:rsidRPr="00D1588C">
        <w:rPr>
          <w:rFonts w:ascii="Calibri" w:hAnsi="Calibri" w:cs="Calibri"/>
          <w:lang w:val="en-GB"/>
        </w:rPr>
        <w:t>MoH</w:t>
      </w:r>
      <w:proofErr w:type="spellEnd"/>
      <w:r w:rsidRPr="00D1588C">
        <w:rPr>
          <w:rFonts w:ascii="Calibri" w:hAnsi="Calibri" w:cs="Calibri"/>
          <w:lang w:val="en-GB"/>
        </w:rPr>
        <w:t xml:space="preserve"> PIU (PIU-2) will monitor any off-site waste disposal required and institute any remedial measures required to ensure compliance with.</w:t>
      </w:r>
    </w:p>
    <w:p w14:paraId="422E4D3B" w14:textId="26477221" w:rsidR="0020233C" w:rsidRPr="009768DC" w:rsidRDefault="0020233C" w:rsidP="009768DC">
      <w:pPr>
        <w:rPr>
          <w:b/>
          <w:bCs/>
          <w:lang w:val="en-GB" w:eastAsia="hr-HR"/>
        </w:rPr>
      </w:pPr>
      <w:bookmarkStart w:id="191" w:name="_Toc50353315"/>
      <w:r w:rsidRPr="009768DC">
        <w:rPr>
          <w:b/>
          <w:bCs/>
          <w:lang w:val="en-GB" w:eastAsia="hr-HR"/>
        </w:rPr>
        <w:t>STEP</w:t>
      </w:r>
      <w:bookmarkEnd w:id="191"/>
      <w:r w:rsidRPr="009768DC">
        <w:rPr>
          <w:b/>
          <w:bCs/>
          <w:lang w:val="en-GB" w:eastAsia="hr-HR"/>
        </w:rPr>
        <w:t xml:space="preserve"> 4: Integration of ESMP Checklist</w:t>
      </w:r>
      <w:r w:rsidR="0022599E">
        <w:rPr>
          <w:b/>
          <w:bCs/>
          <w:lang w:val="en-GB" w:eastAsia="hr-HR"/>
        </w:rPr>
        <w:t>/CHMP</w:t>
      </w:r>
      <w:r w:rsidRPr="009768DC">
        <w:rPr>
          <w:b/>
          <w:bCs/>
          <w:lang w:val="en-GB" w:eastAsia="hr-HR"/>
        </w:rPr>
        <w:t xml:space="preserve"> in tender documents</w:t>
      </w:r>
    </w:p>
    <w:p w14:paraId="05559599" w14:textId="2F7C1DA6" w:rsidR="0020233C" w:rsidRPr="0020233C" w:rsidRDefault="0020233C" w:rsidP="00D1588C">
      <w:pPr>
        <w:spacing w:line="21" w:lineRule="atLeast"/>
        <w:rPr>
          <w:rFonts w:ascii="Calibri" w:eastAsia="Times New Roman" w:hAnsi="Calibri" w:cs="Calibri"/>
          <w:lang w:val="en-GB" w:eastAsia="hr-HR"/>
        </w:rPr>
      </w:pPr>
      <w:r w:rsidRPr="0020233C">
        <w:rPr>
          <w:rFonts w:ascii="Calibri" w:eastAsia="Times New Roman" w:hAnsi="Calibri" w:cs="Calibri"/>
          <w:lang w:val="en-GB" w:eastAsia="hr-HR"/>
        </w:rPr>
        <w:t>ESMP Checklist</w:t>
      </w:r>
      <w:r w:rsidR="0022599E">
        <w:rPr>
          <w:rFonts w:ascii="Calibri" w:eastAsia="Times New Roman" w:hAnsi="Calibri" w:cs="Calibri"/>
          <w:lang w:val="en-GB" w:eastAsia="hr-HR"/>
        </w:rPr>
        <w:t>/CHMP</w:t>
      </w:r>
      <w:r w:rsidRPr="0020233C">
        <w:rPr>
          <w:rFonts w:ascii="Calibri" w:eastAsia="Times New Roman" w:hAnsi="Calibri" w:cs="Calibri"/>
          <w:lang w:val="en-GB" w:eastAsia="hr-HR"/>
        </w:rPr>
        <w:t xml:space="preserve"> </w:t>
      </w:r>
      <w:r w:rsidRPr="00D1588C">
        <w:rPr>
          <w:rFonts w:ascii="Calibri" w:eastAsia="Times New Roman" w:hAnsi="Calibri" w:cs="Calibri"/>
          <w:lang w:val="en-GB" w:eastAsia="hr-HR"/>
        </w:rPr>
        <w:t xml:space="preserve">will be prepared prior to the bidding of works and the final version integrated </w:t>
      </w:r>
      <w:r w:rsidRPr="0020233C">
        <w:rPr>
          <w:rFonts w:ascii="Calibri" w:eastAsia="Times New Roman" w:hAnsi="Calibri" w:cs="Calibri"/>
          <w:lang w:val="en-GB" w:eastAsia="hr-HR"/>
        </w:rPr>
        <w:t>into</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t</w:t>
      </w:r>
      <w:r w:rsidRPr="00D1588C">
        <w:rPr>
          <w:rFonts w:ascii="Calibri" w:eastAsia="Times New Roman" w:hAnsi="Calibri" w:cs="Calibri"/>
          <w:lang w:val="en-GB" w:eastAsia="hr-HR"/>
        </w:rPr>
        <w:t>e</w:t>
      </w:r>
      <w:r w:rsidRPr="0020233C">
        <w:rPr>
          <w:rFonts w:ascii="Calibri" w:eastAsia="Times New Roman" w:hAnsi="Calibri" w:cs="Calibri"/>
          <w:lang w:val="en-GB" w:eastAsia="hr-HR"/>
        </w:rPr>
        <w:t>nd</w:t>
      </w:r>
      <w:r w:rsidRPr="00D1588C">
        <w:rPr>
          <w:rFonts w:ascii="Calibri" w:eastAsia="Times New Roman" w:hAnsi="Calibri" w:cs="Calibri"/>
          <w:lang w:val="en-GB" w:eastAsia="hr-HR"/>
        </w:rPr>
        <w:t>e</w:t>
      </w:r>
      <w:r w:rsidRPr="0020233C">
        <w:rPr>
          <w:rFonts w:ascii="Calibri" w:eastAsia="Times New Roman" w:hAnsi="Calibri" w:cs="Calibri"/>
          <w:lang w:val="en-GB" w:eastAsia="hr-HR"/>
        </w:rPr>
        <w:t>r do</w:t>
      </w:r>
      <w:r w:rsidRPr="00D1588C">
        <w:rPr>
          <w:rFonts w:ascii="Calibri" w:eastAsia="Times New Roman" w:hAnsi="Calibri" w:cs="Calibri"/>
          <w:lang w:val="en-GB" w:eastAsia="hr-HR"/>
        </w:rPr>
        <w:t>c</w:t>
      </w:r>
      <w:r w:rsidRPr="0020233C">
        <w:rPr>
          <w:rFonts w:ascii="Calibri" w:eastAsia="Times New Roman" w:hAnsi="Calibri" w:cs="Calibri"/>
          <w:lang w:val="en-GB" w:eastAsia="hr-HR"/>
        </w:rPr>
        <w:t>u</w:t>
      </w:r>
      <w:r w:rsidRPr="00D1588C">
        <w:rPr>
          <w:rFonts w:ascii="Calibri" w:eastAsia="Times New Roman" w:hAnsi="Calibri" w:cs="Calibri"/>
          <w:lang w:val="en-GB" w:eastAsia="hr-HR"/>
        </w:rPr>
        <w:t>me</w:t>
      </w:r>
      <w:r w:rsidRPr="0020233C">
        <w:rPr>
          <w:rFonts w:ascii="Calibri" w:eastAsia="Times New Roman" w:hAnsi="Calibri" w:cs="Calibri"/>
          <w:lang w:val="en-GB" w:eastAsia="hr-HR"/>
        </w:rPr>
        <w:t>nts</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for</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the</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s</w:t>
      </w:r>
      <w:r w:rsidRPr="00D1588C">
        <w:rPr>
          <w:rFonts w:ascii="Calibri" w:eastAsia="Times New Roman" w:hAnsi="Calibri" w:cs="Calibri"/>
          <w:lang w:val="en-GB" w:eastAsia="hr-HR"/>
        </w:rPr>
        <w:t>e</w:t>
      </w:r>
      <w:r w:rsidRPr="0020233C">
        <w:rPr>
          <w:rFonts w:ascii="Calibri" w:eastAsia="Times New Roman" w:hAnsi="Calibri" w:cs="Calibri"/>
          <w:lang w:val="en-GB" w:eastAsia="hr-HR"/>
        </w:rPr>
        <w:t>l</w:t>
      </w:r>
      <w:r w:rsidRPr="00D1588C">
        <w:rPr>
          <w:rFonts w:ascii="Calibri" w:eastAsia="Times New Roman" w:hAnsi="Calibri" w:cs="Calibri"/>
          <w:lang w:val="en-GB" w:eastAsia="hr-HR"/>
        </w:rPr>
        <w:t>ec</w:t>
      </w:r>
      <w:r w:rsidRPr="0020233C">
        <w:rPr>
          <w:rFonts w:ascii="Calibri" w:eastAsia="Times New Roman" w:hAnsi="Calibri" w:cs="Calibri"/>
          <w:lang w:val="en-GB" w:eastAsia="hr-HR"/>
        </w:rPr>
        <w:t>t</w:t>
      </w:r>
      <w:r w:rsidRPr="00D1588C">
        <w:rPr>
          <w:rFonts w:ascii="Calibri" w:eastAsia="Times New Roman" w:hAnsi="Calibri" w:cs="Calibri"/>
          <w:lang w:val="en-GB" w:eastAsia="hr-HR"/>
        </w:rPr>
        <w:t>e</w:t>
      </w:r>
      <w:r w:rsidRPr="0020233C">
        <w:rPr>
          <w:rFonts w:ascii="Calibri" w:eastAsia="Times New Roman" w:hAnsi="Calibri" w:cs="Calibri"/>
          <w:lang w:val="en-GB" w:eastAsia="hr-HR"/>
        </w:rPr>
        <w:t>d sub</w:t>
      </w:r>
      <w:r w:rsidR="00CF5483">
        <w:rPr>
          <w:rFonts w:ascii="Calibri" w:eastAsia="Times New Roman" w:hAnsi="Calibri" w:cs="Calibri"/>
          <w:lang w:val="en-GB" w:eastAsia="hr-HR"/>
        </w:rPr>
        <w:t>-</w:t>
      </w:r>
      <w:r w:rsidRPr="0020233C">
        <w:rPr>
          <w:rFonts w:ascii="Calibri" w:eastAsia="Times New Roman" w:hAnsi="Calibri" w:cs="Calibri"/>
          <w:lang w:val="en-GB" w:eastAsia="hr-HR"/>
        </w:rPr>
        <w:t>pro</w:t>
      </w:r>
      <w:r w:rsidRPr="00D1588C">
        <w:rPr>
          <w:rFonts w:ascii="Calibri" w:eastAsia="Times New Roman" w:hAnsi="Calibri" w:cs="Calibri"/>
          <w:lang w:val="en-GB" w:eastAsia="hr-HR"/>
        </w:rPr>
        <w:t>je</w:t>
      </w:r>
      <w:r w:rsidRPr="0020233C">
        <w:rPr>
          <w:rFonts w:ascii="Calibri" w:eastAsia="Times New Roman" w:hAnsi="Calibri" w:cs="Calibri"/>
          <w:lang w:val="en-GB" w:eastAsia="hr-HR"/>
        </w:rPr>
        <w:t xml:space="preserve">cts </w:t>
      </w:r>
      <w:r w:rsidRPr="00D1588C">
        <w:rPr>
          <w:rFonts w:ascii="Calibri" w:eastAsia="Times New Roman" w:hAnsi="Calibri" w:cs="Calibri"/>
          <w:lang w:val="en-GB" w:eastAsia="hr-HR"/>
        </w:rPr>
        <w:t>a</w:t>
      </w:r>
      <w:r w:rsidRPr="0020233C">
        <w:rPr>
          <w:rFonts w:ascii="Calibri" w:eastAsia="Times New Roman" w:hAnsi="Calibri" w:cs="Calibri"/>
          <w:lang w:val="en-GB" w:eastAsia="hr-HR"/>
        </w:rPr>
        <w:t>nd in t</w:t>
      </w:r>
      <w:r w:rsidRPr="00D1588C">
        <w:rPr>
          <w:rFonts w:ascii="Calibri" w:eastAsia="Times New Roman" w:hAnsi="Calibri" w:cs="Calibri"/>
          <w:lang w:val="en-GB" w:eastAsia="hr-HR"/>
        </w:rPr>
        <w:t>h</w:t>
      </w:r>
      <w:r w:rsidRPr="0020233C">
        <w:rPr>
          <w:rFonts w:ascii="Calibri" w:eastAsia="Times New Roman" w:hAnsi="Calibri" w:cs="Calibri"/>
          <w:lang w:val="en-GB" w:eastAsia="hr-HR"/>
        </w:rPr>
        <w:t>e cont</w:t>
      </w:r>
      <w:r w:rsidRPr="00D1588C">
        <w:rPr>
          <w:rFonts w:ascii="Calibri" w:eastAsia="Times New Roman" w:hAnsi="Calibri" w:cs="Calibri"/>
          <w:lang w:val="en-GB" w:eastAsia="hr-HR"/>
        </w:rPr>
        <w:t>ra</w:t>
      </w:r>
      <w:r w:rsidRPr="0020233C">
        <w:rPr>
          <w:rFonts w:ascii="Calibri" w:eastAsia="Times New Roman" w:hAnsi="Calibri" w:cs="Calibri"/>
          <w:lang w:val="en-GB" w:eastAsia="hr-HR"/>
        </w:rPr>
        <w:t xml:space="preserve">cts </w:t>
      </w:r>
      <w:r w:rsidRPr="00D1588C">
        <w:rPr>
          <w:rFonts w:ascii="Calibri" w:eastAsia="Times New Roman" w:hAnsi="Calibri" w:cs="Calibri"/>
          <w:lang w:val="en-GB" w:eastAsia="hr-HR"/>
        </w:rPr>
        <w:t>f</w:t>
      </w:r>
      <w:r w:rsidRPr="0020233C">
        <w:rPr>
          <w:rFonts w:ascii="Calibri" w:eastAsia="Times New Roman" w:hAnsi="Calibri" w:cs="Calibri"/>
          <w:lang w:val="en-GB" w:eastAsia="hr-HR"/>
        </w:rPr>
        <w:t>or</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th</w:t>
      </w:r>
      <w:r w:rsidRPr="00D1588C">
        <w:rPr>
          <w:rFonts w:ascii="Calibri" w:eastAsia="Times New Roman" w:hAnsi="Calibri" w:cs="Calibri"/>
          <w:lang w:val="en-GB" w:eastAsia="hr-HR"/>
        </w:rPr>
        <w:t>e</w:t>
      </w:r>
      <w:r w:rsidRPr="0020233C">
        <w:rPr>
          <w:rFonts w:ascii="Calibri" w:eastAsia="Times New Roman" w:hAnsi="Calibri" w:cs="Calibri"/>
          <w:lang w:val="en-GB" w:eastAsia="hr-HR"/>
        </w:rPr>
        <w:t>ir</w:t>
      </w:r>
      <w:r w:rsidRPr="00D1588C">
        <w:rPr>
          <w:rFonts w:ascii="Calibri" w:eastAsia="Times New Roman" w:hAnsi="Calibri" w:cs="Calibri"/>
          <w:lang w:val="en-GB" w:eastAsia="hr-HR"/>
        </w:rPr>
        <w:t xml:space="preserve"> e</w:t>
      </w:r>
      <w:r w:rsidRPr="0020233C">
        <w:rPr>
          <w:rFonts w:ascii="Calibri" w:eastAsia="Times New Roman" w:hAnsi="Calibri" w:cs="Calibri"/>
          <w:lang w:val="en-GB" w:eastAsia="hr-HR"/>
        </w:rPr>
        <w:t>xecut</w:t>
      </w:r>
      <w:r w:rsidRPr="00D1588C">
        <w:rPr>
          <w:rFonts w:ascii="Calibri" w:eastAsia="Times New Roman" w:hAnsi="Calibri" w:cs="Calibri"/>
          <w:lang w:val="en-GB" w:eastAsia="hr-HR"/>
        </w:rPr>
        <w:t>i</w:t>
      </w:r>
      <w:r w:rsidRPr="0020233C">
        <w:rPr>
          <w:rFonts w:ascii="Calibri" w:eastAsia="Times New Roman" w:hAnsi="Calibri" w:cs="Calibri"/>
          <w:lang w:val="en-GB" w:eastAsia="hr-HR"/>
        </w:rPr>
        <w:t>on to be</w:t>
      </w:r>
      <w:r w:rsidRPr="00D1588C">
        <w:rPr>
          <w:rFonts w:ascii="Calibri" w:eastAsia="Times New Roman" w:hAnsi="Calibri" w:cs="Calibri"/>
          <w:lang w:val="en-GB" w:eastAsia="hr-HR"/>
        </w:rPr>
        <w:t xml:space="preserve"> </w:t>
      </w:r>
      <w:r w:rsidRPr="0020233C">
        <w:rPr>
          <w:rFonts w:ascii="Calibri" w:eastAsia="Times New Roman" w:hAnsi="Calibri" w:cs="Calibri"/>
          <w:lang w:val="en-GB" w:eastAsia="hr-HR"/>
        </w:rPr>
        <w:t>si</w:t>
      </w:r>
      <w:r w:rsidRPr="00D1588C">
        <w:rPr>
          <w:rFonts w:ascii="Calibri" w:eastAsia="Times New Roman" w:hAnsi="Calibri" w:cs="Calibri"/>
          <w:lang w:val="en-GB" w:eastAsia="hr-HR"/>
        </w:rPr>
        <w:t>g</w:t>
      </w:r>
      <w:r w:rsidRPr="0020233C">
        <w:rPr>
          <w:rFonts w:ascii="Calibri" w:eastAsia="Times New Roman" w:hAnsi="Calibri" w:cs="Calibri"/>
          <w:lang w:val="en-GB" w:eastAsia="hr-HR"/>
        </w:rPr>
        <w:t>n</w:t>
      </w:r>
      <w:r w:rsidRPr="00D1588C">
        <w:rPr>
          <w:rFonts w:ascii="Calibri" w:eastAsia="Times New Roman" w:hAnsi="Calibri" w:cs="Calibri"/>
          <w:lang w:val="en-GB" w:eastAsia="hr-HR"/>
        </w:rPr>
        <w:t>e</w:t>
      </w:r>
      <w:r w:rsidRPr="0020233C">
        <w:rPr>
          <w:rFonts w:ascii="Calibri" w:eastAsia="Times New Roman" w:hAnsi="Calibri" w:cs="Calibri"/>
          <w:lang w:val="en-GB" w:eastAsia="hr-HR"/>
        </w:rPr>
        <w:t xml:space="preserve">d with </w:t>
      </w:r>
      <w:r w:rsidRPr="00D1588C">
        <w:rPr>
          <w:rFonts w:ascii="Calibri" w:eastAsia="Times New Roman" w:hAnsi="Calibri" w:cs="Calibri"/>
          <w:lang w:val="en-GB" w:eastAsia="hr-HR"/>
        </w:rPr>
        <w:t>t</w:t>
      </w:r>
      <w:r w:rsidRPr="0020233C">
        <w:rPr>
          <w:rFonts w:ascii="Calibri" w:eastAsia="Times New Roman" w:hAnsi="Calibri" w:cs="Calibri"/>
          <w:lang w:val="en-GB" w:eastAsia="hr-HR"/>
        </w:rPr>
        <w:t>he s</w:t>
      </w:r>
      <w:r w:rsidRPr="00D1588C">
        <w:rPr>
          <w:rFonts w:ascii="Calibri" w:eastAsia="Times New Roman" w:hAnsi="Calibri" w:cs="Calibri"/>
          <w:lang w:val="en-GB" w:eastAsia="hr-HR"/>
        </w:rPr>
        <w:t>e</w:t>
      </w:r>
      <w:r w:rsidRPr="0020233C">
        <w:rPr>
          <w:rFonts w:ascii="Calibri" w:eastAsia="Times New Roman" w:hAnsi="Calibri" w:cs="Calibri"/>
          <w:lang w:val="en-GB" w:eastAsia="hr-HR"/>
        </w:rPr>
        <w:t>l</w:t>
      </w:r>
      <w:r w:rsidRPr="00D1588C">
        <w:rPr>
          <w:rFonts w:ascii="Calibri" w:eastAsia="Times New Roman" w:hAnsi="Calibri" w:cs="Calibri"/>
          <w:lang w:val="en-GB" w:eastAsia="hr-HR"/>
        </w:rPr>
        <w:t>e</w:t>
      </w:r>
      <w:r w:rsidRPr="0020233C">
        <w:rPr>
          <w:rFonts w:ascii="Calibri" w:eastAsia="Times New Roman" w:hAnsi="Calibri" w:cs="Calibri"/>
          <w:lang w:val="en-GB" w:eastAsia="hr-HR"/>
        </w:rPr>
        <w:t>ct</w:t>
      </w:r>
      <w:r w:rsidRPr="00D1588C">
        <w:rPr>
          <w:rFonts w:ascii="Calibri" w:eastAsia="Times New Roman" w:hAnsi="Calibri" w:cs="Calibri"/>
          <w:lang w:val="en-GB" w:eastAsia="hr-HR"/>
        </w:rPr>
        <w:t>e</w:t>
      </w:r>
      <w:r w:rsidRPr="0020233C">
        <w:rPr>
          <w:rFonts w:ascii="Calibri" w:eastAsia="Times New Roman" w:hAnsi="Calibri" w:cs="Calibri"/>
          <w:lang w:val="en-GB" w:eastAsia="hr-HR"/>
        </w:rPr>
        <w:t>d w</w:t>
      </w:r>
      <w:r w:rsidRPr="00D1588C">
        <w:rPr>
          <w:rFonts w:ascii="Calibri" w:eastAsia="Times New Roman" w:hAnsi="Calibri" w:cs="Calibri"/>
          <w:lang w:val="en-GB" w:eastAsia="hr-HR"/>
        </w:rPr>
        <w:t>ork</w:t>
      </w:r>
      <w:r w:rsidRPr="0020233C">
        <w:rPr>
          <w:rFonts w:ascii="Calibri" w:eastAsia="Times New Roman" w:hAnsi="Calibri" w:cs="Calibri"/>
          <w:lang w:val="en-GB" w:eastAsia="hr-HR"/>
        </w:rPr>
        <w:t xml:space="preserve">s </w:t>
      </w:r>
      <w:r w:rsidRPr="00D1588C">
        <w:rPr>
          <w:rFonts w:ascii="Calibri" w:eastAsia="Times New Roman" w:hAnsi="Calibri" w:cs="Calibri"/>
          <w:lang w:val="en-GB" w:eastAsia="hr-HR"/>
        </w:rPr>
        <w:t>c</w:t>
      </w:r>
      <w:r w:rsidRPr="0020233C">
        <w:rPr>
          <w:rFonts w:ascii="Calibri" w:eastAsia="Times New Roman" w:hAnsi="Calibri" w:cs="Calibri"/>
          <w:lang w:val="en-GB" w:eastAsia="hr-HR"/>
        </w:rPr>
        <w:t>ont</w:t>
      </w:r>
      <w:r w:rsidRPr="00D1588C">
        <w:rPr>
          <w:rFonts w:ascii="Calibri" w:eastAsia="Times New Roman" w:hAnsi="Calibri" w:cs="Calibri"/>
          <w:lang w:val="en-GB" w:eastAsia="hr-HR"/>
        </w:rPr>
        <w:t>ra</w:t>
      </w:r>
      <w:r w:rsidRPr="0020233C">
        <w:rPr>
          <w:rFonts w:ascii="Calibri" w:eastAsia="Times New Roman" w:hAnsi="Calibri" w:cs="Calibri"/>
          <w:lang w:val="en-GB" w:eastAsia="hr-HR"/>
        </w:rPr>
        <w:t>cto</w:t>
      </w:r>
      <w:r w:rsidRPr="00D1588C">
        <w:rPr>
          <w:rFonts w:ascii="Calibri" w:eastAsia="Times New Roman" w:hAnsi="Calibri" w:cs="Calibri"/>
          <w:lang w:val="en-GB" w:eastAsia="hr-HR"/>
        </w:rPr>
        <w:t>r</w:t>
      </w:r>
      <w:r w:rsidRPr="0020233C">
        <w:rPr>
          <w:rFonts w:ascii="Calibri" w:eastAsia="Times New Roman" w:hAnsi="Calibri" w:cs="Calibri"/>
          <w:lang w:val="en-GB" w:eastAsia="hr-HR"/>
        </w:rPr>
        <w:t>s. The Contractors will be required to demonstrate that all mitigation measures have been accounted for to ensure subproject implementation in environmentally and socially acceptable manner.</w:t>
      </w:r>
    </w:p>
    <w:p w14:paraId="3F58B4CC" w14:textId="77777777" w:rsidR="0020233C" w:rsidRPr="009768DC" w:rsidRDefault="0020233C" w:rsidP="009768DC">
      <w:pPr>
        <w:rPr>
          <w:b/>
          <w:bCs/>
          <w:lang w:val="en-GB" w:eastAsia="hr-HR"/>
        </w:rPr>
      </w:pPr>
      <w:bookmarkStart w:id="192" w:name="_Toc50353316"/>
      <w:r w:rsidRPr="009768DC">
        <w:rPr>
          <w:b/>
          <w:bCs/>
          <w:lang w:val="en-GB" w:eastAsia="hr-HR"/>
        </w:rPr>
        <w:t>STEP 5: Implementation, project supervision, monitoring and reporting</w:t>
      </w:r>
      <w:bookmarkEnd w:id="192"/>
    </w:p>
    <w:p w14:paraId="45026804" w14:textId="4199EB5F" w:rsidR="00935648" w:rsidRPr="00935648" w:rsidRDefault="008C3F73" w:rsidP="00935648">
      <w:pPr>
        <w:rPr>
          <w:rFonts w:ascii="Calibri" w:eastAsia="Times New Roman" w:hAnsi="Calibri" w:cs="Calibri"/>
          <w:lang w:val="en-GB" w:eastAsia="hr-HR"/>
        </w:rPr>
      </w:pPr>
      <w:r w:rsidRPr="00D1588C">
        <w:rPr>
          <w:rFonts w:ascii="Calibri" w:eastAsia="Times New Roman" w:hAnsi="Calibri" w:cs="Calibri"/>
          <w:lang w:val="en-GB" w:eastAsia="hr-HR"/>
        </w:rPr>
        <w:t>The contractor (and consequently all its sub-contractors) is responsible for the implementation of ESMP Checklist</w:t>
      </w:r>
      <w:r w:rsidR="003A31A8">
        <w:rPr>
          <w:rFonts w:ascii="Calibri" w:eastAsia="Times New Roman" w:hAnsi="Calibri" w:cs="Calibri"/>
          <w:lang w:val="en-GB" w:eastAsia="hr-HR"/>
        </w:rPr>
        <w:t>/CHMP</w:t>
      </w:r>
      <w:r w:rsidRPr="00D1588C">
        <w:rPr>
          <w:rFonts w:ascii="Calibri" w:eastAsia="Times New Roman" w:hAnsi="Calibri" w:cs="Calibri"/>
          <w:lang w:val="en-GB" w:eastAsia="hr-HR"/>
        </w:rPr>
        <w:t xml:space="preserve"> measures and monitoring plan. </w:t>
      </w:r>
      <w:proofErr w:type="spellStart"/>
      <w:r w:rsidRPr="00D1588C">
        <w:rPr>
          <w:rFonts w:ascii="Calibri" w:eastAsia="Times New Roman" w:hAnsi="Calibri" w:cs="Calibri"/>
          <w:lang w:val="en-GB" w:eastAsia="hr-HR"/>
        </w:rPr>
        <w:t>MoPPCSA</w:t>
      </w:r>
      <w:proofErr w:type="spellEnd"/>
      <w:r w:rsidRPr="00D1588C">
        <w:rPr>
          <w:rFonts w:ascii="Calibri" w:eastAsia="Times New Roman" w:hAnsi="Calibri" w:cs="Calibri"/>
          <w:lang w:val="en-GB" w:eastAsia="hr-HR"/>
        </w:rPr>
        <w:t xml:space="preserve"> PIU regularly supervises works through site visits, review of documentations and other available means. Supervising </w:t>
      </w:r>
      <w:r w:rsidR="00CF5483" w:rsidRPr="00D1588C">
        <w:rPr>
          <w:rFonts w:ascii="Calibri" w:eastAsia="Times New Roman" w:hAnsi="Calibri" w:cs="Calibri"/>
          <w:lang w:val="en-GB" w:eastAsia="hr-HR"/>
        </w:rPr>
        <w:t>e</w:t>
      </w:r>
      <w:r w:rsidRPr="00D1588C">
        <w:rPr>
          <w:rFonts w:ascii="Calibri" w:eastAsia="Times New Roman" w:hAnsi="Calibri" w:cs="Calibri"/>
          <w:lang w:val="en-GB" w:eastAsia="hr-HR"/>
        </w:rPr>
        <w:t xml:space="preserve">ngineer is responsible for regular reporting of ESMP Checklist compliance to the </w:t>
      </w:r>
      <w:proofErr w:type="spellStart"/>
      <w:r w:rsidRPr="00D1588C">
        <w:rPr>
          <w:rFonts w:ascii="Calibri" w:eastAsia="Times New Roman" w:hAnsi="Calibri" w:cs="Calibri"/>
          <w:lang w:val="en-GB" w:eastAsia="hr-HR"/>
        </w:rPr>
        <w:t>MoPPCSA</w:t>
      </w:r>
      <w:proofErr w:type="spellEnd"/>
      <w:r w:rsidRPr="00D1588C">
        <w:rPr>
          <w:rFonts w:ascii="Calibri" w:eastAsia="Times New Roman" w:hAnsi="Calibri" w:cs="Calibri"/>
          <w:lang w:val="en-GB" w:eastAsia="hr-HR"/>
        </w:rPr>
        <w:t xml:space="preserve"> PIU. In the same time the </w:t>
      </w:r>
      <w:proofErr w:type="spellStart"/>
      <w:r w:rsidRPr="00D1588C">
        <w:rPr>
          <w:rFonts w:ascii="Calibri" w:eastAsia="Times New Roman" w:hAnsi="Calibri" w:cs="Calibri"/>
          <w:lang w:val="en-GB" w:eastAsia="hr-HR"/>
        </w:rPr>
        <w:t>MoPPCSA</w:t>
      </w:r>
      <w:proofErr w:type="spellEnd"/>
      <w:r w:rsidRPr="00D1588C">
        <w:rPr>
          <w:rFonts w:ascii="Calibri" w:eastAsia="Times New Roman" w:hAnsi="Calibri" w:cs="Calibri"/>
          <w:lang w:val="en-GB" w:eastAsia="hr-HR"/>
        </w:rPr>
        <w:t xml:space="preserve"> PIU reports on ESMF and ESMP Checklist</w:t>
      </w:r>
      <w:r w:rsidR="003A31A8">
        <w:rPr>
          <w:rFonts w:ascii="Calibri" w:eastAsia="Times New Roman" w:hAnsi="Calibri" w:cs="Calibri"/>
          <w:lang w:val="en-GB" w:eastAsia="hr-HR"/>
        </w:rPr>
        <w:t>/CHMP</w:t>
      </w:r>
      <w:r w:rsidRPr="00D1588C">
        <w:rPr>
          <w:rFonts w:ascii="Calibri" w:eastAsia="Times New Roman" w:hAnsi="Calibri" w:cs="Calibri"/>
          <w:lang w:val="en-GB" w:eastAsia="hr-HR"/>
        </w:rPr>
        <w:t xml:space="preserve"> implementation compliance to the WB in quarterly reports and regular progress reports. Reporting arrangements are subject to change depending on the PIU performance and agreement with the WB.</w:t>
      </w:r>
      <w:bookmarkEnd w:id="187"/>
    </w:p>
    <w:p w14:paraId="61C012E4" w14:textId="77777777" w:rsidR="008F4F9D" w:rsidRPr="00AB7D1E" w:rsidRDefault="008F4F9D">
      <w:pPr>
        <w:suppressAutoHyphens w:val="0"/>
        <w:spacing w:before="0" w:after="160" w:line="256" w:lineRule="auto"/>
        <w:jc w:val="left"/>
        <w:rPr>
          <w:highlight w:val="yellow"/>
          <w:lang w:val="en-US"/>
        </w:rPr>
      </w:pPr>
      <w:r w:rsidRPr="00AB7D1E">
        <w:rPr>
          <w:highlight w:val="yellow"/>
          <w:lang w:val="en-US"/>
        </w:rPr>
        <w:br w:type="page"/>
      </w:r>
    </w:p>
    <w:p w14:paraId="41FDDD94" w14:textId="5BEA65E8" w:rsidR="006B3B3C" w:rsidRPr="00AB7D1E" w:rsidRDefault="006B3B3C" w:rsidP="0037112D">
      <w:pPr>
        <w:pStyle w:val="Heading1"/>
        <w:rPr>
          <w:lang w:val="en-US"/>
        </w:rPr>
      </w:pPr>
      <w:bookmarkStart w:id="193" w:name="_Toc56954079"/>
      <w:r w:rsidRPr="00AB7D1E">
        <w:rPr>
          <w:lang w:val="en-US"/>
        </w:rPr>
        <w:lastRenderedPageBreak/>
        <w:t>PROJECT IMPLEMENTATION SET</w:t>
      </w:r>
      <w:r w:rsidR="000C3099">
        <w:rPr>
          <w:lang w:val="en-US"/>
        </w:rPr>
        <w:t>TING</w:t>
      </w:r>
      <w:bookmarkEnd w:id="193"/>
    </w:p>
    <w:p w14:paraId="432A60B7" w14:textId="77777777" w:rsidR="006B3B3C" w:rsidRPr="00AB7D1E" w:rsidRDefault="006B3B3C" w:rsidP="0037112D">
      <w:pPr>
        <w:pStyle w:val="Heading2"/>
        <w:rPr>
          <w:lang w:val="en-US"/>
        </w:rPr>
      </w:pPr>
      <w:bookmarkStart w:id="194" w:name="_Toc56954080"/>
      <w:r w:rsidRPr="00AB7D1E">
        <w:rPr>
          <w:lang w:val="en-US"/>
        </w:rPr>
        <w:t>Implementation</w:t>
      </w:r>
      <w:bookmarkEnd w:id="194"/>
    </w:p>
    <w:p w14:paraId="4BCD202D" w14:textId="2A64DB22" w:rsidR="006B3B3C" w:rsidRPr="00AB7D1E" w:rsidRDefault="006B3B3C" w:rsidP="006B3B3C">
      <w:pPr>
        <w:spacing w:after="0" w:line="259" w:lineRule="auto"/>
        <w:rPr>
          <w:rFonts w:cstheme="minorHAnsi"/>
          <w:lang w:val="en-US"/>
        </w:rPr>
      </w:pPr>
      <w:r w:rsidRPr="00AB7D1E">
        <w:rPr>
          <w:rFonts w:cstheme="minorHAnsi"/>
          <w:lang w:val="en-US"/>
        </w:rPr>
        <w:t xml:space="preserve">Croatia Earthquake Recovery and Public Health Preparedness Project – </w:t>
      </w:r>
      <w:r w:rsidR="008F5405" w:rsidRPr="00AB7D1E">
        <w:rPr>
          <w:rFonts w:cstheme="minorHAnsi"/>
          <w:b/>
          <w:bCs/>
          <w:lang w:val="en-US"/>
        </w:rPr>
        <w:t>Component</w:t>
      </w:r>
      <w:r w:rsidRPr="00AB7D1E">
        <w:rPr>
          <w:rFonts w:cstheme="minorHAnsi"/>
          <w:b/>
          <w:bCs/>
          <w:lang w:val="en-US"/>
        </w:rPr>
        <w:t xml:space="preserve"> (</w:t>
      </w:r>
      <w:r w:rsidR="001B41D6" w:rsidRPr="00AB7D1E">
        <w:rPr>
          <w:rFonts w:cstheme="minorHAnsi"/>
          <w:b/>
          <w:bCs/>
          <w:lang w:val="en-US"/>
        </w:rPr>
        <w:t>2</w:t>
      </w:r>
      <w:r w:rsidRPr="00AB7D1E">
        <w:rPr>
          <w:rFonts w:cstheme="minorHAnsi"/>
          <w:b/>
          <w:bCs/>
          <w:lang w:val="en-US"/>
        </w:rPr>
        <w:t xml:space="preserve">) - </w:t>
      </w:r>
      <w:r w:rsidR="001B41D6" w:rsidRPr="00AB7D1E">
        <w:rPr>
          <w:rFonts w:cstheme="minorHAnsi"/>
          <w:b/>
          <w:bCs/>
          <w:lang w:val="en-US"/>
        </w:rPr>
        <w:t>Public Health Surveillance and Preparedness</w:t>
      </w:r>
      <w:r w:rsidR="001B41D6" w:rsidRPr="00AB7D1E">
        <w:rPr>
          <w:rFonts w:cstheme="minorHAnsi"/>
          <w:lang w:val="en-US"/>
        </w:rPr>
        <w:t xml:space="preserve"> </w:t>
      </w:r>
      <w:r w:rsidRPr="00AB7D1E">
        <w:rPr>
          <w:rFonts w:cstheme="minorHAnsi"/>
          <w:lang w:val="en-US"/>
        </w:rPr>
        <w:t>will be implemented by the Project Implementation Unit (PIU</w:t>
      </w:r>
      <w:r w:rsidR="001B41D6" w:rsidRPr="00AB7D1E">
        <w:rPr>
          <w:rFonts w:cstheme="minorHAnsi"/>
          <w:lang w:val="en-US"/>
        </w:rPr>
        <w:t>-1</w:t>
      </w:r>
      <w:r w:rsidRPr="00AB7D1E">
        <w:rPr>
          <w:rFonts w:cstheme="minorHAnsi"/>
          <w:lang w:val="en-US"/>
        </w:rPr>
        <w:t xml:space="preserve">) that will be established within the </w:t>
      </w:r>
      <w:proofErr w:type="spellStart"/>
      <w:r w:rsidRPr="00AB7D1E">
        <w:rPr>
          <w:rFonts w:cstheme="minorHAnsi"/>
          <w:lang w:val="en-US"/>
        </w:rPr>
        <w:t>MoPPCS</w:t>
      </w:r>
      <w:r w:rsidR="0089661A">
        <w:rPr>
          <w:rFonts w:cstheme="minorHAnsi"/>
          <w:lang w:val="en-US"/>
        </w:rPr>
        <w:t>A</w:t>
      </w:r>
      <w:proofErr w:type="spellEnd"/>
      <w:r w:rsidR="001B41D6" w:rsidRPr="00AB7D1E">
        <w:rPr>
          <w:rFonts w:cstheme="minorHAnsi"/>
          <w:lang w:val="en-US"/>
        </w:rPr>
        <w:t xml:space="preserve"> and PIU-2 that will be established within </w:t>
      </w:r>
      <w:proofErr w:type="spellStart"/>
      <w:r w:rsidR="008F5405" w:rsidRPr="00AB7D1E">
        <w:rPr>
          <w:rFonts w:cstheme="minorHAnsi"/>
          <w:lang w:val="en-US"/>
        </w:rPr>
        <w:t>MoH</w:t>
      </w:r>
      <w:proofErr w:type="spellEnd"/>
      <w:r w:rsidR="008F5405" w:rsidRPr="00AB7D1E">
        <w:rPr>
          <w:rFonts w:cstheme="minorHAnsi"/>
          <w:lang w:val="en-US"/>
        </w:rPr>
        <w:t>.</w:t>
      </w:r>
    </w:p>
    <w:p w14:paraId="5E6BCB6A" w14:textId="77F5C4E5" w:rsidR="003A16BF" w:rsidRPr="003A16BF" w:rsidRDefault="003A16BF" w:rsidP="003A16BF">
      <w:pPr>
        <w:suppressAutoHyphens w:val="0"/>
        <w:autoSpaceDN/>
        <w:spacing w:before="0" w:after="0" w:line="276" w:lineRule="auto"/>
        <w:textAlignment w:val="auto"/>
        <w:rPr>
          <w:rFonts w:ascii="Calibri" w:eastAsia="SimSun" w:hAnsi="Calibri" w:cs="Calibri"/>
          <w:lang w:val="en-GB"/>
        </w:rPr>
      </w:pPr>
      <w:bookmarkStart w:id="195" w:name="_Hlk51708930"/>
      <w:r w:rsidRPr="003A16BF">
        <w:rPr>
          <w:rFonts w:ascii="Calibri" w:eastAsia="SimSun" w:hAnsi="Calibri" w:cs="Calibri"/>
          <w:lang w:val="en-GB"/>
        </w:rPr>
        <w:t>The main Project Implementation Unit (PIU</w:t>
      </w:r>
      <w:r>
        <w:rPr>
          <w:rFonts w:ascii="Calibri" w:eastAsia="SimSun" w:hAnsi="Calibri" w:cs="Calibri"/>
          <w:lang w:val="en-GB"/>
        </w:rPr>
        <w:t>-1</w:t>
      </w:r>
      <w:r w:rsidRPr="003A16BF">
        <w:rPr>
          <w:rFonts w:ascii="Calibri" w:eastAsia="SimSun" w:hAnsi="Calibri" w:cs="Calibri"/>
          <w:lang w:val="en-GB"/>
        </w:rPr>
        <w:t xml:space="preserve">) will be established within the </w:t>
      </w:r>
      <w:proofErr w:type="spellStart"/>
      <w:r w:rsidRPr="003A16BF">
        <w:rPr>
          <w:rFonts w:ascii="Calibri" w:eastAsia="SimSun" w:hAnsi="Calibri" w:cs="Calibri"/>
          <w:lang w:val="en-GB"/>
        </w:rPr>
        <w:t>MoPP</w:t>
      </w:r>
      <w:r>
        <w:rPr>
          <w:rFonts w:ascii="Calibri" w:eastAsia="SimSun" w:hAnsi="Calibri" w:cs="Calibri"/>
          <w:lang w:val="en-GB"/>
        </w:rPr>
        <w:t>CSA</w:t>
      </w:r>
      <w:proofErr w:type="spellEnd"/>
      <w:r w:rsidRPr="003A16BF">
        <w:rPr>
          <w:rFonts w:ascii="Calibri" w:eastAsia="SimSun" w:hAnsi="Calibri" w:cs="Calibri"/>
          <w:lang w:val="en-GB"/>
        </w:rPr>
        <w:t xml:space="preserve">. The </w:t>
      </w:r>
      <w:proofErr w:type="spellStart"/>
      <w:r w:rsidRPr="003A16BF">
        <w:rPr>
          <w:rFonts w:ascii="Calibri" w:eastAsia="SimSun" w:hAnsi="Calibri" w:cs="Calibri"/>
          <w:lang w:val="en-GB"/>
        </w:rPr>
        <w:t>MoPP</w:t>
      </w:r>
      <w:r>
        <w:rPr>
          <w:rFonts w:ascii="Calibri" w:eastAsia="SimSun" w:hAnsi="Calibri" w:cs="Calibri"/>
          <w:lang w:val="en-GB"/>
        </w:rPr>
        <w:t>CSA</w:t>
      </w:r>
      <w:proofErr w:type="spellEnd"/>
      <w:r w:rsidRPr="003A16BF">
        <w:rPr>
          <w:rFonts w:ascii="Calibri" w:eastAsia="SimSun" w:hAnsi="Calibri" w:cs="Calibri"/>
          <w:lang w:val="en-GB"/>
        </w:rPr>
        <w:t xml:space="preserve"> PIU will be responsible for Component 1, as well as civil works under Component 2 and will be accountable for reporting to both the World Bank and the PSC on all Project activities and progress. </w:t>
      </w:r>
      <w:bookmarkEnd w:id="195"/>
      <w:r w:rsidRPr="003A16BF">
        <w:rPr>
          <w:rFonts w:ascii="Calibri" w:eastAsia="SimSun" w:hAnsi="Calibri" w:cs="Calibri"/>
          <w:lang w:val="en-GB"/>
        </w:rPr>
        <w:t xml:space="preserve">A second PIU, the </w:t>
      </w:r>
      <w:proofErr w:type="spellStart"/>
      <w:r w:rsidRPr="003A16BF">
        <w:rPr>
          <w:rFonts w:ascii="Calibri" w:eastAsia="SimSun" w:hAnsi="Calibri" w:cs="Calibri"/>
          <w:lang w:val="en-GB"/>
        </w:rPr>
        <w:t>MoH</w:t>
      </w:r>
      <w:proofErr w:type="spellEnd"/>
      <w:r w:rsidRPr="003A16BF">
        <w:rPr>
          <w:rFonts w:ascii="Calibri" w:eastAsia="SimSun" w:hAnsi="Calibri" w:cs="Calibri"/>
          <w:lang w:val="en-GB"/>
        </w:rPr>
        <w:t xml:space="preserve"> PIU (PIU-2), will be established within the </w:t>
      </w:r>
      <w:proofErr w:type="spellStart"/>
      <w:r w:rsidRPr="003A16BF">
        <w:rPr>
          <w:rFonts w:ascii="Calibri" w:eastAsia="SimSun" w:hAnsi="Calibri" w:cs="Calibri"/>
          <w:lang w:val="en-GB"/>
        </w:rPr>
        <w:t>MoH</w:t>
      </w:r>
      <w:proofErr w:type="spellEnd"/>
      <w:r w:rsidRPr="003A16BF">
        <w:rPr>
          <w:rFonts w:ascii="Calibri" w:eastAsia="SimSun" w:hAnsi="Calibri" w:cs="Calibri"/>
          <w:lang w:val="en-GB"/>
        </w:rPr>
        <w:t xml:space="preserve"> and will be responsible for Component 2. Component 3 will finance all operational functions of the PIUs including building staff capacity in technical, procurement, FM, environmental and social safeguards, and communication</w:t>
      </w:r>
      <w:r w:rsidRPr="003A16BF">
        <w:rPr>
          <w:rFonts w:ascii="Calibri" w:eastAsia="SimSun" w:hAnsi="Calibri" w:cs="Calibri"/>
          <w:color w:val="000000"/>
          <w:lang w:val="en-GB"/>
        </w:rPr>
        <w:t>.</w:t>
      </w:r>
    </w:p>
    <w:p w14:paraId="5FAE7881" w14:textId="53F243A3" w:rsidR="003A16BF" w:rsidRPr="00AB7D1E" w:rsidRDefault="003A16BF" w:rsidP="006B3B3C">
      <w:pPr>
        <w:spacing w:after="0" w:line="259" w:lineRule="auto"/>
        <w:rPr>
          <w:lang w:val="en-US"/>
        </w:rPr>
      </w:pPr>
      <w:r w:rsidRPr="003A16BF">
        <w:rPr>
          <w:lang w:val="en-US"/>
        </w:rPr>
        <w:t>Each PIU will be responsible for overall implementation of its respective activities, including functions such as FM, procurement, technical inputs, progress monitoring, quality control, and social and environmental safeguards</w:t>
      </w:r>
      <w:r>
        <w:rPr>
          <w:lang w:val="en-US"/>
        </w:rPr>
        <w:t>.</w:t>
      </w:r>
    </w:p>
    <w:p w14:paraId="1B618BA9" w14:textId="46045EC5" w:rsidR="003A16BF" w:rsidRPr="003A16BF" w:rsidRDefault="003A16BF" w:rsidP="003A16BF">
      <w:pPr>
        <w:suppressAutoHyphens w:val="0"/>
        <w:autoSpaceDN/>
        <w:spacing w:before="0" w:line="276" w:lineRule="auto"/>
        <w:textAlignment w:val="auto"/>
        <w:rPr>
          <w:rFonts w:ascii="Calibri" w:eastAsia="SimSun" w:hAnsi="Calibri" w:cs="Calibri"/>
          <w:b/>
          <w:color w:val="000000"/>
          <w:lang w:val="en-GB"/>
        </w:rPr>
      </w:pPr>
      <w:bookmarkStart w:id="196" w:name="_Hlk51709059"/>
      <w:r w:rsidRPr="003A16BF">
        <w:rPr>
          <w:rFonts w:ascii="Calibri" w:eastAsia="SimSun" w:hAnsi="Calibri" w:cs="Calibri"/>
          <w:b/>
          <w:color w:val="000000"/>
          <w:lang w:val="en-GB"/>
        </w:rPr>
        <w:t xml:space="preserve">Main Responsibilities of </w:t>
      </w:r>
      <w:proofErr w:type="spellStart"/>
      <w:r w:rsidRPr="003A16BF">
        <w:rPr>
          <w:rFonts w:ascii="Calibri" w:eastAsia="SimSun" w:hAnsi="Calibri" w:cs="Calibri"/>
          <w:b/>
          <w:bCs/>
          <w:lang w:val="en-GB"/>
        </w:rPr>
        <w:t>Mo</w:t>
      </w:r>
      <w:r>
        <w:rPr>
          <w:rFonts w:ascii="Calibri" w:eastAsia="SimSun" w:hAnsi="Calibri" w:cs="Calibri"/>
          <w:b/>
          <w:bCs/>
          <w:lang w:val="en-GB"/>
        </w:rPr>
        <w:t>PPCSA</w:t>
      </w:r>
      <w:proofErr w:type="spellEnd"/>
      <w:r w:rsidRPr="003A16BF">
        <w:rPr>
          <w:rFonts w:ascii="Calibri" w:eastAsia="SimSun" w:hAnsi="Calibri" w:cs="Calibri"/>
          <w:lang w:val="en-GB"/>
        </w:rPr>
        <w:t xml:space="preserve"> </w:t>
      </w:r>
      <w:r w:rsidRPr="003A16BF">
        <w:rPr>
          <w:rFonts w:ascii="Calibri" w:eastAsia="SimSun" w:hAnsi="Calibri" w:cs="Calibri"/>
          <w:b/>
          <w:color w:val="000000"/>
          <w:lang w:val="en-GB"/>
        </w:rPr>
        <w:t xml:space="preserve">and </w:t>
      </w:r>
      <w:proofErr w:type="spellStart"/>
      <w:r w:rsidRPr="003A16BF">
        <w:rPr>
          <w:rFonts w:ascii="Calibri" w:eastAsia="SimSun" w:hAnsi="Calibri" w:cs="Calibri"/>
          <w:b/>
          <w:color w:val="000000"/>
          <w:lang w:val="en-GB"/>
        </w:rPr>
        <w:t>MoH</w:t>
      </w:r>
      <w:proofErr w:type="spellEnd"/>
      <w:r w:rsidRPr="003A16BF">
        <w:rPr>
          <w:rFonts w:ascii="Calibri" w:eastAsia="SimSun" w:hAnsi="Calibri" w:cs="Calibri"/>
          <w:b/>
          <w:color w:val="000000"/>
          <w:lang w:val="en-GB"/>
        </w:rPr>
        <w:t xml:space="preserve"> PIUs regarding </w:t>
      </w:r>
      <w:r w:rsidRPr="003A16BF">
        <w:rPr>
          <w:rFonts w:ascii="Calibri" w:eastAsia="SimSun" w:hAnsi="Calibri"/>
          <w:b/>
          <w:bCs/>
          <w:i/>
          <w:iCs/>
          <w:lang w:val="en-GB"/>
        </w:rPr>
        <w:t>environmental and social policies and standards</w:t>
      </w:r>
      <w:r w:rsidRPr="003A16BF">
        <w:rPr>
          <w:rFonts w:ascii="Calibri" w:eastAsia="SimSun" w:hAnsi="Calibri" w:cs="Calibri"/>
          <w:b/>
          <w:color w:val="000000"/>
          <w:lang w:val="en-GB"/>
        </w:rPr>
        <w:t>:</w:t>
      </w:r>
    </w:p>
    <w:p w14:paraId="083795D5" w14:textId="6EEE93FA"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Implements activities related to environmental and social policies and standards in accordance with the provisions of the loan agreement</w:t>
      </w:r>
      <w:r w:rsidR="00935648">
        <w:rPr>
          <w:rFonts w:ascii="Calibri" w:eastAsia="Times New Roman" w:hAnsi="Calibri" w:cs="Calibri"/>
          <w:color w:val="000000"/>
          <w:lang w:val="en-US" w:eastAsia="ro-RO"/>
        </w:rPr>
        <w:t>, ESCP and ESF;</w:t>
      </w:r>
    </w:p>
    <w:p w14:paraId="577BD223" w14:textId="03A5C0C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Ensures that the terms of reference for any design consultancy services incorporate the World Bank requirements and environmental and social policies and standards as defined under the </w:t>
      </w:r>
      <w:r>
        <w:rPr>
          <w:rFonts w:ascii="Calibri" w:eastAsia="Times New Roman" w:hAnsi="Calibri" w:cs="Calibri"/>
          <w:color w:val="000000"/>
          <w:lang w:val="en-US" w:eastAsia="ro-RO"/>
        </w:rPr>
        <w:t xml:space="preserve">this </w:t>
      </w:r>
      <w:r w:rsidRPr="003A16BF">
        <w:rPr>
          <w:rFonts w:ascii="Calibri" w:eastAsia="Times New Roman" w:hAnsi="Calibri" w:cs="Calibri"/>
          <w:color w:val="000000"/>
          <w:lang w:val="en-US" w:eastAsia="ro-RO"/>
        </w:rPr>
        <w:t>ESM</w:t>
      </w:r>
      <w:r>
        <w:rPr>
          <w:rFonts w:ascii="Calibri" w:eastAsia="Times New Roman" w:hAnsi="Calibri" w:cs="Calibri"/>
          <w:color w:val="000000"/>
          <w:lang w:val="en-US" w:eastAsia="ro-RO"/>
        </w:rPr>
        <w:t>s</w:t>
      </w:r>
      <w:r w:rsidRPr="003A16BF">
        <w:rPr>
          <w:rFonts w:ascii="Calibri" w:eastAsia="Times New Roman" w:hAnsi="Calibri" w:cs="Calibri"/>
          <w:color w:val="000000"/>
          <w:lang w:val="en-US" w:eastAsia="ro-RO"/>
        </w:rPr>
        <w:t xml:space="preserve"> and sub-project ESMPs</w:t>
      </w:r>
      <w:r>
        <w:rPr>
          <w:rFonts w:ascii="Calibri" w:eastAsia="Times New Roman" w:hAnsi="Calibri" w:cs="Calibri"/>
          <w:color w:val="000000"/>
          <w:lang w:val="en-US" w:eastAsia="ro-RO"/>
        </w:rPr>
        <w:t xml:space="preserve"> Checklist</w:t>
      </w:r>
      <w:r w:rsidR="008A14A5">
        <w:rPr>
          <w:rFonts w:ascii="Calibri" w:eastAsia="Times New Roman" w:hAnsi="Calibri" w:cs="Calibri"/>
          <w:color w:val="000000"/>
          <w:lang w:val="en-US" w:eastAsia="ro-RO"/>
        </w:rPr>
        <w:t>/CHMP</w:t>
      </w:r>
      <w:r w:rsidRPr="003A16BF">
        <w:rPr>
          <w:rFonts w:ascii="Calibri" w:eastAsia="Times New Roman" w:hAnsi="Calibri" w:cs="Calibri"/>
          <w:color w:val="000000"/>
          <w:lang w:val="en-US" w:eastAsia="ro-RO"/>
        </w:rPr>
        <w:t>, including consultations on the results of environmental and social impact assessments and draft ESMPs</w:t>
      </w:r>
      <w:r>
        <w:rPr>
          <w:rFonts w:ascii="Calibri" w:eastAsia="Times New Roman" w:hAnsi="Calibri" w:cs="Calibri"/>
          <w:color w:val="000000"/>
          <w:lang w:val="en-US" w:eastAsia="ro-RO"/>
        </w:rPr>
        <w:t xml:space="preserve"> Checklist</w:t>
      </w:r>
      <w:r w:rsidR="008A14A5">
        <w:rPr>
          <w:rFonts w:ascii="Calibri" w:eastAsia="Times New Roman" w:hAnsi="Calibri" w:cs="Calibri"/>
          <w:color w:val="000000"/>
          <w:lang w:val="en-US" w:eastAsia="ro-RO"/>
        </w:rPr>
        <w:t>/CHMP</w:t>
      </w:r>
      <w:r w:rsidRPr="003A16BF">
        <w:rPr>
          <w:rFonts w:ascii="Calibri" w:eastAsia="Times New Roman" w:hAnsi="Calibri" w:cs="Calibri"/>
          <w:color w:val="000000"/>
          <w:lang w:val="en-US" w:eastAsia="ro-RO"/>
        </w:rPr>
        <w:t xml:space="preserve">, timely disclosure of draft and final ESMPs </w:t>
      </w:r>
      <w:r>
        <w:rPr>
          <w:rFonts w:ascii="Calibri" w:eastAsia="Times New Roman" w:hAnsi="Calibri" w:cs="Calibri"/>
          <w:color w:val="000000"/>
          <w:lang w:val="en-US" w:eastAsia="ro-RO"/>
        </w:rPr>
        <w:t>Check</w:t>
      </w:r>
      <w:r w:rsidR="00E466CC">
        <w:rPr>
          <w:rFonts w:ascii="Calibri" w:eastAsia="Times New Roman" w:hAnsi="Calibri" w:cs="Calibri"/>
          <w:color w:val="000000"/>
          <w:lang w:val="en-US" w:eastAsia="ro-RO"/>
        </w:rPr>
        <w:t>list</w:t>
      </w:r>
      <w:r w:rsidR="008A14A5">
        <w:rPr>
          <w:rFonts w:ascii="Calibri" w:eastAsia="Times New Roman" w:hAnsi="Calibri" w:cs="Calibri"/>
          <w:color w:val="000000"/>
          <w:lang w:val="en-US" w:eastAsia="ro-RO"/>
        </w:rPr>
        <w:t>/CHMP</w:t>
      </w:r>
      <w:r w:rsidR="00E466CC">
        <w:rPr>
          <w:rFonts w:ascii="Calibri" w:eastAsia="Times New Roman" w:hAnsi="Calibri" w:cs="Calibri"/>
          <w:color w:val="000000"/>
          <w:lang w:val="en-US" w:eastAsia="ro-RO"/>
        </w:rPr>
        <w:t xml:space="preserve"> </w:t>
      </w:r>
      <w:r w:rsidRPr="003A16BF">
        <w:rPr>
          <w:rFonts w:ascii="Calibri" w:eastAsia="Times New Roman" w:hAnsi="Calibri" w:cs="Calibri"/>
          <w:color w:val="000000"/>
          <w:lang w:val="en-US" w:eastAsia="ro-RO"/>
        </w:rPr>
        <w:t>and screening for gender based violence (GBV);</w:t>
      </w:r>
    </w:p>
    <w:p w14:paraId="443966AD" w14:textId="5E64B1DC" w:rsid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Ensures technical coordination of activities related to the preparation and implementation of </w:t>
      </w:r>
      <w:r w:rsidR="00E466CC">
        <w:rPr>
          <w:rFonts w:ascii="Calibri" w:eastAsia="Times New Roman" w:hAnsi="Calibri" w:cs="Calibri"/>
          <w:color w:val="000000"/>
          <w:lang w:val="en-US" w:eastAsia="ro-RO"/>
        </w:rPr>
        <w:t>ESMPs Checklist</w:t>
      </w:r>
      <w:r w:rsidR="008A14A5">
        <w:rPr>
          <w:rFonts w:ascii="Calibri" w:eastAsia="Times New Roman" w:hAnsi="Calibri" w:cs="Calibri"/>
          <w:color w:val="000000"/>
          <w:lang w:val="en-US" w:eastAsia="ro-RO"/>
        </w:rPr>
        <w:t>/CHMP</w:t>
      </w:r>
    </w:p>
    <w:p w14:paraId="58082F2B" w14:textId="67C6A598" w:rsidR="00935648" w:rsidRPr="00935648" w:rsidRDefault="00935648" w:rsidP="00935648">
      <w:pPr>
        <w:pStyle w:val="ListParagraph"/>
        <w:numPr>
          <w:ilvl w:val="0"/>
          <w:numId w:val="74"/>
        </w:numPr>
        <w:rPr>
          <w:rFonts w:ascii="Calibri" w:eastAsia="Times New Roman" w:hAnsi="Calibri" w:cs="Calibri"/>
          <w:color w:val="000000"/>
          <w:lang w:val="en-US" w:eastAsia="ro-RO"/>
        </w:rPr>
      </w:pPr>
      <w:r w:rsidRPr="00935648">
        <w:rPr>
          <w:rFonts w:ascii="Calibri" w:eastAsia="Times New Roman" w:hAnsi="Calibri" w:cs="Calibri"/>
          <w:color w:val="000000"/>
          <w:lang w:val="en-US" w:eastAsia="ro-RO"/>
        </w:rPr>
        <w:t>Demonstrates, in the manner acceptable to the Bank, compliance of finalized works with the ESF;</w:t>
      </w:r>
    </w:p>
    <w:p w14:paraId="6924CC25" w14:textId="19391580"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Ensures that the execution of construction works is in accordance with the ESMF and site-specific mitigation measures; Manages the GRM to monitor, respond and report on feedback provided by the public on the project’s activities </w:t>
      </w:r>
    </w:p>
    <w:p w14:paraId="43B8845A" w14:textId="17F6C639" w:rsidR="003A16BF" w:rsidRPr="003A16BF" w:rsidRDefault="003A16BF" w:rsidP="00BE60A0">
      <w:pPr>
        <w:numPr>
          <w:ilvl w:val="0"/>
          <w:numId w:val="74"/>
        </w:numPr>
        <w:shd w:val="clear" w:color="auto" w:fill="FFFFFF"/>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Collaborates with the Communication and </w:t>
      </w:r>
      <w:r w:rsidR="008A14A5">
        <w:rPr>
          <w:rFonts w:ascii="Calibri" w:eastAsia="Times New Roman" w:hAnsi="Calibri" w:cs="Calibri"/>
          <w:color w:val="000000"/>
          <w:lang w:val="en-US" w:eastAsia="ro-RO"/>
        </w:rPr>
        <w:t>legal</w:t>
      </w:r>
      <w:r w:rsidRPr="003A16BF">
        <w:rPr>
          <w:rFonts w:ascii="Calibri" w:eastAsia="Times New Roman" w:hAnsi="Calibri" w:cs="Calibri"/>
          <w:color w:val="000000"/>
          <w:lang w:val="en-US" w:eastAsia="ro-RO"/>
        </w:rPr>
        <w:t xml:space="preserve"> expert on communication about project activities to direct beneficiaries, affected persons and the wider public, particularly inclusive public outreach activities that are sufficiently nuanced and targeted effectively towards vulnerable groups (e.g. men/women, disabled, youth/elderly etc.);</w:t>
      </w:r>
    </w:p>
    <w:p w14:paraId="18BA5387" w14:textId="7777777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Explores opportunities to consult and engage with project beneficiaries and members of the general public</w:t>
      </w:r>
    </w:p>
    <w:p w14:paraId="3F232BEC" w14:textId="7777777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Develops a monitoring system of the activities, carries out and updates continuously the data base related to the implemented activities in order to dispose at any time of relevant monitoring information comparable and compatible concerning the problems of environmental protection on sites;</w:t>
      </w:r>
    </w:p>
    <w:p w14:paraId="4358DA52" w14:textId="7E399166"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Monitors implementation of environmental and social policies and standards’ activities including risks, impacts and mitigation measures</w:t>
      </w:r>
      <w:r w:rsidR="00935648">
        <w:rPr>
          <w:rFonts w:ascii="Calibri" w:eastAsia="Times New Roman" w:hAnsi="Calibri" w:cs="Calibri"/>
          <w:color w:val="000000"/>
          <w:lang w:val="en-US" w:eastAsia="ro-RO"/>
        </w:rPr>
        <w:t xml:space="preserve"> in compliance with ESMF</w:t>
      </w:r>
      <w:r w:rsidRPr="003A16BF">
        <w:rPr>
          <w:rFonts w:ascii="Calibri" w:eastAsia="Times New Roman" w:hAnsi="Calibri" w:cs="Calibri"/>
          <w:color w:val="000000"/>
          <w:lang w:val="en-US" w:eastAsia="ro-RO"/>
        </w:rPr>
        <w:t xml:space="preserve">. These include measures to mitigate the impact of construction activities, as well as health and safety protection measures </w:t>
      </w:r>
      <w:r w:rsidRPr="003A16BF">
        <w:rPr>
          <w:rFonts w:ascii="Calibri" w:eastAsia="Times New Roman" w:hAnsi="Calibri" w:cs="Calibri"/>
          <w:color w:val="000000"/>
          <w:lang w:val="en-US" w:eastAsia="ro-RO"/>
        </w:rPr>
        <w:lastRenderedPageBreak/>
        <w:t xml:space="preserve">and reporting of any incidents as per ESIRT; </w:t>
      </w:r>
      <w:r w:rsidR="00AC686B">
        <w:rPr>
          <w:rFonts w:ascii="Calibri" w:eastAsia="Times New Roman" w:hAnsi="Calibri" w:cs="Calibri"/>
          <w:color w:val="000000"/>
          <w:lang w:val="en-US" w:eastAsia="ro-RO"/>
        </w:rPr>
        <w:t>p</w:t>
      </w:r>
      <w:r w:rsidRPr="003A16BF">
        <w:rPr>
          <w:rFonts w:ascii="Calibri" w:eastAsia="Times New Roman" w:hAnsi="Calibri" w:cs="Calibri"/>
          <w:color w:val="000000"/>
          <w:lang w:val="en-US" w:eastAsia="ro-RO"/>
        </w:rPr>
        <w:t>repares and submits the initiation of legal documents for the approval of investments in accordance with the legal provisions in force;</w:t>
      </w:r>
    </w:p>
    <w:p w14:paraId="42BC509C" w14:textId="0CE34FD9"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Ensures the execution of the construction works in accordance with the general ESMF and relevant site-specific ESMPs </w:t>
      </w:r>
      <w:r w:rsidR="00E466CC">
        <w:rPr>
          <w:rFonts w:ascii="Calibri" w:eastAsia="Times New Roman" w:hAnsi="Calibri" w:cs="Calibri"/>
          <w:color w:val="000000"/>
          <w:lang w:val="en-US" w:eastAsia="ro-RO"/>
        </w:rPr>
        <w:t>Checklist</w:t>
      </w:r>
      <w:r w:rsidR="008A14A5">
        <w:rPr>
          <w:rFonts w:ascii="Calibri" w:eastAsia="Times New Roman" w:hAnsi="Calibri" w:cs="Calibri"/>
          <w:color w:val="000000"/>
          <w:lang w:val="en-US" w:eastAsia="ro-RO"/>
        </w:rPr>
        <w:t>/CHM</w:t>
      </w:r>
      <w:bookmarkStart w:id="197" w:name="_GoBack"/>
      <w:bookmarkEnd w:id="197"/>
      <w:r w:rsidR="008A14A5">
        <w:rPr>
          <w:rFonts w:ascii="Calibri" w:eastAsia="Times New Roman" w:hAnsi="Calibri" w:cs="Calibri"/>
          <w:color w:val="000000"/>
          <w:lang w:val="en-US" w:eastAsia="ro-RO"/>
        </w:rPr>
        <w:t>P</w:t>
      </w:r>
      <w:r w:rsidR="00E466CC">
        <w:rPr>
          <w:rFonts w:ascii="Calibri" w:eastAsia="Times New Roman" w:hAnsi="Calibri" w:cs="Calibri"/>
          <w:color w:val="000000"/>
          <w:lang w:val="en-US" w:eastAsia="ro-RO"/>
        </w:rPr>
        <w:t xml:space="preserve"> </w:t>
      </w:r>
      <w:r w:rsidRPr="003A16BF">
        <w:rPr>
          <w:rFonts w:ascii="Calibri" w:eastAsia="Times New Roman" w:hAnsi="Calibri" w:cs="Calibri"/>
          <w:color w:val="000000"/>
          <w:lang w:val="en-US" w:eastAsia="ro-RO"/>
        </w:rPr>
        <w:t xml:space="preserve">and monitors and reports the social and environmental aspects of the project throughout its period of operation; </w:t>
      </w:r>
    </w:p>
    <w:p w14:paraId="4D6D3BD3" w14:textId="7777777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Prepares monthly reports and inform the project manager whenever there is a deviation from the pre-established program, in order to review the work plans;</w:t>
      </w:r>
    </w:p>
    <w:p w14:paraId="729CEE9B" w14:textId="20B43BFF"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Prepares periodic reports</w:t>
      </w:r>
      <w:r w:rsidR="00935648">
        <w:rPr>
          <w:rFonts w:ascii="Calibri" w:eastAsia="Times New Roman" w:hAnsi="Calibri" w:cs="Calibri"/>
          <w:color w:val="000000"/>
          <w:lang w:val="en-US" w:eastAsia="ro-RO"/>
        </w:rPr>
        <w:t xml:space="preserve"> as defined by ESCP,</w:t>
      </w:r>
      <w:r w:rsidRPr="003A16BF">
        <w:rPr>
          <w:rFonts w:ascii="Calibri" w:eastAsia="Times New Roman" w:hAnsi="Calibri" w:cs="Calibri"/>
          <w:color w:val="000000"/>
          <w:lang w:val="en-US" w:eastAsia="ro-RO"/>
        </w:rPr>
        <w:t xml:space="preserve"> for the World Bank and the Government and cooperates for the realization of the biannual reports on the implementation state of the project;</w:t>
      </w:r>
    </w:p>
    <w:p w14:paraId="097AB22A" w14:textId="77777777" w:rsidR="003A16BF" w:rsidRPr="003A16BF" w:rsidRDefault="003A16BF" w:rsidP="00BE60A0">
      <w:pPr>
        <w:numPr>
          <w:ilvl w:val="0"/>
          <w:numId w:val="74"/>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before="0" w:after="0" w:line="276" w:lineRule="auto"/>
        <w:textAlignment w:val="auto"/>
        <w:rPr>
          <w:rFonts w:ascii="Calibri" w:eastAsia="Times New Roman" w:hAnsi="Calibri" w:cs="Calibri"/>
          <w:color w:val="000000"/>
          <w:lang w:val="en-US" w:eastAsia="ro-RO"/>
        </w:rPr>
      </w:pPr>
      <w:r w:rsidRPr="003A16BF">
        <w:rPr>
          <w:rFonts w:ascii="Calibri" w:eastAsia="Times New Roman" w:hAnsi="Calibri" w:cs="Calibri"/>
          <w:color w:val="000000"/>
          <w:lang w:val="en-US" w:eastAsia="ro-RO"/>
        </w:rPr>
        <w:t xml:space="preserve">Maintains contact with environmental and social specialists of the World </w:t>
      </w:r>
      <w:proofErr w:type="gramStart"/>
      <w:r w:rsidRPr="003A16BF">
        <w:rPr>
          <w:rFonts w:ascii="Calibri" w:eastAsia="Times New Roman" w:hAnsi="Calibri" w:cs="Calibri"/>
          <w:color w:val="000000"/>
          <w:lang w:val="en-US" w:eastAsia="ro-RO"/>
        </w:rPr>
        <w:t>Bank, and</w:t>
      </w:r>
      <w:proofErr w:type="gramEnd"/>
      <w:r w:rsidRPr="003A16BF">
        <w:rPr>
          <w:rFonts w:ascii="Calibri" w:eastAsia="Times New Roman" w:hAnsi="Calibri" w:cs="Calibri"/>
          <w:color w:val="000000"/>
          <w:lang w:val="en-US" w:eastAsia="ro-RO"/>
        </w:rPr>
        <w:t xml:space="preserve"> asks for advice on any problem that requires guidance regarding the activity in the field.</w:t>
      </w:r>
    </w:p>
    <w:bookmarkEnd w:id="196"/>
    <w:p w14:paraId="2DD24239" w14:textId="2927B529" w:rsidR="006B3B3C" w:rsidRPr="00AB7D1E" w:rsidRDefault="006B3B3C" w:rsidP="006B3B3C">
      <w:pPr>
        <w:spacing w:after="0" w:line="259" w:lineRule="auto"/>
        <w:rPr>
          <w:lang w:val="en-US"/>
        </w:rPr>
      </w:pPr>
      <w:r w:rsidRPr="00AB7D1E">
        <w:rPr>
          <w:lang w:val="en-US"/>
        </w:rPr>
        <w:t>Oversight and guidance for the implementation of the SEP will also be provided by PIU</w:t>
      </w:r>
      <w:r w:rsidR="00455D27" w:rsidRPr="00AB7D1E">
        <w:rPr>
          <w:lang w:val="en-US"/>
        </w:rPr>
        <w:t xml:space="preserve"> (by the head of each PIU)</w:t>
      </w:r>
      <w:r w:rsidRPr="00AB7D1E">
        <w:rPr>
          <w:lang w:val="en-US"/>
        </w:rPr>
        <w:t xml:space="preserve">. The PIU will coordinate with other relevant government entities (e.g. the Ministry of Science and Education, Civil Protection Administration, etc.) and non-government organizations. </w:t>
      </w:r>
    </w:p>
    <w:p w14:paraId="76435A92" w14:textId="75559FDF" w:rsidR="006B3B3C" w:rsidRPr="00AB7D1E" w:rsidRDefault="006B3B3C" w:rsidP="006B3B3C">
      <w:pPr>
        <w:spacing w:after="0" w:line="259" w:lineRule="auto"/>
        <w:rPr>
          <w:rFonts w:cstheme="minorHAnsi"/>
          <w:lang w:val="en-US"/>
        </w:rPr>
      </w:pPr>
      <w:r w:rsidRPr="00AB7D1E">
        <w:rPr>
          <w:rFonts w:cstheme="minorHAnsi"/>
          <w:lang w:val="en-US"/>
        </w:rPr>
        <w:t xml:space="preserve">Required staff who will be engaged for project is shown in the </w:t>
      </w:r>
      <w:r w:rsidRPr="00AB7D1E">
        <w:rPr>
          <w:rFonts w:cstheme="minorHAnsi"/>
          <w:lang w:val="en-US"/>
        </w:rPr>
        <w:fldChar w:fldCharType="begin"/>
      </w:r>
      <w:r w:rsidRPr="00AB7D1E">
        <w:rPr>
          <w:rFonts w:cstheme="minorHAnsi"/>
          <w:lang w:val="en-US"/>
        </w:rPr>
        <w:instrText xml:space="preserve"> REF _Ref47881238 \h  \* MERGEFORMAT </w:instrText>
      </w:r>
      <w:r w:rsidRPr="00AB7D1E">
        <w:rPr>
          <w:rFonts w:cstheme="minorHAnsi"/>
          <w:lang w:val="en-US"/>
        </w:rPr>
      </w:r>
      <w:r w:rsidRPr="00AB7D1E">
        <w:rPr>
          <w:rFonts w:cstheme="minorHAnsi"/>
          <w:lang w:val="en-US"/>
        </w:rPr>
        <w:fldChar w:fldCharType="separate"/>
      </w:r>
      <w:r w:rsidR="007D1E1B" w:rsidRPr="007D1E1B">
        <w:rPr>
          <w:lang w:val="en-US"/>
        </w:rPr>
        <w:t>Table 20</w:t>
      </w:r>
      <w:r w:rsidRPr="00AB7D1E">
        <w:rPr>
          <w:rFonts w:cstheme="minorHAnsi"/>
          <w:lang w:val="en-US"/>
        </w:rPr>
        <w:fldChar w:fldCharType="end"/>
      </w:r>
      <w:r w:rsidRPr="00AB7D1E">
        <w:rPr>
          <w:rFonts w:cstheme="minorHAnsi"/>
          <w:lang w:val="en-US"/>
        </w:rPr>
        <w:t>.</w:t>
      </w:r>
    </w:p>
    <w:p w14:paraId="10F69964" w14:textId="689EC63C" w:rsidR="006B3B3C" w:rsidRPr="00AB7D1E" w:rsidRDefault="006B3B3C" w:rsidP="007D1E1B">
      <w:pPr>
        <w:pStyle w:val="Style1"/>
      </w:pPr>
      <w:bookmarkStart w:id="198" w:name="_Ref47881238"/>
      <w:bookmarkStart w:id="199" w:name="_Toc56952720"/>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20</w:t>
      </w:r>
      <w:r w:rsidR="00DF4A34" w:rsidRPr="00AB7D1E">
        <w:fldChar w:fldCharType="end"/>
      </w:r>
      <w:bookmarkEnd w:id="198"/>
      <w:r w:rsidRPr="00AB7D1E">
        <w:t>. PIU</w:t>
      </w:r>
      <w:r w:rsidR="00F80065">
        <w:t>-2</w:t>
      </w:r>
      <w:r w:rsidR="00C11E8F">
        <w:t xml:space="preserve"> (</w:t>
      </w:r>
      <w:proofErr w:type="spellStart"/>
      <w:r w:rsidR="00C11E8F">
        <w:t>MoH</w:t>
      </w:r>
      <w:proofErr w:type="spellEnd"/>
      <w:r w:rsidR="00C11E8F">
        <w:t>)</w:t>
      </w:r>
      <w:r w:rsidRPr="00AB7D1E">
        <w:t xml:space="preserve"> staff engaged for the Project</w:t>
      </w:r>
      <w:bookmarkEnd w:id="199"/>
    </w:p>
    <w:tbl>
      <w:tblPr>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2"/>
        <w:gridCol w:w="2551"/>
      </w:tblGrid>
      <w:tr w:rsidR="006B3B3C" w:rsidRPr="00E4324C" w14:paraId="0ED8A655" w14:textId="77777777" w:rsidTr="00AB1E22">
        <w:trPr>
          <w:tblHeader/>
        </w:trPr>
        <w:tc>
          <w:tcPr>
            <w:tcW w:w="3524" w:type="pct"/>
            <w:shd w:val="clear" w:color="auto" w:fill="CEDBE6" w:themeFill="background2"/>
            <w:vAlign w:val="center"/>
          </w:tcPr>
          <w:p w14:paraId="5F6738AA" w14:textId="77777777" w:rsidR="006B3B3C" w:rsidRPr="00E4324C" w:rsidRDefault="006B3B3C" w:rsidP="001B41D6">
            <w:pPr>
              <w:spacing w:before="0" w:after="0" w:line="240" w:lineRule="auto"/>
              <w:jc w:val="center"/>
              <w:rPr>
                <w:rFonts w:cstheme="minorHAnsi"/>
                <w:b/>
                <w:bCs/>
                <w:sz w:val="20"/>
                <w:szCs w:val="20"/>
                <w:lang w:val="en-US"/>
              </w:rPr>
            </w:pPr>
            <w:r w:rsidRPr="00E4324C">
              <w:rPr>
                <w:rFonts w:cstheme="minorHAnsi"/>
                <w:b/>
                <w:bCs/>
                <w:sz w:val="20"/>
                <w:szCs w:val="20"/>
                <w:lang w:val="en-US"/>
              </w:rPr>
              <w:t>Type of staff</w:t>
            </w:r>
          </w:p>
        </w:tc>
        <w:tc>
          <w:tcPr>
            <w:tcW w:w="1476" w:type="pct"/>
            <w:shd w:val="clear" w:color="auto" w:fill="CEDBE6" w:themeFill="background2"/>
            <w:vAlign w:val="center"/>
          </w:tcPr>
          <w:p w14:paraId="15F5B976" w14:textId="77777777" w:rsidR="006B3B3C" w:rsidRPr="00E4324C" w:rsidRDefault="006B3B3C" w:rsidP="001B41D6">
            <w:pPr>
              <w:spacing w:before="0" w:after="0" w:line="240" w:lineRule="auto"/>
              <w:jc w:val="center"/>
              <w:rPr>
                <w:rFonts w:cstheme="minorHAnsi"/>
                <w:b/>
                <w:bCs/>
                <w:sz w:val="20"/>
                <w:szCs w:val="20"/>
                <w:lang w:val="en-US"/>
              </w:rPr>
            </w:pPr>
            <w:r w:rsidRPr="00E4324C">
              <w:rPr>
                <w:rFonts w:cstheme="minorHAnsi"/>
                <w:b/>
                <w:bCs/>
                <w:sz w:val="20"/>
                <w:szCs w:val="20"/>
                <w:lang w:val="en-US"/>
              </w:rPr>
              <w:t>Number of staff</w:t>
            </w:r>
          </w:p>
        </w:tc>
      </w:tr>
      <w:tr w:rsidR="006B3B3C" w:rsidRPr="00E4324C" w14:paraId="47CB98DF" w14:textId="77777777" w:rsidTr="00AB1E22">
        <w:tc>
          <w:tcPr>
            <w:tcW w:w="3524" w:type="pct"/>
            <w:shd w:val="clear" w:color="auto" w:fill="FFFFFF"/>
            <w:vAlign w:val="center"/>
          </w:tcPr>
          <w:p w14:paraId="2871C2C7" w14:textId="0F0031CF" w:rsidR="006B3B3C" w:rsidRPr="00E4324C" w:rsidRDefault="00C11E8F" w:rsidP="001B41D6">
            <w:pPr>
              <w:spacing w:before="0" w:after="0" w:line="240" w:lineRule="auto"/>
              <w:rPr>
                <w:rFonts w:cstheme="minorHAnsi"/>
                <w:sz w:val="20"/>
                <w:szCs w:val="20"/>
                <w:lang w:val="en-US"/>
              </w:rPr>
            </w:pPr>
            <w:r w:rsidRPr="00E4324C">
              <w:rPr>
                <w:rFonts w:cstheme="minorHAnsi"/>
                <w:sz w:val="20"/>
                <w:szCs w:val="20"/>
                <w:lang w:val="en-US"/>
              </w:rPr>
              <w:t>Project Manager</w:t>
            </w:r>
            <w:r w:rsidR="006B3B3C" w:rsidRPr="00E4324C">
              <w:rPr>
                <w:rFonts w:cstheme="minorHAnsi"/>
                <w:sz w:val="20"/>
                <w:szCs w:val="20"/>
                <w:lang w:val="en-US"/>
              </w:rPr>
              <w:t xml:space="preserve"> </w:t>
            </w:r>
          </w:p>
        </w:tc>
        <w:tc>
          <w:tcPr>
            <w:tcW w:w="1476" w:type="pct"/>
            <w:shd w:val="clear" w:color="auto" w:fill="FFFFFF"/>
          </w:tcPr>
          <w:p w14:paraId="2F4A131A" w14:textId="77777777" w:rsidR="006B3B3C" w:rsidRPr="00E4324C" w:rsidRDefault="006B3B3C" w:rsidP="001B41D6">
            <w:pPr>
              <w:spacing w:before="0" w:after="0" w:line="240" w:lineRule="auto"/>
              <w:jc w:val="center"/>
              <w:rPr>
                <w:rFonts w:cstheme="minorHAnsi"/>
                <w:sz w:val="20"/>
                <w:szCs w:val="20"/>
                <w:lang w:val="en-US"/>
              </w:rPr>
            </w:pPr>
            <w:r w:rsidRPr="00E4324C">
              <w:rPr>
                <w:rFonts w:cstheme="minorHAnsi"/>
                <w:sz w:val="20"/>
                <w:szCs w:val="20"/>
                <w:lang w:val="en-US"/>
              </w:rPr>
              <w:t>1</w:t>
            </w:r>
          </w:p>
        </w:tc>
      </w:tr>
      <w:tr w:rsidR="00C11E8F" w:rsidRPr="00E4324C" w14:paraId="3BA6E26D" w14:textId="77777777" w:rsidTr="00AB1E22">
        <w:tc>
          <w:tcPr>
            <w:tcW w:w="3524" w:type="pct"/>
            <w:shd w:val="clear" w:color="auto" w:fill="FFFFFF"/>
            <w:vAlign w:val="center"/>
          </w:tcPr>
          <w:p w14:paraId="6A28F39C" w14:textId="0A28C730" w:rsidR="00C11E8F" w:rsidRPr="00E4324C" w:rsidDel="00C11E8F" w:rsidRDefault="00C11E8F" w:rsidP="001B41D6">
            <w:pPr>
              <w:spacing w:before="0" w:after="0" w:line="240" w:lineRule="auto"/>
              <w:rPr>
                <w:rFonts w:cstheme="minorHAnsi"/>
                <w:sz w:val="20"/>
                <w:szCs w:val="20"/>
                <w:lang w:val="en-US"/>
              </w:rPr>
            </w:pPr>
            <w:r w:rsidRPr="00E4324C">
              <w:rPr>
                <w:rFonts w:cstheme="minorHAnsi"/>
                <w:sz w:val="20"/>
                <w:szCs w:val="20"/>
                <w:lang w:val="en-US"/>
              </w:rPr>
              <w:t>Deputy Project Manager</w:t>
            </w:r>
          </w:p>
        </w:tc>
        <w:tc>
          <w:tcPr>
            <w:tcW w:w="1476" w:type="pct"/>
            <w:shd w:val="clear" w:color="auto" w:fill="FFFFFF"/>
          </w:tcPr>
          <w:p w14:paraId="40168987" w14:textId="596E33E2" w:rsidR="00C11E8F" w:rsidRPr="00E4324C" w:rsidRDefault="00C11E8F" w:rsidP="001B41D6">
            <w:pPr>
              <w:spacing w:before="0" w:after="0" w:line="240" w:lineRule="auto"/>
              <w:jc w:val="center"/>
              <w:rPr>
                <w:rFonts w:cstheme="minorHAnsi"/>
                <w:sz w:val="20"/>
                <w:szCs w:val="20"/>
                <w:lang w:val="en-US"/>
              </w:rPr>
            </w:pPr>
            <w:r w:rsidRPr="00E4324C">
              <w:rPr>
                <w:rFonts w:cstheme="minorHAnsi"/>
                <w:sz w:val="20"/>
                <w:szCs w:val="20"/>
                <w:lang w:val="en-US"/>
              </w:rPr>
              <w:t>1</w:t>
            </w:r>
          </w:p>
        </w:tc>
      </w:tr>
      <w:tr w:rsidR="00E4324C" w:rsidRPr="00E4324C" w14:paraId="6852D675" w14:textId="77777777" w:rsidTr="0052241C">
        <w:tc>
          <w:tcPr>
            <w:tcW w:w="3524" w:type="pct"/>
            <w:shd w:val="clear" w:color="auto" w:fill="FFFFFF"/>
          </w:tcPr>
          <w:p w14:paraId="4F6D9611" w14:textId="7C69E66A"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 xml:space="preserve">Financial Manager </w:t>
            </w:r>
          </w:p>
        </w:tc>
        <w:tc>
          <w:tcPr>
            <w:tcW w:w="1476" w:type="pct"/>
            <w:shd w:val="clear" w:color="auto" w:fill="FFFFFF"/>
          </w:tcPr>
          <w:p w14:paraId="3A22E909" w14:textId="05B96D91"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E4324C" w:rsidRPr="00E4324C" w14:paraId="3770F7B8" w14:textId="77777777" w:rsidTr="0052241C">
        <w:tc>
          <w:tcPr>
            <w:tcW w:w="3524" w:type="pct"/>
            <w:shd w:val="clear" w:color="auto" w:fill="FFFFFF"/>
          </w:tcPr>
          <w:p w14:paraId="505CD2CB" w14:textId="2BA86A7A"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Technical Manager - Architect</w:t>
            </w:r>
          </w:p>
        </w:tc>
        <w:tc>
          <w:tcPr>
            <w:tcW w:w="1476" w:type="pct"/>
            <w:shd w:val="clear" w:color="auto" w:fill="FFFFFF"/>
          </w:tcPr>
          <w:p w14:paraId="140FA671" w14:textId="7709910D"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E4324C" w:rsidRPr="00E4324C" w14:paraId="0824B607" w14:textId="77777777" w:rsidTr="0052241C">
        <w:tc>
          <w:tcPr>
            <w:tcW w:w="3524" w:type="pct"/>
            <w:shd w:val="clear" w:color="auto" w:fill="FFFFFF"/>
          </w:tcPr>
          <w:p w14:paraId="22677491" w14:textId="7DAC52A3"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 xml:space="preserve">Procurement experts </w:t>
            </w:r>
          </w:p>
        </w:tc>
        <w:tc>
          <w:tcPr>
            <w:tcW w:w="1476" w:type="pct"/>
            <w:shd w:val="clear" w:color="auto" w:fill="FFFFFF"/>
          </w:tcPr>
          <w:p w14:paraId="75EFB5F7" w14:textId="56EB2788"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2</w:t>
            </w:r>
          </w:p>
        </w:tc>
      </w:tr>
      <w:tr w:rsidR="00E4324C" w:rsidRPr="00E4324C" w14:paraId="6615063D" w14:textId="77777777" w:rsidTr="0052241C">
        <w:tc>
          <w:tcPr>
            <w:tcW w:w="3524" w:type="pct"/>
            <w:shd w:val="clear" w:color="auto" w:fill="FFFFFF"/>
          </w:tcPr>
          <w:p w14:paraId="2FA083DC" w14:textId="3EFEC929"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Financial experts</w:t>
            </w:r>
          </w:p>
        </w:tc>
        <w:tc>
          <w:tcPr>
            <w:tcW w:w="1476" w:type="pct"/>
            <w:shd w:val="clear" w:color="auto" w:fill="FFFFFF"/>
          </w:tcPr>
          <w:p w14:paraId="3BEF4ACA" w14:textId="4F780BAD"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E4324C" w:rsidRPr="00E4324C" w14:paraId="3C4D66C0" w14:textId="77777777" w:rsidTr="0052241C">
        <w:tc>
          <w:tcPr>
            <w:tcW w:w="3524" w:type="pct"/>
            <w:shd w:val="clear" w:color="auto" w:fill="FFFFFF"/>
          </w:tcPr>
          <w:p w14:paraId="056489EA" w14:textId="45FBC278"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Social/environmental experts</w:t>
            </w:r>
          </w:p>
        </w:tc>
        <w:tc>
          <w:tcPr>
            <w:tcW w:w="1476" w:type="pct"/>
            <w:shd w:val="clear" w:color="auto" w:fill="FFFFFF"/>
          </w:tcPr>
          <w:p w14:paraId="7D0B79D2" w14:textId="66604158"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E4324C" w:rsidRPr="00E4324C" w14:paraId="3E009F3E" w14:textId="77777777" w:rsidTr="0052241C">
        <w:tc>
          <w:tcPr>
            <w:tcW w:w="3524" w:type="pct"/>
            <w:shd w:val="clear" w:color="auto" w:fill="FFFFFF"/>
          </w:tcPr>
          <w:p w14:paraId="4132DD0C" w14:textId="7A129539"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Monitoring/assessment experts</w:t>
            </w:r>
          </w:p>
        </w:tc>
        <w:tc>
          <w:tcPr>
            <w:tcW w:w="1476" w:type="pct"/>
            <w:shd w:val="clear" w:color="auto" w:fill="FFFFFF"/>
          </w:tcPr>
          <w:p w14:paraId="5756F4F7" w14:textId="35F3B427"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C11E8F" w:rsidRPr="00E4324C" w14:paraId="10E3751F" w14:textId="77777777" w:rsidTr="00AB1E22">
        <w:tc>
          <w:tcPr>
            <w:tcW w:w="3524" w:type="pct"/>
            <w:shd w:val="clear" w:color="auto" w:fill="FFFFFF"/>
            <w:vAlign w:val="center"/>
          </w:tcPr>
          <w:p w14:paraId="46B7AF44" w14:textId="2C4C71E7" w:rsidR="00C11E8F" w:rsidRPr="00E4324C" w:rsidRDefault="00C11E8F" w:rsidP="00C11E8F">
            <w:pPr>
              <w:spacing w:before="0" w:after="0" w:line="240" w:lineRule="auto"/>
              <w:jc w:val="left"/>
              <w:rPr>
                <w:rFonts w:cstheme="minorHAnsi"/>
                <w:sz w:val="20"/>
                <w:szCs w:val="20"/>
                <w:lang w:val="en-US"/>
              </w:rPr>
            </w:pPr>
            <w:r w:rsidRPr="00E4324C">
              <w:rPr>
                <w:rFonts w:cstheme="minorHAnsi"/>
                <w:sz w:val="20"/>
                <w:szCs w:val="20"/>
                <w:lang w:val="en-US"/>
              </w:rPr>
              <w:t>Communications and community outreach specialist (FGRM focal point)</w:t>
            </w:r>
          </w:p>
        </w:tc>
        <w:tc>
          <w:tcPr>
            <w:tcW w:w="1476" w:type="pct"/>
            <w:shd w:val="clear" w:color="auto" w:fill="FFFFFF"/>
          </w:tcPr>
          <w:p w14:paraId="0FCB9A19" w14:textId="0BBA667D"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sz w:val="20"/>
                <w:szCs w:val="20"/>
                <w:lang w:val="en-US"/>
              </w:rPr>
              <w:t>1</w:t>
            </w:r>
          </w:p>
        </w:tc>
      </w:tr>
      <w:tr w:rsidR="00E4324C" w:rsidRPr="00E4324C" w14:paraId="6F01BE67" w14:textId="77777777" w:rsidTr="0052241C">
        <w:tc>
          <w:tcPr>
            <w:tcW w:w="3524" w:type="pct"/>
            <w:shd w:val="clear" w:color="auto" w:fill="FFFFFF"/>
          </w:tcPr>
          <w:p w14:paraId="1800D179" w14:textId="643A3C08" w:rsidR="00C11E8F" w:rsidRPr="00E4324C" w:rsidRDefault="00C11E8F" w:rsidP="00C11E8F">
            <w:pPr>
              <w:spacing w:before="0" w:after="0" w:line="240" w:lineRule="auto"/>
              <w:jc w:val="left"/>
              <w:rPr>
                <w:rFonts w:cstheme="minorHAnsi"/>
                <w:sz w:val="20"/>
                <w:szCs w:val="20"/>
                <w:lang w:val="en-US"/>
              </w:rPr>
            </w:pPr>
            <w:r w:rsidRPr="00E4324C">
              <w:rPr>
                <w:rFonts w:cstheme="minorHAnsi"/>
                <w:lang w:val="en-US"/>
              </w:rPr>
              <w:t xml:space="preserve">Legal counsel/ legal advisor </w:t>
            </w:r>
          </w:p>
        </w:tc>
        <w:tc>
          <w:tcPr>
            <w:tcW w:w="1476" w:type="pct"/>
            <w:shd w:val="clear" w:color="auto" w:fill="FFFFFF"/>
          </w:tcPr>
          <w:p w14:paraId="7270DE01" w14:textId="291DEE1A" w:rsidR="00C11E8F" w:rsidRPr="00E4324C" w:rsidDel="00C11E8F" w:rsidRDefault="00C11E8F" w:rsidP="00C11E8F">
            <w:pPr>
              <w:spacing w:before="0" w:after="0" w:line="240" w:lineRule="auto"/>
              <w:jc w:val="center"/>
              <w:rPr>
                <w:rFonts w:cstheme="minorHAnsi"/>
                <w:sz w:val="20"/>
                <w:szCs w:val="20"/>
                <w:lang w:val="en-US"/>
              </w:rPr>
            </w:pPr>
            <w:r w:rsidRPr="00E4324C">
              <w:rPr>
                <w:rFonts w:cstheme="minorHAnsi"/>
                <w:lang w:val="en-US"/>
              </w:rPr>
              <w:t>1</w:t>
            </w:r>
          </w:p>
        </w:tc>
      </w:tr>
      <w:tr w:rsidR="00C11E8F" w:rsidRPr="00E4324C" w14:paraId="6C3F155A" w14:textId="77777777" w:rsidTr="00AB1E22">
        <w:tc>
          <w:tcPr>
            <w:tcW w:w="3524" w:type="pct"/>
            <w:shd w:val="clear" w:color="auto" w:fill="CEDBE6" w:themeFill="background2"/>
            <w:vAlign w:val="center"/>
          </w:tcPr>
          <w:p w14:paraId="794746DE" w14:textId="77777777" w:rsidR="00C11E8F" w:rsidRPr="00E4324C" w:rsidRDefault="00C11E8F" w:rsidP="00C11E8F">
            <w:pPr>
              <w:spacing w:before="0" w:after="0" w:line="240" w:lineRule="auto"/>
              <w:rPr>
                <w:rFonts w:cstheme="minorHAnsi"/>
                <w:b/>
                <w:bCs/>
                <w:sz w:val="20"/>
                <w:szCs w:val="20"/>
                <w:lang w:val="en-US"/>
              </w:rPr>
            </w:pPr>
            <w:r w:rsidRPr="00E4324C">
              <w:rPr>
                <w:rFonts w:cstheme="minorHAnsi"/>
                <w:b/>
                <w:bCs/>
                <w:sz w:val="20"/>
                <w:szCs w:val="20"/>
                <w:lang w:val="en-US"/>
              </w:rPr>
              <w:t xml:space="preserve">Total: </w:t>
            </w:r>
          </w:p>
        </w:tc>
        <w:tc>
          <w:tcPr>
            <w:tcW w:w="1476" w:type="pct"/>
            <w:shd w:val="clear" w:color="auto" w:fill="CEDBE6" w:themeFill="background2"/>
          </w:tcPr>
          <w:p w14:paraId="3E76BD0B" w14:textId="08F5CA6E" w:rsidR="00C11E8F" w:rsidRPr="00E4324C" w:rsidRDefault="00C11E8F" w:rsidP="00C11E8F">
            <w:pPr>
              <w:spacing w:before="0" w:after="0" w:line="240" w:lineRule="auto"/>
              <w:jc w:val="center"/>
              <w:rPr>
                <w:rFonts w:cstheme="minorHAnsi"/>
                <w:b/>
                <w:bCs/>
                <w:sz w:val="20"/>
                <w:szCs w:val="20"/>
                <w:lang w:val="en-US"/>
              </w:rPr>
            </w:pPr>
            <w:r w:rsidRPr="00E4324C">
              <w:rPr>
                <w:rFonts w:cstheme="minorHAnsi"/>
                <w:b/>
                <w:bCs/>
                <w:sz w:val="20"/>
                <w:szCs w:val="20"/>
                <w:lang w:val="en-US"/>
              </w:rPr>
              <w:t>11</w:t>
            </w:r>
          </w:p>
        </w:tc>
      </w:tr>
    </w:tbl>
    <w:p w14:paraId="41FB0F4E" w14:textId="38ED7B30" w:rsidR="0050401B" w:rsidRPr="0050401B" w:rsidRDefault="0050401B" w:rsidP="0050401B">
      <w:pPr>
        <w:rPr>
          <w:lang w:val="en-US"/>
        </w:rPr>
      </w:pPr>
      <w:bookmarkStart w:id="200" w:name="_Hlk47986476"/>
      <w:r w:rsidRPr="0050401B">
        <w:rPr>
          <w:lang w:val="en-US"/>
        </w:rPr>
        <w:t>Overall coordination of all activities for Component 2</w:t>
      </w:r>
      <w:r>
        <w:rPr>
          <w:lang w:val="en-US"/>
        </w:rPr>
        <w:t xml:space="preserve"> (except for civil works)</w:t>
      </w:r>
      <w:r w:rsidRPr="0050401B">
        <w:rPr>
          <w:lang w:val="en-US"/>
        </w:rPr>
        <w:t xml:space="preserve"> will be done by Service for strategic planning, structural reforms and International loans which will be the PIU </w:t>
      </w:r>
      <w:r>
        <w:rPr>
          <w:lang w:val="en-US"/>
        </w:rPr>
        <w:t>-2.</w:t>
      </w:r>
      <w:r w:rsidRPr="0050401B">
        <w:rPr>
          <w:lang w:val="en-US"/>
        </w:rPr>
        <w:t xml:space="preserve"> Civil servants employed in the Service have extensive experience in implementing WB projects.</w:t>
      </w:r>
    </w:p>
    <w:p w14:paraId="5786FF7F" w14:textId="3B05789C" w:rsidR="0050401B" w:rsidRPr="0050401B" w:rsidRDefault="0050401B" w:rsidP="0050401B">
      <w:pPr>
        <w:rPr>
          <w:lang w:val="en-US"/>
        </w:rPr>
      </w:pPr>
      <w:r w:rsidRPr="0050401B">
        <w:rPr>
          <w:lang w:val="en-US"/>
        </w:rPr>
        <w:t xml:space="preserve">Procurement will be done by employees of the </w:t>
      </w:r>
      <w:proofErr w:type="spellStart"/>
      <w:r>
        <w:rPr>
          <w:lang w:val="en-US"/>
        </w:rPr>
        <w:t>MoH</w:t>
      </w:r>
      <w:proofErr w:type="spellEnd"/>
      <w:r w:rsidRPr="0050401B">
        <w:rPr>
          <w:lang w:val="en-US"/>
        </w:rPr>
        <w:t xml:space="preserve">, within the Public Procurement Sector. It consists of two units: (a) the Public Procurement Planning and Preparation Unit, and (b) the Public Procurement Implementation Unit, employing highly skilled and professional employees with a background in economics and law.  </w:t>
      </w:r>
    </w:p>
    <w:p w14:paraId="674D043F" w14:textId="2E473774" w:rsidR="00C11E8F" w:rsidRPr="00AB7D1E" w:rsidRDefault="0050401B" w:rsidP="006B3B3C">
      <w:pPr>
        <w:rPr>
          <w:lang w:val="en-US"/>
        </w:rPr>
      </w:pPr>
      <w:r w:rsidRPr="0050401B">
        <w:rPr>
          <w:lang w:val="en-US"/>
        </w:rPr>
        <w:t xml:space="preserve">Sector for finances will be responsible for financial management. Other functions will also be managed by </w:t>
      </w:r>
      <w:proofErr w:type="spellStart"/>
      <w:r w:rsidRPr="0050401B">
        <w:rPr>
          <w:lang w:val="en-US"/>
        </w:rPr>
        <w:t>MoH</w:t>
      </w:r>
      <w:proofErr w:type="spellEnd"/>
      <w:r w:rsidRPr="0050401B">
        <w:rPr>
          <w:lang w:val="en-US"/>
        </w:rPr>
        <w:t xml:space="preserve"> employees in different departments (e.g. Public Relations etc.). In case that a need occurs for additional expertise in project implementation, experts will be either selected from </w:t>
      </w:r>
      <w:proofErr w:type="spellStart"/>
      <w:r w:rsidRPr="0050401B">
        <w:rPr>
          <w:lang w:val="en-US"/>
        </w:rPr>
        <w:t>MoH</w:t>
      </w:r>
      <w:proofErr w:type="spellEnd"/>
      <w:r w:rsidRPr="0050401B">
        <w:rPr>
          <w:lang w:val="en-US"/>
        </w:rPr>
        <w:t xml:space="preserve"> employees or contracted as external consultants. Consultancy services might be needed for the preparation of technical specification for medical equipment, vehicles, various consultancy services etc. and there will be some other consultancy costs associated with Project implementation. </w:t>
      </w:r>
    </w:p>
    <w:p w14:paraId="1AB80F7A" w14:textId="77777777" w:rsidR="006B3B3C" w:rsidRPr="00AB7D1E" w:rsidRDefault="006B3B3C" w:rsidP="006B3B3C">
      <w:pPr>
        <w:pStyle w:val="Heading2"/>
        <w:rPr>
          <w:lang w:val="en-US"/>
        </w:rPr>
      </w:pPr>
      <w:bookmarkStart w:id="201" w:name="_Toc56954081"/>
      <w:bookmarkEnd w:id="200"/>
      <w:r w:rsidRPr="00AB7D1E">
        <w:rPr>
          <w:lang w:val="en-US"/>
        </w:rPr>
        <w:t>Reporting arrangements</w:t>
      </w:r>
      <w:bookmarkEnd w:id="201"/>
    </w:p>
    <w:p w14:paraId="223682CE" w14:textId="7D33355F" w:rsidR="006B3B3C" w:rsidRPr="00AB7D1E" w:rsidRDefault="006B3B3C" w:rsidP="006B3B3C">
      <w:pPr>
        <w:spacing w:after="0" w:line="259" w:lineRule="auto"/>
        <w:rPr>
          <w:lang w:val="en-US"/>
        </w:rPr>
      </w:pPr>
      <w:r w:rsidRPr="00AB7D1E">
        <w:rPr>
          <w:lang w:val="en-US"/>
        </w:rPr>
        <w:t xml:space="preserve">The </w:t>
      </w:r>
      <w:proofErr w:type="spellStart"/>
      <w:r w:rsidRPr="00AB7D1E">
        <w:rPr>
          <w:lang w:val="en-US"/>
        </w:rPr>
        <w:t>MoPPCS</w:t>
      </w:r>
      <w:r w:rsidR="0089661A">
        <w:rPr>
          <w:lang w:val="en-US"/>
        </w:rPr>
        <w:t>A</w:t>
      </w:r>
      <w:proofErr w:type="spellEnd"/>
      <w:r w:rsidRPr="00AB7D1E">
        <w:rPr>
          <w:lang w:val="en-US"/>
        </w:rPr>
        <w:t xml:space="preserve"> PIU (PIU</w:t>
      </w:r>
      <w:r w:rsidR="001B41D6" w:rsidRPr="00AB7D1E">
        <w:rPr>
          <w:lang w:val="en-US"/>
        </w:rPr>
        <w:t>-1</w:t>
      </w:r>
      <w:r w:rsidRPr="00AB7D1E">
        <w:rPr>
          <w:lang w:val="en-US"/>
        </w:rPr>
        <w:t xml:space="preserve">) will be accountable for reporting to both the World Bank and the Project Steering Committee (PSC) on all </w:t>
      </w:r>
      <w:r w:rsidR="003D13E2" w:rsidRPr="00AB7D1E">
        <w:rPr>
          <w:lang w:val="en-US"/>
        </w:rPr>
        <w:t>p</w:t>
      </w:r>
      <w:r w:rsidRPr="00AB7D1E">
        <w:rPr>
          <w:lang w:val="en-US"/>
        </w:rPr>
        <w:t>roject activities and progress.</w:t>
      </w:r>
    </w:p>
    <w:p w14:paraId="2044D741" w14:textId="3093697C" w:rsidR="006B3B3C" w:rsidRPr="00AB7D1E" w:rsidRDefault="006B3B3C" w:rsidP="006B3B3C">
      <w:pPr>
        <w:spacing w:after="0" w:line="259" w:lineRule="auto"/>
        <w:rPr>
          <w:lang w:val="en-US"/>
        </w:rPr>
      </w:pPr>
      <w:r w:rsidRPr="00AB7D1E">
        <w:rPr>
          <w:lang w:val="en-US"/>
        </w:rPr>
        <w:lastRenderedPageBreak/>
        <w:t xml:space="preserve">A PSC will be chaired by the </w:t>
      </w:r>
      <w:proofErr w:type="spellStart"/>
      <w:r w:rsidRPr="00AB7D1E">
        <w:rPr>
          <w:lang w:val="en-US"/>
        </w:rPr>
        <w:t>MoPPCS</w:t>
      </w:r>
      <w:r w:rsidR="0089661A">
        <w:rPr>
          <w:lang w:val="en-US"/>
        </w:rPr>
        <w:t>A</w:t>
      </w:r>
      <w:proofErr w:type="spellEnd"/>
      <w:r w:rsidRPr="00AB7D1E">
        <w:rPr>
          <w:lang w:val="en-US"/>
        </w:rPr>
        <w:t xml:space="preserve"> State Secretary and comprise representatives from the Ministry of Finance (</w:t>
      </w:r>
      <w:proofErr w:type="spellStart"/>
      <w:r w:rsidRPr="00AB7D1E">
        <w:rPr>
          <w:lang w:val="en-US"/>
        </w:rPr>
        <w:t>MoF</w:t>
      </w:r>
      <w:proofErr w:type="spellEnd"/>
      <w:r w:rsidRPr="00AB7D1E">
        <w:rPr>
          <w:lang w:val="en-US"/>
        </w:rPr>
        <w:t xml:space="preserve">), </w:t>
      </w:r>
      <w:proofErr w:type="spellStart"/>
      <w:r w:rsidRPr="00AB7D1E">
        <w:rPr>
          <w:lang w:val="en-US"/>
        </w:rPr>
        <w:t>MoH</w:t>
      </w:r>
      <w:proofErr w:type="spellEnd"/>
      <w:r w:rsidRPr="00AB7D1E">
        <w:rPr>
          <w:lang w:val="en-US"/>
        </w:rPr>
        <w:t xml:space="preserve">, </w:t>
      </w:r>
      <w:proofErr w:type="spellStart"/>
      <w:r w:rsidRPr="00AB7D1E">
        <w:rPr>
          <w:lang w:val="en-US"/>
        </w:rPr>
        <w:t>MoSE</w:t>
      </w:r>
      <w:proofErr w:type="spellEnd"/>
      <w:r w:rsidRPr="00AB7D1E">
        <w:rPr>
          <w:lang w:val="en-US"/>
        </w:rPr>
        <w:t xml:space="preserve">, Ministry of the Interior, the City of Zagreb, Zagreb County, and </w:t>
      </w:r>
      <w:proofErr w:type="spellStart"/>
      <w:r w:rsidRPr="00AB7D1E">
        <w:rPr>
          <w:lang w:val="en-US"/>
        </w:rPr>
        <w:t>Krapina-Zagorje</w:t>
      </w:r>
      <w:proofErr w:type="spellEnd"/>
      <w:r w:rsidRPr="00AB7D1E">
        <w:rPr>
          <w:lang w:val="en-US"/>
        </w:rPr>
        <w:t xml:space="preserve"> County. The main responsibility of the PSC will be to review the annual project work plan, facilitate adequate multisectoral and cross-agency coordination, monitor the progress of Project implementation, and make recommendations to improve the Project implementation. The committee will meet at a minimum every six months. During the first year of the Project, it may meet more frequently, and organize additional meetings as required.</w:t>
      </w:r>
    </w:p>
    <w:p w14:paraId="0C0297DB" w14:textId="77DF338F" w:rsidR="006B3B3C" w:rsidRPr="00AB7D1E" w:rsidRDefault="006B3B3C" w:rsidP="006B3B3C">
      <w:pPr>
        <w:spacing w:after="0" w:line="259" w:lineRule="auto"/>
        <w:rPr>
          <w:lang w:val="en-US"/>
        </w:rPr>
      </w:pPr>
      <w:r w:rsidRPr="00AB7D1E">
        <w:rPr>
          <w:lang w:val="en-US"/>
        </w:rPr>
        <w:t>For all sub-projects the environmental and social performance must be monitored in accordance with the legal agreement (including the ESCP</w:t>
      </w:r>
      <w:r w:rsidR="00D14473" w:rsidRPr="00AB7D1E">
        <w:rPr>
          <w:lang w:val="en-US"/>
        </w:rPr>
        <w:t xml:space="preserve"> checklist</w:t>
      </w:r>
      <w:r w:rsidR="00EF4E6D">
        <w:rPr>
          <w:lang w:val="en-US"/>
        </w:rPr>
        <w:t>/CHMP</w:t>
      </w:r>
      <w:r w:rsidRPr="00AB7D1E">
        <w:rPr>
          <w:lang w:val="en-US"/>
        </w:rPr>
        <w:t xml:space="preserve">). </w:t>
      </w:r>
    </w:p>
    <w:p w14:paraId="5A886BB9" w14:textId="5329FF28" w:rsidR="006B3B3C" w:rsidRPr="00AB7D1E" w:rsidRDefault="006B3B3C" w:rsidP="006B3B3C">
      <w:pPr>
        <w:spacing w:after="0" w:line="259" w:lineRule="auto"/>
        <w:rPr>
          <w:lang w:val="en-US"/>
        </w:rPr>
      </w:pPr>
      <w:r w:rsidRPr="00AB7D1E">
        <w:rPr>
          <w:lang w:val="en-US"/>
        </w:rPr>
        <w:t xml:space="preserve">Regular reports, as set out in the ESCP </w:t>
      </w:r>
      <w:proofErr w:type="gramStart"/>
      <w:r w:rsidRPr="00AB7D1E">
        <w:rPr>
          <w:lang w:val="en-US"/>
        </w:rPr>
        <w:t>have to</w:t>
      </w:r>
      <w:proofErr w:type="gramEnd"/>
      <w:r w:rsidRPr="00AB7D1E">
        <w:rPr>
          <w:lang w:val="en-US"/>
        </w:rPr>
        <w:t xml:space="preserve"> be provided to the Bank </w:t>
      </w:r>
      <w:r w:rsidR="00E13A42" w:rsidRPr="00AB7D1E">
        <w:rPr>
          <w:lang w:val="en-US"/>
        </w:rPr>
        <w:t xml:space="preserve">as a </w:t>
      </w:r>
      <w:r w:rsidRPr="00AB7D1E">
        <w:rPr>
          <w:lang w:val="en-US"/>
        </w:rPr>
        <w:t>result of the monitoring. Such reports will provide an accurate and objective record of project implementation, including compliance with the ESCP and the requirements of the ESMP checklist</w:t>
      </w:r>
      <w:r w:rsidR="00EF4E6D">
        <w:rPr>
          <w:lang w:val="en-US"/>
        </w:rPr>
        <w:t>/CHMP</w:t>
      </w:r>
      <w:r w:rsidRPr="00AB7D1E">
        <w:rPr>
          <w:lang w:val="en-US"/>
        </w:rPr>
        <w:t xml:space="preserve">. </w:t>
      </w:r>
    </w:p>
    <w:p w14:paraId="3E9976C4" w14:textId="77777777" w:rsidR="006B3B3C" w:rsidRPr="00AB7D1E" w:rsidRDefault="006B3B3C" w:rsidP="006B3B3C">
      <w:pPr>
        <w:spacing w:after="0" w:line="259" w:lineRule="auto"/>
        <w:rPr>
          <w:lang w:val="en-US"/>
        </w:rPr>
      </w:pPr>
      <w:r w:rsidRPr="00AB7D1E">
        <w:rPr>
          <w:lang w:val="en-US"/>
        </w:rPr>
        <w:t xml:space="preserve">Monitoring and evaluation will be carried out by the PIU </w:t>
      </w:r>
      <w:proofErr w:type="gramStart"/>
      <w:r w:rsidRPr="00AB7D1E">
        <w:rPr>
          <w:lang w:val="en-US"/>
        </w:rPr>
        <w:t>on the basis of</w:t>
      </w:r>
      <w:proofErr w:type="gramEnd"/>
      <w:r w:rsidRPr="00AB7D1E">
        <w:rPr>
          <w:lang w:val="en-US"/>
        </w:rPr>
        <w:t xml:space="preserve"> the indicators and milestones developed in the Results Framework. Project monitoring will occur as a periodic function and will include carrying out process reviews/audits, reporting on outputs, and maintaining progressive records, as well as third-party monitoring and social auditing. </w:t>
      </w:r>
    </w:p>
    <w:p w14:paraId="206E1FE3" w14:textId="5F973511" w:rsidR="006B3B3C" w:rsidRPr="00AB7D1E" w:rsidRDefault="006B3B3C" w:rsidP="006B3B3C">
      <w:pPr>
        <w:spacing w:after="0" w:line="259" w:lineRule="auto"/>
        <w:rPr>
          <w:lang w:val="en-US"/>
        </w:rPr>
      </w:pPr>
      <w:r w:rsidRPr="00AB7D1E">
        <w:rPr>
          <w:lang w:val="en-US"/>
        </w:rPr>
        <w:t>The PIU</w:t>
      </w:r>
      <w:r w:rsidR="001515EB" w:rsidRPr="00AB7D1E">
        <w:rPr>
          <w:lang w:val="en-US"/>
        </w:rPr>
        <w:t>-1</w:t>
      </w:r>
      <w:r w:rsidRPr="00AB7D1E">
        <w:rPr>
          <w:lang w:val="en-US"/>
        </w:rPr>
        <w:t xml:space="preserve"> will prepare consolidated semi-annual progress reports</w:t>
      </w:r>
      <w:r w:rsidR="001515EB" w:rsidRPr="00AB7D1E">
        <w:rPr>
          <w:lang w:val="en-US"/>
        </w:rPr>
        <w:t xml:space="preserve"> for WB</w:t>
      </w:r>
      <w:r w:rsidRPr="00AB7D1E">
        <w:rPr>
          <w:lang w:val="en-US"/>
        </w:rPr>
        <w:t>. It will cover the following: (a) physical and financial progress achieved against agreed implementation and disbursement indicators; (b) issues and problem areas, including comments on actions to address identified problems; and (c) work programs and cost estimates for the coming year, including revised estimates for the former period. The reports will also include data on grievances and resolutions to allow for timely corrective action.</w:t>
      </w:r>
    </w:p>
    <w:p w14:paraId="3BCA0368" w14:textId="2D6AA15B" w:rsidR="006B3B3C" w:rsidRPr="00AB7D1E" w:rsidRDefault="006B3B3C" w:rsidP="006B3B3C">
      <w:pPr>
        <w:spacing w:after="0" w:line="259" w:lineRule="auto"/>
        <w:rPr>
          <w:rFonts w:cstheme="minorHAnsi"/>
          <w:lang w:val="en-US"/>
        </w:rPr>
      </w:pPr>
      <w:r w:rsidRPr="00AB7D1E">
        <w:rPr>
          <w:rFonts w:cstheme="minorHAnsi"/>
          <w:lang w:val="en-US"/>
        </w:rPr>
        <w:t xml:space="preserve">Detailed responsibilities during the </w:t>
      </w:r>
      <w:r w:rsidR="007447E9" w:rsidRPr="00AB7D1E">
        <w:rPr>
          <w:rFonts w:cstheme="minorHAnsi"/>
          <w:lang w:val="en-US"/>
        </w:rPr>
        <w:t>p</w:t>
      </w:r>
      <w:r w:rsidRPr="00AB7D1E">
        <w:rPr>
          <w:rFonts w:cstheme="minorHAnsi"/>
          <w:lang w:val="en-US"/>
        </w:rPr>
        <w:t xml:space="preserve">roject implementation and reporting obligations are given below in the </w:t>
      </w:r>
      <w:r w:rsidRPr="00AB7D1E">
        <w:rPr>
          <w:rFonts w:cstheme="minorHAnsi"/>
          <w:lang w:val="en-US"/>
        </w:rPr>
        <w:fldChar w:fldCharType="begin"/>
      </w:r>
      <w:r w:rsidRPr="00AB7D1E">
        <w:rPr>
          <w:rFonts w:cstheme="minorHAnsi"/>
          <w:lang w:val="en-US"/>
        </w:rPr>
        <w:instrText xml:space="preserve"> REF _Ref47881524 \h  \* MERGEFORMAT </w:instrText>
      </w:r>
      <w:r w:rsidRPr="00AB7D1E">
        <w:rPr>
          <w:rFonts w:cstheme="minorHAnsi"/>
          <w:lang w:val="en-US"/>
        </w:rPr>
      </w:r>
      <w:r w:rsidRPr="00AB7D1E">
        <w:rPr>
          <w:rFonts w:cstheme="minorHAnsi"/>
          <w:lang w:val="en-US"/>
        </w:rPr>
        <w:fldChar w:fldCharType="separate"/>
      </w:r>
      <w:r w:rsidR="007D1E1B" w:rsidRPr="007D1E1B">
        <w:rPr>
          <w:lang w:val="en-US"/>
        </w:rPr>
        <w:t>Table 21</w:t>
      </w:r>
      <w:r w:rsidRPr="00AB7D1E">
        <w:rPr>
          <w:rFonts w:cstheme="minorHAnsi"/>
          <w:lang w:val="en-US"/>
        </w:rPr>
        <w:fldChar w:fldCharType="end"/>
      </w:r>
      <w:r w:rsidRPr="00AB7D1E">
        <w:rPr>
          <w:rFonts w:cstheme="minorHAnsi"/>
          <w:lang w:val="en-US"/>
        </w:rPr>
        <w:t xml:space="preserve">. and </w:t>
      </w:r>
      <w:r w:rsidRPr="00AB7D1E">
        <w:rPr>
          <w:rFonts w:cstheme="minorHAnsi"/>
          <w:lang w:val="en-US"/>
        </w:rPr>
        <w:fldChar w:fldCharType="begin"/>
      </w:r>
      <w:r w:rsidRPr="00AB7D1E">
        <w:rPr>
          <w:rFonts w:cstheme="minorHAnsi"/>
          <w:lang w:val="en-US"/>
        </w:rPr>
        <w:instrText xml:space="preserve"> REF _Ref47881551 \h  \* MERGEFORMAT </w:instrText>
      </w:r>
      <w:r w:rsidRPr="00AB7D1E">
        <w:rPr>
          <w:rFonts w:cstheme="minorHAnsi"/>
          <w:lang w:val="en-US"/>
        </w:rPr>
      </w:r>
      <w:r w:rsidRPr="00AB7D1E">
        <w:rPr>
          <w:rFonts w:cstheme="minorHAnsi"/>
          <w:lang w:val="en-US"/>
        </w:rPr>
        <w:fldChar w:fldCharType="separate"/>
      </w:r>
      <w:r w:rsidR="007D1E1B" w:rsidRPr="007D1E1B">
        <w:rPr>
          <w:lang w:val="en-US"/>
        </w:rPr>
        <w:t>Table 22</w:t>
      </w:r>
      <w:r w:rsidRPr="00AB7D1E">
        <w:rPr>
          <w:rFonts w:cstheme="minorHAnsi"/>
          <w:lang w:val="en-US"/>
        </w:rPr>
        <w:fldChar w:fldCharType="end"/>
      </w:r>
      <w:r w:rsidRPr="00AB7D1E">
        <w:rPr>
          <w:rFonts w:cstheme="minorHAnsi"/>
          <w:lang w:val="en-US"/>
        </w:rPr>
        <w:t xml:space="preserve">. </w:t>
      </w:r>
    </w:p>
    <w:p w14:paraId="4FF1929C" w14:textId="529A880C" w:rsidR="006B3B3C" w:rsidRPr="00AB7D1E" w:rsidRDefault="006B3B3C" w:rsidP="007D1E1B">
      <w:pPr>
        <w:pStyle w:val="Style1"/>
      </w:pPr>
      <w:bookmarkStart w:id="202" w:name="_Ref47881524"/>
      <w:bookmarkStart w:id="203" w:name="_Toc56952721"/>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21</w:t>
      </w:r>
      <w:r w:rsidR="00DF4A34" w:rsidRPr="00AB7D1E">
        <w:fldChar w:fldCharType="end"/>
      </w:r>
      <w:bookmarkEnd w:id="202"/>
      <w:r w:rsidRPr="00AB7D1E">
        <w:t xml:space="preserve">. Responsibilities </w:t>
      </w:r>
      <w:bookmarkStart w:id="204" w:name="_Hlk47822705"/>
      <w:r w:rsidRPr="00AB7D1E">
        <w:t>during project preparation/implementation</w:t>
      </w:r>
      <w:bookmarkEnd w:id="203"/>
      <w:bookmarkEnd w:id="20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7"/>
      </w:tblGrid>
      <w:tr w:rsidR="006B3B3C" w:rsidRPr="0028689A" w14:paraId="0FD03527" w14:textId="77777777" w:rsidTr="001B41D6">
        <w:trPr>
          <w:tblHeader/>
        </w:trPr>
        <w:tc>
          <w:tcPr>
            <w:tcW w:w="2830" w:type="dxa"/>
            <w:shd w:val="clear" w:color="auto" w:fill="CEDBE6" w:themeFill="background2"/>
            <w:vAlign w:val="center"/>
          </w:tcPr>
          <w:p w14:paraId="01923EBF" w14:textId="77777777" w:rsidR="006B3B3C" w:rsidRPr="0028689A" w:rsidRDefault="006B3B3C" w:rsidP="001B41D6">
            <w:pPr>
              <w:spacing w:before="0" w:after="0" w:line="240" w:lineRule="auto"/>
              <w:jc w:val="center"/>
              <w:rPr>
                <w:rFonts w:cstheme="minorHAnsi"/>
                <w:b/>
                <w:bCs/>
                <w:sz w:val="20"/>
                <w:szCs w:val="20"/>
                <w:lang w:val="en-US"/>
              </w:rPr>
            </w:pPr>
            <w:r w:rsidRPr="0028689A">
              <w:rPr>
                <w:rFonts w:cstheme="minorHAnsi"/>
                <w:b/>
                <w:bCs/>
                <w:sz w:val="20"/>
                <w:szCs w:val="20"/>
                <w:lang w:val="en-US"/>
              </w:rPr>
              <w:t>Responsible entity / authority</w:t>
            </w:r>
          </w:p>
        </w:tc>
        <w:tc>
          <w:tcPr>
            <w:tcW w:w="6237" w:type="dxa"/>
            <w:shd w:val="clear" w:color="auto" w:fill="CEDBE6" w:themeFill="background2"/>
            <w:vAlign w:val="center"/>
          </w:tcPr>
          <w:p w14:paraId="627DD138" w14:textId="77777777" w:rsidR="006B3B3C" w:rsidRPr="0028689A" w:rsidRDefault="006B3B3C" w:rsidP="001B41D6">
            <w:pPr>
              <w:spacing w:before="0" w:after="0" w:line="240" w:lineRule="auto"/>
              <w:jc w:val="center"/>
              <w:rPr>
                <w:rFonts w:cstheme="minorHAnsi"/>
                <w:b/>
                <w:bCs/>
                <w:sz w:val="20"/>
                <w:szCs w:val="20"/>
                <w:lang w:val="en-US"/>
              </w:rPr>
            </w:pPr>
            <w:r w:rsidRPr="0028689A">
              <w:rPr>
                <w:rFonts w:cstheme="minorHAnsi"/>
                <w:b/>
                <w:bCs/>
                <w:sz w:val="20"/>
                <w:szCs w:val="20"/>
                <w:lang w:val="en-US"/>
              </w:rPr>
              <w:t>Material measures and actions</w:t>
            </w:r>
          </w:p>
        </w:tc>
      </w:tr>
      <w:tr w:rsidR="006B3B3C" w:rsidRPr="0028689A" w14:paraId="3172BFC2" w14:textId="77777777" w:rsidTr="001B41D6">
        <w:tc>
          <w:tcPr>
            <w:tcW w:w="2830" w:type="dxa"/>
          </w:tcPr>
          <w:p w14:paraId="4193D603" w14:textId="22428A26" w:rsidR="006B3B3C" w:rsidRPr="0028689A" w:rsidRDefault="006B3B3C" w:rsidP="001B41D6">
            <w:pPr>
              <w:spacing w:before="0" w:after="0" w:line="240" w:lineRule="auto"/>
              <w:rPr>
                <w:rFonts w:cstheme="minorHAnsi"/>
                <w:b/>
                <w:bCs/>
                <w:sz w:val="20"/>
                <w:szCs w:val="20"/>
                <w:lang w:val="en-US"/>
              </w:rPr>
            </w:pPr>
            <w:r w:rsidRPr="0028689A">
              <w:rPr>
                <w:rFonts w:cstheme="minorHAnsi"/>
                <w:b/>
                <w:bCs/>
                <w:sz w:val="20"/>
                <w:szCs w:val="20"/>
                <w:lang w:val="en-US"/>
              </w:rPr>
              <w:t>PIU</w:t>
            </w:r>
            <w:r w:rsidR="00212E6D" w:rsidRPr="0028689A">
              <w:rPr>
                <w:rFonts w:cstheme="minorHAnsi"/>
                <w:b/>
                <w:bCs/>
                <w:sz w:val="20"/>
                <w:szCs w:val="20"/>
                <w:lang w:val="en-US"/>
              </w:rPr>
              <w:t>-1 (</w:t>
            </w:r>
            <w:proofErr w:type="spellStart"/>
            <w:r w:rsidR="00212E6D" w:rsidRPr="0028689A">
              <w:rPr>
                <w:rFonts w:cstheme="minorHAnsi"/>
                <w:b/>
                <w:bCs/>
                <w:sz w:val="20"/>
                <w:szCs w:val="20"/>
                <w:lang w:val="en-US"/>
              </w:rPr>
              <w:t>MoCPPS</w:t>
            </w:r>
            <w:r w:rsidR="0028689A">
              <w:rPr>
                <w:rFonts w:cstheme="minorHAnsi"/>
                <w:b/>
                <w:bCs/>
                <w:sz w:val="20"/>
                <w:szCs w:val="20"/>
                <w:lang w:val="en-US"/>
              </w:rPr>
              <w:t>A</w:t>
            </w:r>
            <w:proofErr w:type="spellEnd"/>
            <w:r w:rsidR="00212E6D" w:rsidRPr="0028689A">
              <w:rPr>
                <w:rFonts w:cstheme="minorHAnsi"/>
                <w:b/>
                <w:bCs/>
                <w:sz w:val="20"/>
                <w:szCs w:val="20"/>
                <w:lang w:val="en-US"/>
              </w:rPr>
              <w:t>)</w:t>
            </w:r>
          </w:p>
        </w:tc>
        <w:tc>
          <w:tcPr>
            <w:tcW w:w="6237" w:type="dxa"/>
          </w:tcPr>
          <w:p w14:paraId="5F85F772" w14:textId="77777777" w:rsidR="006B3B3C" w:rsidRPr="0028689A" w:rsidRDefault="006B3B3C" w:rsidP="001B41D6">
            <w:pPr>
              <w:spacing w:before="0" w:after="0" w:line="240" w:lineRule="auto"/>
              <w:rPr>
                <w:rFonts w:cstheme="minorHAnsi"/>
                <w:b/>
                <w:bCs/>
                <w:sz w:val="20"/>
                <w:szCs w:val="20"/>
                <w:lang w:val="en-US"/>
              </w:rPr>
            </w:pPr>
            <w:r w:rsidRPr="0028689A">
              <w:rPr>
                <w:rFonts w:cstheme="minorHAnsi"/>
                <w:sz w:val="20"/>
                <w:szCs w:val="20"/>
                <w:lang w:val="en-US"/>
              </w:rPr>
              <w:t>Responsible to ensure the implementation of the provisions of the ESMF by all parties, such as sub-project Borrowers and Contractors, including environmental and social monitoring, evaluation and reporting</w:t>
            </w:r>
          </w:p>
        </w:tc>
      </w:tr>
      <w:tr w:rsidR="00212E6D" w:rsidRPr="0028689A" w14:paraId="068EA822" w14:textId="77777777" w:rsidTr="001B41D6">
        <w:tc>
          <w:tcPr>
            <w:tcW w:w="2830" w:type="dxa"/>
          </w:tcPr>
          <w:p w14:paraId="5FF7669F" w14:textId="4D7C26AF" w:rsidR="00212E6D" w:rsidRPr="0028689A" w:rsidRDefault="00212E6D" w:rsidP="001B41D6">
            <w:pPr>
              <w:spacing w:before="0" w:after="0" w:line="240" w:lineRule="auto"/>
              <w:rPr>
                <w:rFonts w:cstheme="minorHAnsi"/>
                <w:b/>
                <w:bCs/>
                <w:sz w:val="20"/>
                <w:szCs w:val="20"/>
                <w:lang w:val="en-US"/>
              </w:rPr>
            </w:pPr>
            <w:r w:rsidRPr="0028689A">
              <w:rPr>
                <w:rFonts w:cstheme="minorHAnsi"/>
                <w:b/>
                <w:bCs/>
                <w:sz w:val="20"/>
                <w:szCs w:val="20"/>
                <w:lang w:val="en-US"/>
              </w:rPr>
              <w:t>PIU-2 (</w:t>
            </w:r>
            <w:proofErr w:type="spellStart"/>
            <w:r w:rsidRPr="0028689A">
              <w:rPr>
                <w:rFonts w:cstheme="minorHAnsi"/>
                <w:b/>
                <w:bCs/>
                <w:sz w:val="20"/>
                <w:szCs w:val="20"/>
                <w:lang w:val="en-US"/>
              </w:rPr>
              <w:t>MoH</w:t>
            </w:r>
            <w:proofErr w:type="spellEnd"/>
            <w:r w:rsidRPr="0028689A">
              <w:rPr>
                <w:rFonts w:cstheme="minorHAnsi"/>
                <w:b/>
                <w:bCs/>
                <w:sz w:val="20"/>
                <w:szCs w:val="20"/>
                <w:lang w:val="en-US"/>
              </w:rPr>
              <w:t>)</w:t>
            </w:r>
          </w:p>
        </w:tc>
        <w:tc>
          <w:tcPr>
            <w:tcW w:w="6237" w:type="dxa"/>
          </w:tcPr>
          <w:p w14:paraId="3128D561" w14:textId="11BAD86C" w:rsidR="00212E6D" w:rsidRPr="0028689A" w:rsidRDefault="006D5A6E" w:rsidP="001B41D6">
            <w:pPr>
              <w:spacing w:before="0" w:after="0" w:line="240" w:lineRule="auto"/>
              <w:rPr>
                <w:rFonts w:cstheme="minorHAnsi"/>
                <w:sz w:val="20"/>
                <w:szCs w:val="20"/>
                <w:lang w:val="en-US"/>
              </w:rPr>
            </w:pPr>
            <w:r w:rsidRPr="0028689A">
              <w:rPr>
                <w:rFonts w:cstheme="minorHAnsi"/>
                <w:sz w:val="20"/>
                <w:szCs w:val="20"/>
                <w:lang w:val="en-US"/>
              </w:rPr>
              <w:t>Responsible to ensure the implementation of the provisions of the ESMF by all parties, within its competence, such as sub-project Borrowers and Contractors, including environmental and social monitoring, evaluation and reporting</w:t>
            </w:r>
          </w:p>
        </w:tc>
      </w:tr>
      <w:tr w:rsidR="006B3B3C" w:rsidRPr="0028689A" w14:paraId="6D004023" w14:textId="77777777" w:rsidTr="001B41D6">
        <w:tc>
          <w:tcPr>
            <w:tcW w:w="2830" w:type="dxa"/>
          </w:tcPr>
          <w:p w14:paraId="1A334C2C" w14:textId="6DBA8DF2" w:rsidR="006B3B3C" w:rsidRPr="0028689A" w:rsidRDefault="006B3B3C" w:rsidP="001B41D6">
            <w:pPr>
              <w:spacing w:before="0" w:after="0" w:line="240" w:lineRule="auto"/>
              <w:rPr>
                <w:rFonts w:cstheme="minorHAnsi"/>
                <w:b/>
                <w:bCs/>
                <w:sz w:val="20"/>
                <w:szCs w:val="20"/>
                <w:lang w:val="en-US"/>
              </w:rPr>
            </w:pPr>
            <w:r w:rsidRPr="0028689A">
              <w:rPr>
                <w:rFonts w:cstheme="minorHAnsi"/>
                <w:b/>
                <w:bCs/>
                <w:sz w:val="20"/>
                <w:szCs w:val="20"/>
                <w:lang w:val="en-US"/>
              </w:rPr>
              <w:t>The Environmental/Social Specialist</w:t>
            </w:r>
            <w:r w:rsidRPr="0028689A">
              <w:rPr>
                <w:rFonts w:cstheme="minorHAnsi"/>
                <w:sz w:val="20"/>
                <w:szCs w:val="20"/>
                <w:lang w:val="en-US"/>
              </w:rPr>
              <w:t xml:space="preserve"> </w:t>
            </w:r>
            <w:r w:rsidRPr="0028689A">
              <w:rPr>
                <w:rFonts w:cstheme="minorHAnsi"/>
                <w:b/>
                <w:bCs/>
                <w:sz w:val="20"/>
                <w:szCs w:val="20"/>
                <w:lang w:val="en-US"/>
              </w:rPr>
              <w:t>(ES specialist)</w:t>
            </w:r>
            <w:r w:rsidR="00FB1F32" w:rsidRPr="0028689A">
              <w:rPr>
                <w:rFonts w:cstheme="minorHAnsi"/>
                <w:b/>
                <w:bCs/>
                <w:sz w:val="20"/>
                <w:szCs w:val="20"/>
                <w:lang w:val="en-US"/>
              </w:rPr>
              <w:t xml:space="preserve"> </w:t>
            </w:r>
          </w:p>
        </w:tc>
        <w:tc>
          <w:tcPr>
            <w:tcW w:w="6237" w:type="dxa"/>
          </w:tcPr>
          <w:p w14:paraId="3CFDED88" w14:textId="368ADAEF"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 xml:space="preserve">will be engaged by the </w:t>
            </w:r>
            <w:r w:rsidR="00804D8E" w:rsidRPr="0028689A">
              <w:rPr>
                <w:rFonts w:cstheme="minorHAnsi"/>
                <w:sz w:val="20"/>
                <w:szCs w:val="20"/>
                <w:lang w:val="en-US"/>
              </w:rPr>
              <w:t xml:space="preserve">PIU-1 and </w:t>
            </w:r>
            <w:r w:rsidRPr="0028689A">
              <w:rPr>
                <w:rFonts w:cstheme="minorHAnsi"/>
                <w:sz w:val="20"/>
                <w:szCs w:val="20"/>
                <w:lang w:val="en-US"/>
              </w:rPr>
              <w:t>PIU</w:t>
            </w:r>
            <w:r w:rsidR="00804D8E" w:rsidRPr="0028689A">
              <w:rPr>
                <w:rFonts w:cstheme="minorHAnsi"/>
                <w:sz w:val="20"/>
                <w:szCs w:val="20"/>
                <w:lang w:val="en-US"/>
              </w:rPr>
              <w:t>-2</w:t>
            </w:r>
            <w:r w:rsidRPr="0028689A">
              <w:rPr>
                <w:rFonts w:cstheme="minorHAnsi"/>
                <w:sz w:val="20"/>
                <w:szCs w:val="20"/>
                <w:lang w:val="en-US"/>
              </w:rPr>
              <w:t>,</w:t>
            </w:r>
          </w:p>
          <w:p w14:paraId="748E4110" w14:textId="387CDA4F"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preparing site-specific ESMP Checklist</w:t>
            </w:r>
            <w:r w:rsidR="00EF4E6D">
              <w:rPr>
                <w:rFonts w:cstheme="minorHAnsi"/>
                <w:sz w:val="20"/>
                <w:szCs w:val="20"/>
                <w:lang w:val="en-US"/>
              </w:rPr>
              <w:t>/CHMP</w:t>
            </w:r>
            <w:r w:rsidRPr="0028689A">
              <w:rPr>
                <w:rFonts w:cstheme="minorHAnsi"/>
                <w:sz w:val="20"/>
                <w:szCs w:val="20"/>
                <w:lang w:val="en-US"/>
              </w:rPr>
              <w:t>,</w:t>
            </w:r>
          </w:p>
          <w:p w14:paraId="1062E7AB" w14:textId="4F687E53"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ensuring that all sub - projects are carried out with due regard to appropriate health, safety, social, and environmental standards and practices, and in accordance with the Safeguards Instruments (ESMF, site specific ESMP Checklists</w:t>
            </w:r>
            <w:r w:rsidR="00EF4E6D">
              <w:rPr>
                <w:rFonts w:cstheme="minorHAnsi"/>
                <w:sz w:val="20"/>
                <w:szCs w:val="20"/>
                <w:lang w:val="en-US"/>
              </w:rPr>
              <w:t>/CHMP</w:t>
            </w:r>
            <w:r w:rsidRPr="0028689A">
              <w:rPr>
                <w:rFonts w:cstheme="minorHAnsi"/>
                <w:sz w:val="20"/>
                <w:szCs w:val="20"/>
                <w:lang w:val="en-US"/>
              </w:rPr>
              <w:t>),</w:t>
            </w:r>
          </w:p>
          <w:p w14:paraId="3D5E517B" w14:textId="77777777" w:rsidR="006B3B3C" w:rsidRPr="0028689A" w:rsidRDefault="006B3B3C" w:rsidP="00BE60A0">
            <w:pPr>
              <w:pStyle w:val="ListParagraph"/>
              <w:numPr>
                <w:ilvl w:val="0"/>
                <w:numId w:val="31"/>
              </w:numPr>
              <w:spacing w:before="0" w:after="0" w:line="240" w:lineRule="auto"/>
              <w:ind w:left="321"/>
              <w:rPr>
                <w:rFonts w:cstheme="minorHAnsi"/>
                <w:sz w:val="20"/>
                <w:szCs w:val="20"/>
                <w:lang w:val="en-US"/>
              </w:rPr>
            </w:pPr>
            <w:r w:rsidRPr="0028689A">
              <w:rPr>
                <w:rFonts w:cstheme="minorHAnsi"/>
                <w:sz w:val="20"/>
                <w:szCs w:val="20"/>
                <w:lang w:val="en-US"/>
              </w:rPr>
              <w:t xml:space="preserve">advising and guiding the contractors on the identification, assessment and mitigation of environmental and social impacts at the sub-project level and preparation of monitoring reports, </w:t>
            </w:r>
          </w:p>
          <w:p w14:paraId="6668A4A9"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conducting environmental/social supervision by carrying out document reviews, site visits and interviews with Contractor, Construction Supervisors at least once a month,</w:t>
            </w:r>
          </w:p>
          <w:p w14:paraId="5781E473"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holding regular meetings with the Contractor and representatives from PIU, and beneficiaries, on a monthly basis,</w:t>
            </w:r>
          </w:p>
          <w:p w14:paraId="2D25EFB0"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project workers trainings regarding:</w:t>
            </w:r>
          </w:p>
          <w:p w14:paraId="2368F999"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Occupational Health and Safety</w:t>
            </w:r>
          </w:p>
          <w:p w14:paraId="0D3C2113"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lastRenderedPageBreak/>
              <w:t>Codes of conduct</w:t>
            </w:r>
          </w:p>
          <w:p w14:paraId="56CD9C1C"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Unacceptability of Gender-Based</w:t>
            </w:r>
          </w:p>
          <w:p w14:paraId="28EABF95"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Violence, Sexual Exploitation and Abuse</w:t>
            </w:r>
          </w:p>
          <w:p w14:paraId="50C46FB3"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and Sexual Harassment</w:t>
            </w:r>
          </w:p>
          <w:p w14:paraId="1AFE0530"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Workplace Grievance Redress</w:t>
            </w:r>
          </w:p>
          <w:p w14:paraId="1E19D024"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Mechanism</w:t>
            </w:r>
          </w:p>
          <w:p w14:paraId="5F52B66A" w14:textId="77777777" w:rsidR="006B3B3C" w:rsidRPr="0028689A" w:rsidRDefault="006B3B3C" w:rsidP="00BE60A0">
            <w:pPr>
              <w:pStyle w:val="ListParagraph"/>
              <w:numPr>
                <w:ilvl w:val="0"/>
                <w:numId w:val="35"/>
              </w:numPr>
              <w:spacing w:before="0" w:after="0" w:line="240" w:lineRule="auto"/>
              <w:rPr>
                <w:rFonts w:cstheme="minorHAnsi"/>
                <w:sz w:val="20"/>
                <w:szCs w:val="20"/>
                <w:lang w:val="en-US"/>
              </w:rPr>
            </w:pPr>
            <w:r w:rsidRPr="0028689A">
              <w:rPr>
                <w:rFonts w:cstheme="minorHAnsi"/>
                <w:sz w:val="20"/>
                <w:szCs w:val="20"/>
                <w:lang w:val="en-US"/>
              </w:rPr>
              <w:t>Waste management precautions</w:t>
            </w:r>
          </w:p>
          <w:p w14:paraId="032CE956"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responding on WB requirements and Head of PIU</w:t>
            </w:r>
          </w:p>
        </w:tc>
      </w:tr>
      <w:tr w:rsidR="006B3B3C" w:rsidRPr="0028689A" w14:paraId="44871A74" w14:textId="77777777" w:rsidTr="001B41D6">
        <w:tc>
          <w:tcPr>
            <w:tcW w:w="2830" w:type="dxa"/>
          </w:tcPr>
          <w:p w14:paraId="3DA96BE3" w14:textId="77777777" w:rsidR="006B3B3C" w:rsidRPr="0028689A" w:rsidRDefault="006B3B3C" w:rsidP="001B41D6">
            <w:pPr>
              <w:spacing w:before="0" w:after="0" w:line="240" w:lineRule="auto"/>
              <w:rPr>
                <w:rFonts w:cstheme="minorHAnsi"/>
                <w:b/>
                <w:bCs/>
                <w:sz w:val="20"/>
                <w:szCs w:val="20"/>
                <w:lang w:val="en-US"/>
              </w:rPr>
            </w:pPr>
            <w:r w:rsidRPr="0028689A">
              <w:rPr>
                <w:rFonts w:cstheme="minorHAnsi"/>
                <w:b/>
                <w:bCs/>
                <w:sz w:val="20"/>
                <w:szCs w:val="20"/>
                <w:lang w:val="en-US"/>
              </w:rPr>
              <w:t>PIU FGRM focal points</w:t>
            </w:r>
          </w:p>
        </w:tc>
        <w:tc>
          <w:tcPr>
            <w:tcW w:w="6237" w:type="dxa"/>
          </w:tcPr>
          <w:p w14:paraId="279CC6E6" w14:textId="77777777" w:rsidR="006B3B3C" w:rsidRPr="0028689A" w:rsidRDefault="006B3B3C" w:rsidP="00BE60A0">
            <w:pPr>
              <w:pStyle w:val="ListParagraph"/>
              <w:numPr>
                <w:ilvl w:val="0"/>
                <w:numId w:val="31"/>
              </w:numPr>
              <w:spacing w:before="0" w:after="0" w:line="240" w:lineRule="auto"/>
              <w:ind w:left="312"/>
              <w:rPr>
                <w:rFonts w:cstheme="minorHAnsi"/>
                <w:sz w:val="20"/>
                <w:szCs w:val="20"/>
                <w:lang w:val="en-US"/>
              </w:rPr>
            </w:pPr>
            <w:r w:rsidRPr="0028689A">
              <w:rPr>
                <w:rFonts w:cstheme="minorHAnsi"/>
                <w:sz w:val="20"/>
                <w:szCs w:val="20"/>
                <w:lang w:val="en-US"/>
              </w:rPr>
              <w:t>responsible for managing the Feedback and Grievance Redress Mechanism (FGRM)</w:t>
            </w:r>
          </w:p>
        </w:tc>
      </w:tr>
    </w:tbl>
    <w:p w14:paraId="6593F813" w14:textId="7EDCB48C" w:rsidR="006B3B3C" w:rsidRPr="00AB7D1E" w:rsidRDefault="006B3B3C" w:rsidP="007D1E1B">
      <w:pPr>
        <w:pStyle w:val="Style1"/>
      </w:pPr>
      <w:bookmarkStart w:id="205" w:name="_Ref47881551"/>
      <w:bookmarkStart w:id="206" w:name="_Toc56952722"/>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22</w:t>
      </w:r>
      <w:r w:rsidR="00DF4A34" w:rsidRPr="00AB7D1E">
        <w:fldChar w:fldCharType="end"/>
      </w:r>
      <w:bookmarkEnd w:id="205"/>
      <w:r w:rsidRPr="00AB7D1E">
        <w:t>. Reporting obligations during project implementation</w:t>
      </w:r>
      <w:bookmarkEnd w:id="206"/>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650"/>
        <w:gridCol w:w="2410"/>
      </w:tblGrid>
      <w:tr w:rsidR="006B3B3C" w:rsidRPr="00AB7D1E" w14:paraId="2512FCB4" w14:textId="77777777" w:rsidTr="001B41D6">
        <w:trPr>
          <w:tblHeader/>
        </w:trPr>
        <w:tc>
          <w:tcPr>
            <w:tcW w:w="1658" w:type="pct"/>
            <w:shd w:val="clear" w:color="auto" w:fill="CEDBE6" w:themeFill="background2"/>
          </w:tcPr>
          <w:p w14:paraId="78A0EC9B" w14:textId="605BBCBF" w:rsidR="006B3B3C" w:rsidRPr="00AB7D1E" w:rsidRDefault="00161838" w:rsidP="001B41D6">
            <w:pPr>
              <w:spacing w:before="0" w:after="0" w:line="240" w:lineRule="auto"/>
              <w:jc w:val="center"/>
              <w:rPr>
                <w:rFonts w:cstheme="minorHAnsi"/>
                <w:b/>
                <w:bCs/>
                <w:sz w:val="20"/>
                <w:szCs w:val="20"/>
                <w:lang w:val="en-US"/>
              </w:rPr>
            </w:pPr>
            <w:r>
              <w:rPr>
                <w:rFonts w:cstheme="minorHAnsi"/>
                <w:b/>
                <w:bCs/>
                <w:sz w:val="20"/>
                <w:szCs w:val="20"/>
                <w:lang w:val="en-US"/>
              </w:rPr>
              <w:t>Author/addressed to</w:t>
            </w:r>
          </w:p>
        </w:tc>
        <w:tc>
          <w:tcPr>
            <w:tcW w:w="2013" w:type="pct"/>
            <w:shd w:val="clear" w:color="auto" w:fill="CEDBE6" w:themeFill="background2"/>
          </w:tcPr>
          <w:p w14:paraId="50A1F23D" w14:textId="77777777" w:rsidR="006B3B3C" w:rsidRPr="00AB7D1E" w:rsidRDefault="006B3B3C" w:rsidP="001B41D6">
            <w:pPr>
              <w:spacing w:before="0" w:after="0" w:line="240" w:lineRule="auto"/>
              <w:jc w:val="center"/>
              <w:rPr>
                <w:rFonts w:cstheme="minorHAnsi"/>
                <w:b/>
                <w:bCs/>
                <w:sz w:val="20"/>
                <w:szCs w:val="20"/>
                <w:lang w:val="en-US"/>
              </w:rPr>
            </w:pPr>
            <w:r w:rsidRPr="00AB7D1E">
              <w:rPr>
                <w:rFonts w:cstheme="minorHAnsi"/>
                <w:b/>
                <w:bCs/>
                <w:sz w:val="20"/>
                <w:szCs w:val="20"/>
                <w:lang w:val="en-US"/>
              </w:rPr>
              <w:t>Report</w:t>
            </w:r>
          </w:p>
        </w:tc>
        <w:tc>
          <w:tcPr>
            <w:tcW w:w="1329" w:type="pct"/>
            <w:shd w:val="clear" w:color="auto" w:fill="CEDBE6" w:themeFill="background2"/>
          </w:tcPr>
          <w:p w14:paraId="6FD6F8C8" w14:textId="77777777" w:rsidR="006B3B3C" w:rsidRPr="00AB7D1E" w:rsidRDefault="006B3B3C" w:rsidP="001B41D6">
            <w:pPr>
              <w:spacing w:before="0" w:after="0" w:line="240" w:lineRule="auto"/>
              <w:jc w:val="center"/>
              <w:rPr>
                <w:rFonts w:cstheme="minorHAnsi"/>
                <w:b/>
                <w:bCs/>
                <w:sz w:val="20"/>
                <w:szCs w:val="20"/>
                <w:lang w:val="en-US"/>
              </w:rPr>
            </w:pPr>
            <w:r w:rsidRPr="00AB7D1E">
              <w:rPr>
                <w:rFonts w:cstheme="minorHAnsi"/>
                <w:b/>
                <w:bCs/>
                <w:sz w:val="20"/>
                <w:szCs w:val="20"/>
                <w:lang w:val="en-US"/>
              </w:rPr>
              <w:t>Frequency</w:t>
            </w:r>
          </w:p>
        </w:tc>
      </w:tr>
      <w:tr w:rsidR="00EF4E6D" w:rsidRPr="00AB7D1E" w14:paraId="208082DD" w14:textId="77777777" w:rsidTr="007D4FEA">
        <w:tc>
          <w:tcPr>
            <w:tcW w:w="1658" w:type="pct"/>
            <w:vAlign w:val="center"/>
          </w:tcPr>
          <w:p w14:paraId="09B2E9C2" w14:textId="291477FC" w:rsidR="00EF4E6D" w:rsidRPr="00AB7D1E" w:rsidRDefault="00EF4E6D" w:rsidP="00EF4E6D">
            <w:pPr>
              <w:spacing w:before="0" w:after="0" w:line="240" w:lineRule="auto"/>
              <w:rPr>
                <w:rFonts w:cstheme="minorHAnsi"/>
                <w:b/>
                <w:bCs/>
                <w:sz w:val="20"/>
                <w:szCs w:val="20"/>
                <w:lang w:val="en-US"/>
              </w:rPr>
            </w:pPr>
            <w:r w:rsidRPr="00EE50B1">
              <w:rPr>
                <w:rFonts w:cs="Calibri"/>
                <w:b/>
                <w:bCs/>
                <w:sz w:val="20"/>
                <w:szCs w:val="20"/>
                <w:lang w:val="en-GB"/>
              </w:rPr>
              <w:t>Contractors (Supervising engineer) to PIU-1</w:t>
            </w:r>
          </w:p>
        </w:tc>
        <w:tc>
          <w:tcPr>
            <w:tcW w:w="2013" w:type="pct"/>
            <w:vAlign w:val="center"/>
          </w:tcPr>
          <w:p w14:paraId="2FBE72E5" w14:textId="0E0BF011" w:rsidR="00EF4E6D" w:rsidRPr="00AB7D1E" w:rsidRDefault="00EF4E6D" w:rsidP="00BE60A0">
            <w:pPr>
              <w:pStyle w:val="ListParagraph"/>
              <w:numPr>
                <w:ilvl w:val="0"/>
                <w:numId w:val="54"/>
              </w:numPr>
              <w:spacing w:before="0" w:after="0" w:line="240" w:lineRule="auto"/>
              <w:ind w:left="422" w:hanging="425"/>
              <w:rPr>
                <w:rFonts w:cstheme="minorHAnsi"/>
                <w:sz w:val="20"/>
                <w:szCs w:val="20"/>
                <w:lang w:val="en-US"/>
              </w:rPr>
            </w:pPr>
            <w:r w:rsidRPr="00EE50B1">
              <w:rPr>
                <w:rFonts w:cs="Calibri"/>
                <w:sz w:val="20"/>
                <w:szCs w:val="20"/>
                <w:lang w:val="en-GB"/>
              </w:rPr>
              <w:t>Monitoring reports (ESMP Checklists</w:t>
            </w:r>
            <w:r w:rsidRPr="00753CD7">
              <w:rPr>
                <w:rFonts w:cs="Calibri"/>
                <w:sz w:val="20"/>
                <w:szCs w:val="20"/>
                <w:lang w:val="en-GB"/>
              </w:rPr>
              <w:t>/CHMPs</w:t>
            </w:r>
            <w:r w:rsidRPr="00EE50B1">
              <w:rPr>
                <w:rFonts w:cs="Calibri"/>
                <w:sz w:val="20"/>
                <w:szCs w:val="20"/>
                <w:lang w:val="en-GB"/>
              </w:rPr>
              <w:t xml:space="preserve"> implementation and OHS issues reports.)</w:t>
            </w:r>
          </w:p>
        </w:tc>
        <w:tc>
          <w:tcPr>
            <w:tcW w:w="1329" w:type="pct"/>
            <w:vAlign w:val="center"/>
          </w:tcPr>
          <w:p w14:paraId="384A969B" w14:textId="242F515B" w:rsidR="00EF4E6D" w:rsidRPr="00AB7D1E" w:rsidRDefault="00EF4E6D" w:rsidP="00BE60A0">
            <w:pPr>
              <w:pStyle w:val="ListParagraph"/>
              <w:numPr>
                <w:ilvl w:val="0"/>
                <w:numId w:val="54"/>
              </w:numPr>
              <w:spacing w:before="0" w:after="0" w:line="240" w:lineRule="auto"/>
              <w:ind w:left="320" w:hanging="320"/>
              <w:rPr>
                <w:rFonts w:cstheme="minorHAnsi"/>
                <w:sz w:val="20"/>
                <w:szCs w:val="20"/>
                <w:lang w:val="en-US"/>
              </w:rPr>
            </w:pPr>
            <w:r w:rsidRPr="00EE50B1">
              <w:rPr>
                <w:rFonts w:cs="Calibri"/>
                <w:sz w:val="20"/>
                <w:szCs w:val="20"/>
                <w:lang w:val="en-GB"/>
              </w:rPr>
              <w:t>Monthly (including initial/inception report)</w:t>
            </w:r>
          </w:p>
        </w:tc>
      </w:tr>
      <w:tr w:rsidR="00EF4E6D" w:rsidRPr="00AB7D1E" w14:paraId="63BF98DE" w14:textId="77777777" w:rsidTr="007D4FEA">
        <w:tc>
          <w:tcPr>
            <w:tcW w:w="1658" w:type="pct"/>
          </w:tcPr>
          <w:p w14:paraId="6670FC12" w14:textId="3A64E1ED" w:rsidR="00EF4E6D" w:rsidRPr="00AB7D1E" w:rsidRDefault="00EF4E6D" w:rsidP="00EF4E6D">
            <w:pPr>
              <w:spacing w:before="0" w:after="0" w:line="240" w:lineRule="auto"/>
              <w:rPr>
                <w:rFonts w:cstheme="minorHAnsi"/>
                <w:b/>
                <w:bCs/>
                <w:sz w:val="20"/>
                <w:szCs w:val="20"/>
                <w:lang w:val="en-US"/>
              </w:rPr>
            </w:pPr>
            <w:r w:rsidRPr="00AB7D1E">
              <w:rPr>
                <w:rFonts w:cstheme="minorHAnsi"/>
                <w:b/>
                <w:bCs/>
                <w:sz w:val="20"/>
                <w:szCs w:val="20"/>
                <w:lang w:val="en-US"/>
              </w:rPr>
              <w:t>PIU-1 (</w:t>
            </w:r>
            <w:proofErr w:type="spellStart"/>
            <w:r w:rsidRPr="00AB7D1E">
              <w:rPr>
                <w:rFonts w:cstheme="minorHAnsi"/>
                <w:b/>
                <w:bCs/>
                <w:sz w:val="20"/>
                <w:szCs w:val="20"/>
                <w:lang w:val="en-US"/>
              </w:rPr>
              <w:t>MoCPPS</w:t>
            </w:r>
            <w:r>
              <w:rPr>
                <w:rFonts w:cstheme="minorHAnsi"/>
                <w:b/>
                <w:bCs/>
                <w:sz w:val="20"/>
                <w:szCs w:val="20"/>
                <w:lang w:val="en-US"/>
              </w:rPr>
              <w:t>A</w:t>
            </w:r>
            <w:proofErr w:type="spellEnd"/>
            <w:r w:rsidRPr="00AB7D1E">
              <w:rPr>
                <w:rFonts w:cstheme="minorHAnsi"/>
                <w:b/>
                <w:bCs/>
                <w:sz w:val="20"/>
                <w:szCs w:val="20"/>
                <w:lang w:val="en-US"/>
              </w:rPr>
              <w:t>) – reporting to the WB</w:t>
            </w:r>
          </w:p>
          <w:p w14:paraId="20305A87" w14:textId="77777777" w:rsidR="00EF4E6D" w:rsidRPr="00AB7D1E" w:rsidRDefault="00EF4E6D" w:rsidP="00EF4E6D">
            <w:pPr>
              <w:spacing w:before="0" w:after="0" w:line="240" w:lineRule="auto"/>
              <w:rPr>
                <w:rFonts w:cstheme="minorHAnsi"/>
                <w:b/>
                <w:bCs/>
                <w:sz w:val="20"/>
                <w:szCs w:val="20"/>
                <w:lang w:val="en-US"/>
              </w:rPr>
            </w:pPr>
          </w:p>
          <w:p w14:paraId="64755C88" w14:textId="06B169D6" w:rsidR="00EF4E6D" w:rsidRPr="00AB7D1E" w:rsidRDefault="00EF4E6D" w:rsidP="00EF4E6D">
            <w:pPr>
              <w:spacing w:before="0" w:after="0" w:line="240" w:lineRule="auto"/>
              <w:rPr>
                <w:rFonts w:cstheme="minorHAnsi"/>
                <w:b/>
                <w:bCs/>
                <w:sz w:val="20"/>
                <w:szCs w:val="20"/>
                <w:lang w:val="en-US"/>
              </w:rPr>
            </w:pPr>
            <w:r w:rsidRPr="00AB7D1E">
              <w:rPr>
                <w:rFonts w:cstheme="minorHAnsi"/>
                <w:b/>
                <w:bCs/>
                <w:sz w:val="20"/>
                <w:szCs w:val="20"/>
                <w:lang w:val="en-US"/>
              </w:rPr>
              <w:t>PIU-2 (</w:t>
            </w:r>
            <w:proofErr w:type="spellStart"/>
            <w:r w:rsidRPr="00AB7D1E">
              <w:rPr>
                <w:rFonts w:cstheme="minorHAnsi"/>
                <w:b/>
                <w:bCs/>
                <w:sz w:val="20"/>
                <w:szCs w:val="20"/>
                <w:lang w:val="en-US"/>
              </w:rPr>
              <w:t>MoH</w:t>
            </w:r>
            <w:proofErr w:type="spellEnd"/>
            <w:r w:rsidRPr="00AB7D1E">
              <w:rPr>
                <w:rFonts w:cstheme="minorHAnsi"/>
                <w:b/>
                <w:bCs/>
                <w:sz w:val="20"/>
                <w:szCs w:val="20"/>
                <w:lang w:val="en-US"/>
              </w:rPr>
              <w:t>) – providing inputs to PIU-1 for their part</w:t>
            </w:r>
          </w:p>
        </w:tc>
        <w:tc>
          <w:tcPr>
            <w:tcW w:w="2013" w:type="pct"/>
            <w:vAlign w:val="center"/>
          </w:tcPr>
          <w:p w14:paraId="0F68FD23" w14:textId="5630AD6D" w:rsidR="00EF4E6D" w:rsidRPr="00AB7D1E" w:rsidRDefault="00EF4E6D" w:rsidP="00BE60A0">
            <w:pPr>
              <w:pStyle w:val="ListParagraph"/>
              <w:numPr>
                <w:ilvl w:val="0"/>
                <w:numId w:val="54"/>
              </w:numPr>
              <w:spacing w:before="0" w:after="0" w:line="240" w:lineRule="auto"/>
              <w:ind w:left="422" w:hanging="425"/>
              <w:rPr>
                <w:rFonts w:cstheme="minorHAnsi"/>
                <w:sz w:val="20"/>
                <w:szCs w:val="20"/>
                <w:lang w:val="en-US"/>
              </w:rPr>
            </w:pPr>
            <w:r w:rsidRPr="00EE50B1">
              <w:rPr>
                <w:rFonts w:cs="Calibri"/>
                <w:sz w:val="20"/>
                <w:szCs w:val="20"/>
                <w:lang w:val="en-GB"/>
              </w:rPr>
              <w:t>Environmental and Social assessment implementation report</w:t>
            </w:r>
          </w:p>
        </w:tc>
        <w:tc>
          <w:tcPr>
            <w:tcW w:w="1329" w:type="pct"/>
            <w:vAlign w:val="center"/>
          </w:tcPr>
          <w:p w14:paraId="76E2540E" w14:textId="785205FA" w:rsidR="00EF4E6D" w:rsidRPr="00AB7D1E" w:rsidRDefault="00EF4E6D" w:rsidP="00BE60A0">
            <w:pPr>
              <w:pStyle w:val="ListParagraph"/>
              <w:numPr>
                <w:ilvl w:val="0"/>
                <w:numId w:val="54"/>
              </w:numPr>
              <w:spacing w:before="0" w:after="0" w:line="240" w:lineRule="auto"/>
              <w:ind w:left="320" w:hanging="320"/>
              <w:rPr>
                <w:rFonts w:cstheme="minorHAnsi"/>
                <w:sz w:val="20"/>
                <w:szCs w:val="20"/>
                <w:lang w:val="en-US"/>
              </w:rPr>
            </w:pPr>
            <w:r w:rsidRPr="00EE50B1">
              <w:rPr>
                <w:rFonts w:cs="Calibri"/>
                <w:sz w:val="20"/>
                <w:szCs w:val="20"/>
                <w:lang w:val="en-GB"/>
              </w:rPr>
              <w:t>Quarterly unless differently required by WB (e.g. monthly upon request for activities with potentially substantial environmental and social risks)</w:t>
            </w:r>
          </w:p>
        </w:tc>
      </w:tr>
      <w:tr w:rsidR="00142A1B" w:rsidRPr="00AB7D1E" w14:paraId="5F3ADB57" w14:textId="77777777" w:rsidTr="007D4FEA">
        <w:tc>
          <w:tcPr>
            <w:tcW w:w="1658" w:type="pct"/>
          </w:tcPr>
          <w:p w14:paraId="4858592F" w14:textId="77777777" w:rsidR="00142A1B" w:rsidRPr="00AB7D1E" w:rsidRDefault="00142A1B" w:rsidP="00142A1B">
            <w:pPr>
              <w:spacing w:before="0" w:after="0" w:line="240" w:lineRule="auto"/>
              <w:rPr>
                <w:rFonts w:cstheme="minorHAnsi"/>
                <w:b/>
                <w:bCs/>
                <w:sz w:val="20"/>
                <w:szCs w:val="20"/>
                <w:lang w:val="en-US"/>
              </w:rPr>
            </w:pPr>
            <w:r w:rsidRPr="00AB7D1E">
              <w:rPr>
                <w:rFonts w:cstheme="minorHAnsi"/>
                <w:b/>
                <w:bCs/>
                <w:sz w:val="20"/>
                <w:szCs w:val="20"/>
                <w:lang w:val="en-US"/>
              </w:rPr>
              <w:t xml:space="preserve">The </w:t>
            </w:r>
            <w:bookmarkStart w:id="207" w:name="_Hlk47986199"/>
            <w:r w:rsidRPr="00AB7D1E">
              <w:rPr>
                <w:rFonts w:cstheme="minorHAnsi"/>
                <w:b/>
                <w:bCs/>
                <w:sz w:val="20"/>
                <w:szCs w:val="20"/>
                <w:lang w:val="en-US"/>
              </w:rPr>
              <w:t>Environmental/Social Specialist</w:t>
            </w:r>
            <w:r w:rsidRPr="00AB7D1E">
              <w:rPr>
                <w:rFonts w:cstheme="minorHAnsi"/>
                <w:sz w:val="20"/>
                <w:szCs w:val="20"/>
                <w:lang w:val="en-US"/>
              </w:rPr>
              <w:t xml:space="preserve"> </w:t>
            </w:r>
            <w:bookmarkEnd w:id="207"/>
            <w:r w:rsidRPr="00AB7D1E">
              <w:rPr>
                <w:rFonts w:cstheme="minorHAnsi"/>
                <w:b/>
                <w:bCs/>
                <w:sz w:val="20"/>
                <w:szCs w:val="20"/>
                <w:lang w:val="en-US"/>
              </w:rPr>
              <w:t>(ES specialist)</w:t>
            </w:r>
          </w:p>
        </w:tc>
        <w:tc>
          <w:tcPr>
            <w:tcW w:w="2013" w:type="pct"/>
            <w:vAlign w:val="center"/>
          </w:tcPr>
          <w:p w14:paraId="0062466E" w14:textId="47160985" w:rsidR="00142A1B" w:rsidRPr="00AB7D1E" w:rsidRDefault="00142A1B" w:rsidP="00BE60A0">
            <w:pPr>
              <w:pStyle w:val="ListParagraph"/>
              <w:numPr>
                <w:ilvl w:val="0"/>
                <w:numId w:val="31"/>
              </w:numPr>
              <w:spacing w:before="0" w:after="0" w:line="240" w:lineRule="auto"/>
              <w:ind w:left="342"/>
              <w:rPr>
                <w:rFonts w:cstheme="minorHAnsi"/>
                <w:b/>
                <w:bCs/>
                <w:sz w:val="20"/>
                <w:szCs w:val="20"/>
                <w:lang w:val="en-US"/>
              </w:rPr>
            </w:pPr>
            <w:r w:rsidRPr="00EE50B1">
              <w:rPr>
                <w:rFonts w:cs="Calibri"/>
                <w:sz w:val="20"/>
                <w:szCs w:val="20"/>
                <w:lang w:val="en-GB"/>
              </w:rPr>
              <w:t>Brief description of issues identified, corrective action required or taken, timeline for corrective action agreed with contractor</w:t>
            </w:r>
          </w:p>
        </w:tc>
        <w:tc>
          <w:tcPr>
            <w:tcW w:w="1329" w:type="pct"/>
            <w:vAlign w:val="center"/>
          </w:tcPr>
          <w:p w14:paraId="5534A215" w14:textId="22666922" w:rsidR="00142A1B" w:rsidRPr="00AB7D1E" w:rsidRDefault="00142A1B" w:rsidP="00BE60A0">
            <w:pPr>
              <w:pStyle w:val="ListParagraph"/>
              <w:numPr>
                <w:ilvl w:val="0"/>
                <w:numId w:val="31"/>
              </w:numPr>
              <w:spacing w:before="0" w:after="0" w:line="240" w:lineRule="auto"/>
              <w:ind w:left="342"/>
              <w:rPr>
                <w:rFonts w:cstheme="minorHAnsi"/>
                <w:sz w:val="20"/>
                <w:szCs w:val="20"/>
                <w:lang w:val="en-US"/>
              </w:rPr>
            </w:pPr>
            <w:bookmarkStart w:id="208" w:name="_Hlk47986178"/>
            <w:r w:rsidRPr="00EE50B1">
              <w:rPr>
                <w:rFonts w:cs="Calibri"/>
                <w:sz w:val="20"/>
                <w:szCs w:val="20"/>
                <w:lang w:val="en-GB"/>
              </w:rPr>
              <w:t>Upon completion of each site visit</w:t>
            </w:r>
            <w:bookmarkEnd w:id="208"/>
          </w:p>
        </w:tc>
      </w:tr>
      <w:tr w:rsidR="00161838" w:rsidRPr="00AB7D1E" w14:paraId="622E8B88" w14:textId="77777777" w:rsidTr="00161838">
        <w:tc>
          <w:tcPr>
            <w:tcW w:w="1658" w:type="pct"/>
            <w:vAlign w:val="center"/>
          </w:tcPr>
          <w:p w14:paraId="6F18B04C" w14:textId="7F6B1E27" w:rsidR="00161838" w:rsidRPr="00804D8E" w:rsidRDefault="00161838" w:rsidP="00161838">
            <w:pPr>
              <w:spacing w:before="0" w:after="0" w:line="240" w:lineRule="auto"/>
              <w:rPr>
                <w:rFonts w:cstheme="minorHAnsi"/>
                <w:b/>
                <w:bCs/>
                <w:sz w:val="20"/>
                <w:szCs w:val="20"/>
                <w:lang w:val="en-US"/>
              </w:rPr>
            </w:pPr>
            <w:r w:rsidRPr="00CF67CF">
              <w:rPr>
                <w:rFonts w:cs="Calibri"/>
                <w:b/>
                <w:bCs/>
                <w:sz w:val="20"/>
                <w:szCs w:val="20"/>
                <w:lang w:val="en-GB"/>
              </w:rPr>
              <w:t>FGRM focal points</w:t>
            </w:r>
            <w:r>
              <w:rPr>
                <w:rFonts w:cs="Calibri"/>
                <w:b/>
                <w:bCs/>
                <w:sz w:val="20"/>
                <w:szCs w:val="20"/>
                <w:lang w:val="en-GB"/>
              </w:rPr>
              <w:t xml:space="preserve"> for PIU 1 and PIU 2</w:t>
            </w:r>
          </w:p>
        </w:tc>
        <w:tc>
          <w:tcPr>
            <w:tcW w:w="2013" w:type="pct"/>
            <w:vAlign w:val="center"/>
          </w:tcPr>
          <w:p w14:paraId="21304C8C" w14:textId="4B70BEE5" w:rsidR="00161838" w:rsidRPr="00AB7D1E" w:rsidRDefault="00161838" w:rsidP="00BE60A0">
            <w:pPr>
              <w:pStyle w:val="ListParagraph"/>
              <w:numPr>
                <w:ilvl w:val="0"/>
                <w:numId w:val="31"/>
              </w:numPr>
              <w:spacing w:before="0" w:after="0" w:line="240" w:lineRule="auto"/>
              <w:ind w:left="282"/>
              <w:rPr>
                <w:rFonts w:cstheme="minorHAnsi"/>
                <w:sz w:val="20"/>
                <w:szCs w:val="20"/>
                <w:lang w:val="en-US"/>
              </w:rPr>
            </w:pPr>
            <w:r w:rsidRPr="00CF67CF">
              <w:rPr>
                <w:rFonts w:cs="Calibri"/>
                <w:sz w:val="20"/>
                <w:szCs w:val="20"/>
                <w:lang w:val="en-GB"/>
              </w:rPr>
              <w:t>Snapshot of status of complaints received/ resolved/ delayed</w:t>
            </w:r>
            <w:r>
              <w:rPr>
                <w:rFonts w:cs="Calibri"/>
                <w:sz w:val="20"/>
                <w:szCs w:val="20"/>
                <w:lang w:val="en-GB"/>
              </w:rPr>
              <w:t xml:space="preserve"> (FGRM Report)</w:t>
            </w:r>
          </w:p>
        </w:tc>
        <w:tc>
          <w:tcPr>
            <w:tcW w:w="1329" w:type="pct"/>
            <w:vAlign w:val="center"/>
          </w:tcPr>
          <w:p w14:paraId="54F550EE" w14:textId="3F58336E" w:rsidR="00161838" w:rsidRPr="00AB7D1E" w:rsidRDefault="00161838" w:rsidP="00BE60A0">
            <w:pPr>
              <w:pStyle w:val="ListParagraph"/>
              <w:numPr>
                <w:ilvl w:val="0"/>
                <w:numId w:val="31"/>
              </w:numPr>
              <w:spacing w:before="0" w:after="0" w:line="240" w:lineRule="auto"/>
              <w:ind w:left="401"/>
              <w:rPr>
                <w:rFonts w:cstheme="minorHAnsi"/>
                <w:sz w:val="20"/>
                <w:szCs w:val="20"/>
                <w:lang w:val="en-US"/>
              </w:rPr>
            </w:pPr>
            <w:r>
              <w:rPr>
                <w:rFonts w:cs="Calibri"/>
                <w:sz w:val="20"/>
                <w:szCs w:val="20"/>
                <w:lang w:val="en-GB"/>
              </w:rPr>
              <w:t>Monthly</w:t>
            </w:r>
          </w:p>
        </w:tc>
      </w:tr>
      <w:tr w:rsidR="00161838" w:rsidRPr="00AB7D1E" w14:paraId="5168E680" w14:textId="77777777" w:rsidTr="00161838">
        <w:tc>
          <w:tcPr>
            <w:tcW w:w="1658" w:type="pct"/>
            <w:vAlign w:val="center"/>
          </w:tcPr>
          <w:p w14:paraId="66A3EE63" w14:textId="4B571624" w:rsidR="00161838" w:rsidRPr="00804D8E" w:rsidRDefault="00161838" w:rsidP="00161838">
            <w:pPr>
              <w:spacing w:before="0" w:after="0" w:line="240" w:lineRule="auto"/>
              <w:rPr>
                <w:rFonts w:cstheme="minorHAnsi"/>
                <w:b/>
                <w:bCs/>
                <w:sz w:val="20"/>
                <w:szCs w:val="20"/>
                <w:lang w:val="en-US"/>
              </w:rPr>
            </w:pPr>
            <w:r w:rsidRPr="00CF67CF">
              <w:rPr>
                <w:rFonts w:cs="Calibri"/>
                <w:b/>
                <w:bCs/>
                <w:sz w:val="20"/>
                <w:szCs w:val="20"/>
                <w:lang w:val="en-GB"/>
              </w:rPr>
              <w:t>FGRM focal points for PIU 1 and PIU 2</w:t>
            </w:r>
            <w:r>
              <w:rPr>
                <w:rFonts w:cs="Calibri"/>
                <w:b/>
                <w:bCs/>
                <w:sz w:val="20"/>
                <w:szCs w:val="20"/>
                <w:lang w:val="en-GB"/>
              </w:rPr>
              <w:t xml:space="preserve"> and ES specialists</w:t>
            </w:r>
          </w:p>
        </w:tc>
        <w:tc>
          <w:tcPr>
            <w:tcW w:w="2013" w:type="pct"/>
            <w:vAlign w:val="center"/>
          </w:tcPr>
          <w:p w14:paraId="39FD3863" w14:textId="66F94DB3" w:rsidR="00161838" w:rsidRPr="00AB7D1E" w:rsidRDefault="00161838" w:rsidP="00BE60A0">
            <w:pPr>
              <w:pStyle w:val="ListParagraph"/>
              <w:numPr>
                <w:ilvl w:val="0"/>
                <w:numId w:val="31"/>
              </w:numPr>
              <w:spacing w:before="0" w:after="0" w:line="240" w:lineRule="auto"/>
              <w:ind w:left="282"/>
              <w:rPr>
                <w:rFonts w:cstheme="minorHAnsi"/>
                <w:sz w:val="20"/>
                <w:szCs w:val="20"/>
                <w:lang w:val="en-US"/>
              </w:rPr>
            </w:pPr>
            <w:r w:rsidRPr="00CF67CF">
              <w:rPr>
                <w:rFonts w:cs="Calibri"/>
                <w:sz w:val="20"/>
                <w:szCs w:val="20"/>
                <w:lang w:val="en-GB"/>
              </w:rPr>
              <w:t>Snapshots of stakeholder engagement activities carried, feedback provided/incorporated or rationale for not including feedback</w:t>
            </w:r>
            <w:r>
              <w:rPr>
                <w:rFonts w:cs="Calibri"/>
                <w:sz w:val="20"/>
                <w:szCs w:val="20"/>
                <w:lang w:val="en-GB"/>
              </w:rPr>
              <w:t xml:space="preserve"> (SEP Report)</w:t>
            </w:r>
          </w:p>
        </w:tc>
        <w:tc>
          <w:tcPr>
            <w:tcW w:w="1329" w:type="pct"/>
            <w:vAlign w:val="center"/>
          </w:tcPr>
          <w:p w14:paraId="4269016F" w14:textId="0526C38B" w:rsidR="00161838" w:rsidRPr="00AB7D1E" w:rsidRDefault="00161838" w:rsidP="00BE60A0">
            <w:pPr>
              <w:pStyle w:val="ListParagraph"/>
              <w:numPr>
                <w:ilvl w:val="0"/>
                <w:numId w:val="31"/>
              </w:numPr>
              <w:spacing w:before="0" w:after="0" w:line="240" w:lineRule="auto"/>
              <w:ind w:left="401"/>
              <w:rPr>
                <w:rFonts w:cstheme="minorHAnsi"/>
                <w:sz w:val="20"/>
                <w:szCs w:val="20"/>
                <w:lang w:val="en-US"/>
              </w:rPr>
            </w:pPr>
            <w:r>
              <w:rPr>
                <w:rFonts w:cs="Calibri"/>
                <w:sz w:val="20"/>
                <w:szCs w:val="20"/>
                <w:lang w:val="en-GB"/>
              </w:rPr>
              <w:t>Monthly</w:t>
            </w:r>
          </w:p>
        </w:tc>
      </w:tr>
      <w:tr w:rsidR="00161838" w:rsidRPr="00AB7D1E" w14:paraId="60872820" w14:textId="77777777" w:rsidTr="001B41D6">
        <w:tc>
          <w:tcPr>
            <w:tcW w:w="1658" w:type="pct"/>
          </w:tcPr>
          <w:p w14:paraId="48F45647" w14:textId="5772C7DD" w:rsidR="00161838" w:rsidRPr="00FF2F30" w:rsidRDefault="00161838" w:rsidP="00161838">
            <w:pPr>
              <w:spacing w:before="0" w:after="0" w:line="240" w:lineRule="auto"/>
              <w:rPr>
                <w:rFonts w:cstheme="minorHAnsi"/>
                <w:b/>
                <w:bCs/>
                <w:sz w:val="20"/>
                <w:szCs w:val="20"/>
                <w:lang w:val="en-US"/>
              </w:rPr>
            </w:pPr>
            <w:r w:rsidRPr="00FF2F30">
              <w:rPr>
                <w:rFonts w:cstheme="minorHAnsi"/>
                <w:b/>
                <w:bCs/>
                <w:sz w:val="20"/>
                <w:szCs w:val="20"/>
                <w:lang w:val="en-US"/>
              </w:rPr>
              <w:t xml:space="preserve">PIU FGRM focal points (part of the reporting to the World Bank) </w:t>
            </w:r>
          </w:p>
          <w:p w14:paraId="609EC9B8" w14:textId="77777777" w:rsidR="00161838" w:rsidRPr="00FF2F30" w:rsidRDefault="00161838" w:rsidP="00161838">
            <w:pPr>
              <w:spacing w:before="0" w:after="0" w:line="240" w:lineRule="auto"/>
              <w:rPr>
                <w:rFonts w:cstheme="minorHAnsi"/>
                <w:b/>
                <w:bCs/>
                <w:sz w:val="20"/>
                <w:szCs w:val="20"/>
                <w:lang w:val="en-US"/>
              </w:rPr>
            </w:pPr>
          </w:p>
          <w:p w14:paraId="6D492C42" w14:textId="46AD6F36" w:rsidR="00161838" w:rsidRPr="00AB7D1E" w:rsidRDefault="00161838" w:rsidP="00161838">
            <w:pPr>
              <w:spacing w:before="0" w:after="0" w:line="240" w:lineRule="auto"/>
              <w:rPr>
                <w:rFonts w:cstheme="minorHAnsi"/>
                <w:b/>
                <w:bCs/>
                <w:sz w:val="20"/>
                <w:szCs w:val="20"/>
                <w:lang w:val="en-US"/>
              </w:rPr>
            </w:pPr>
            <w:r w:rsidRPr="00FF2F30">
              <w:rPr>
                <w:rFonts w:cstheme="minorHAnsi"/>
                <w:b/>
                <w:bCs/>
                <w:sz w:val="20"/>
                <w:szCs w:val="20"/>
                <w:lang w:val="en-US"/>
              </w:rPr>
              <w:t>PIU -2-(</w:t>
            </w:r>
            <w:proofErr w:type="spellStart"/>
            <w:r w:rsidRPr="00FF2F30">
              <w:rPr>
                <w:rFonts w:cstheme="minorHAnsi"/>
                <w:b/>
                <w:bCs/>
                <w:sz w:val="20"/>
                <w:szCs w:val="20"/>
                <w:lang w:val="en-US"/>
              </w:rPr>
              <w:t>MoH</w:t>
            </w:r>
            <w:proofErr w:type="spellEnd"/>
            <w:r w:rsidRPr="00FF2F30">
              <w:rPr>
                <w:rFonts w:cstheme="minorHAnsi"/>
                <w:b/>
                <w:bCs/>
                <w:sz w:val="20"/>
                <w:szCs w:val="20"/>
                <w:lang w:val="en-US"/>
              </w:rPr>
              <w:t>) preparing for their part</w:t>
            </w:r>
          </w:p>
        </w:tc>
        <w:tc>
          <w:tcPr>
            <w:tcW w:w="2013" w:type="pct"/>
          </w:tcPr>
          <w:p w14:paraId="2B33C129" w14:textId="2F1EF775" w:rsidR="00161838" w:rsidRPr="00AB7D1E" w:rsidRDefault="00142A1B" w:rsidP="00BE60A0">
            <w:pPr>
              <w:pStyle w:val="ListParagraph"/>
              <w:numPr>
                <w:ilvl w:val="0"/>
                <w:numId w:val="31"/>
              </w:numPr>
              <w:spacing w:before="0" w:after="0" w:line="240" w:lineRule="auto"/>
              <w:ind w:left="282"/>
              <w:rPr>
                <w:rFonts w:cstheme="minorHAnsi"/>
                <w:sz w:val="20"/>
                <w:szCs w:val="20"/>
                <w:lang w:val="en-US"/>
              </w:rPr>
            </w:pPr>
            <w:bookmarkStart w:id="209" w:name="_Hlk47986327"/>
            <w:r>
              <w:rPr>
                <w:rFonts w:cstheme="minorHAnsi"/>
                <w:sz w:val="20"/>
                <w:szCs w:val="20"/>
                <w:lang w:val="en-US"/>
              </w:rPr>
              <w:t>S</w:t>
            </w:r>
            <w:r w:rsidR="00161838" w:rsidRPr="00AB7D1E">
              <w:rPr>
                <w:rFonts w:cstheme="minorHAnsi"/>
                <w:sz w:val="20"/>
                <w:szCs w:val="20"/>
                <w:lang w:val="en-US"/>
              </w:rPr>
              <w:t>ummaries on complaints, feedback, queries, suggestions and compliments, together with the status of implementation of associated corrective / preventative actions, will be collated and referred to the PIU manager</w:t>
            </w:r>
            <w:bookmarkEnd w:id="209"/>
            <w:r w:rsidR="00161838" w:rsidRPr="00AB7D1E">
              <w:rPr>
                <w:rFonts w:cstheme="minorHAnsi"/>
                <w:sz w:val="20"/>
                <w:szCs w:val="20"/>
                <w:lang w:val="en-US"/>
              </w:rPr>
              <w:t>.</w:t>
            </w:r>
          </w:p>
        </w:tc>
        <w:tc>
          <w:tcPr>
            <w:tcW w:w="1329" w:type="pct"/>
          </w:tcPr>
          <w:p w14:paraId="7B860BFF" w14:textId="0BB26FAC" w:rsidR="00161838" w:rsidRPr="00AB7D1E" w:rsidRDefault="00142A1B" w:rsidP="00BE60A0">
            <w:pPr>
              <w:pStyle w:val="ListParagraph"/>
              <w:numPr>
                <w:ilvl w:val="0"/>
                <w:numId w:val="31"/>
              </w:numPr>
              <w:spacing w:before="0" w:after="0" w:line="240" w:lineRule="auto"/>
              <w:ind w:left="401"/>
              <w:rPr>
                <w:rFonts w:cstheme="minorHAnsi"/>
                <w:sz w:val="20"/>
                <w:szCs w:val="20"/>
                <w:lang w:val="en-US"/>
              </w:rPr>
            </w:pPr>
            <w:r>
              <w:rPr>
                <w:rFonts w:cstheme="minorHAnsi"/>
                <w:sz w:val="20"/>
                <w:szCs w:val="20"/>
                <w:lang w:val="en-US"/>
              </w:rPr>
              <w:t>S</w:t>
            </w:r>
            <w:r w:rsidR="00161838" w:rsidRPr="00AB7D1E">
              <w:rPr>
                <w:rFonts w:cstheme="minorHAnsi"/>
                <w:sz w:val="20"/>
                <w:szCs w:val="20"/>
                <w:lang w:val="en-US"/>
              </w:rPr>
              <w:t>emi-annual</w:t>
            </w:r>
          </w:p>
        </w:tc>
      </w:tr>
      <w:tr w:rsidR="00161838" w:rsidRPr="00AB7D1E" w14:paraId="1C50B6ED" w14:textId="77777777" w:rsidTr="001B41D6">
        <w:tc>
          <w:tcPr>
            <w:tcW w:w="1658" w:type="pct"/>
          </w:tcPr>
          <w:p w14:paraId="69FD8261" w14:textId="107729E1" w:rsidR="00161838" w:rsidRPr="00AB7D1E" w:rsidRDefault="00161838" w:rsidP="00161838">
            <w:pPr>
              <w:spacing w:before="0" w:after="0" w:line="240" w:lineRule="auto"/>
              <w:rPr>
                <w:rFonts w:cstheme="minorHAnsi"/>
                <w:b/>
                <w:bCs/>
                <w:sz w:val="20"/>
                <w:szCs w:val="20"/>
                <w:lang w:val="en-US"/>
              </w:rPr>
            </w:pPr>
            <w:r w:rsidRPr="00AB7D1E">
              <w:rPr>
                <w:rFonts w:cstheme="minorHAnsi"/>
                <w:b/>
                <w:bCs/>
                <w:sz w:val="20"/>
                <w:szCs w:val="20"/>
                <w:lang w:val="en-US"/>
              </w:rPr>
              <w:t>The PIU-1 to World Bank</w:t>
            </w:r>
          </w:p>
        </w:tc>
        <w:tc>
          <w:tcPr>
            <w:tcW w:w="2013" w:type="pct"/>
          </w:tcPr>
          <w:p w14:paraId="3D7FBE6C" w14:textId="1C8B6872" w:rsidR="00161838" w:rsidRPr="00AB7D1E" w:rsidRDefault="00142A1B" w:rsidP="00BE60A0">
            <w:pPr>
              <w:pStyle w:val="ListParagraph"/>
              <w:numPr>
                <w:ilvl w:val="0"/>
                <w:numId w:val="31"/>
              </w:numPr>
              <w:spacing w:before="0" w:after="0" w:line="240" w:lineRule="auto"/>
              <w:ind w:left="282"/>
              <w:rPr>
                <w:rFonts w:cstheme="minorHAnsi"/>
                <w:sz w:val="20"/>
                <w:szCs w:val="20"/>
                <w:lang w:val="en-US"/>
              </w:rPr>
            </w:pPr>
            <w:r>
              <w:rPr>
                <w:rFonts w:cstheme="minorHAnsi"/>
                <w:sz w:val="20"/>
                <w:szCs w:val="20"/>
                <w:lang w:val="en-US"/>
              </w:rPr>
              <w:t>P</w:t>
            </w:r>
            <w:r w:rsidR="00161838" w:rsidRPr="00AB7D1E">
              <w:rPr>
                <w:rFonts w:cstheme="minorHAnsi"/>
                <w:sz w:val="20"/>
                <w:szCs w:val="20"/>
                <w:lang w:val="en-US"/>
              </w:rPr>
              <w:t>rogress reports for WB on: physical and financial progress achieved against agreed implementation and disbursement indicators; issues and problem areas, including comments on actions to address identified problems; work programs and cost estimates for the coming year, including revised estimates for the former period; data on grievances and resolutions to allow for timely corrective action.</w:t>
            </w:r>
          </w:p>
        </w:tc>
        <w:tc>
          <w:tcPr>
            <w:tcW w:w="1329" w:type="pct"/>
          </w:tcPr>
          <w:p w14:paraId="68B90063" w14:textId="4EDBE1C4" w:rsidR="00161838" w:rsidRPr="00AB7D1E" w:rsidRDefault="00142A1B" w:rsidP="00BE60A0">
            <w:pPr>
              <w:pStyle w:val="ListParagraph"/>
              <w:numPr>
                <w:ilvl w:val="0"/>
                <w:numId w:val="31"/>
              </w:numPr>
              <w:spacing w:before="0" w:after="0" w:line="240" w:lineRule="auto"/>
              <w:ind w:left="401"/>
              <w:rPr>
                <w:rFonts w:cstheme="minorHAnsi"/>
                <w:sz w:val="20"/>
                <w:szCs w:val="20"/>
                <w:lang w:val="en-US"/>
              </w:rPr>
            </w:pPr>
            <w:r>
              <w:rPr>
                <w:rFonts w:cstheme="minorHAnsi"/>
                <w:sz w:val="20"/>
                <w:szCs w:val="20"/>
                <w:lang w:val="en-US"/>
              </w:rPr>
              <w:t>S</w:t>
            </w:r>
            <w:r w:rsidR="00161838" w:rsidRPr="00AB7D1E">
              <w:rPr>
                <w:rFonts w:cstheme="minorHAnsi"/>
                <w:sz w:val="20"/>
                <w:szCs w:val="20"/>
                <w:lang w:val="en-US"/>
              </w:rPr>
              <w:t>emi-annual</w:t>
            </w:r>
          </w:p>
        </w:tc>
      </w:tr>
      <w:tr w:rsidR="00161838" w:rsidRPr="00AB7D1E" w14:paraId="66BDEBA1" w14:textId="77777777" w:rsidTr="00FF2F30">
        <w:tc>
          <w:tcPr>
            <w:tcW w:w="1658" w:type="pct"/>
            <w:vAlign w:val="center"/>
          </w:tcPr>
          <w:p w14:paraId="29BE6370" w14:textId="1C5D0942" w:rsidR="00161838" w:rsidRPr="00AB7D1E" w:rsidRDefault="00161838" w:rsidP="00161838">
            <w:pPr>
              <w:spacing w:before="0" w:after="0" w:line="240" w:lineRule="auto"/>
              <w:rPr>
                <w:rFonts w:cstheme="minorHAnsi"/>
                <w:b/>
                <w:bCs/>
                <w:sz w:val="20"/>
                <w:szCs w:val="20"/>
                <w:lang w:val="en-US"/>
              </w:rPr>
            </w:pPr>
            <w:r>
              <w:rPr>
                <w:rFonts w:cs="Calibri"/>
                <w:b/>
                <w:bCs/>
                <w:sz w:val="20"/>
                <w:szCs w:val="20"/>
                <w:lang w:val="en-GB"/>
              </w:rPr>
              <w:t>PIU 1 and PIU 2 to World Bank</w:t>
            </w:r>
          </w:p>
        </w:tc>
        <w:tc>
          <w:tcPr>
            <w:tcW w:w="2013" w:type="pct"/>
            <w:vAlign w:val="center"/>
          </w:tcPr>
          <w:p w14:paraId="3838F6AE" w14:textId="77777777" w:rsidR="00161838" w:rsidRDefault="00161838" w:rsidP="00BE60A0">
            <w:pPr>
              <w:numPr>
                <w:ilvl w:val="0"/>
                <w:numId w:val="49"/>
              </w:numPr>
              <w:spacing w:before="0" w:after="0" w:line="240" w:lineRule="auto"/>
              <w:ind w:left="172" w:hanging="172"/>
              <w:rPr>
                <w:rFonts w:cs="Calibri"/>
                <w:sz w:val="20"/>
                <w:szCs w:val="20"/>
                <w:lang w:val="en-GB"/>
              </w:rPr>
            </w:pPr>
            <w:r w:rsidRPr="00A663B6">
              <w:rPr>
                <w:rFonts w:cs="Calibri"/>
                <w:sz w:val="20"/>
                <w:szCs w:val="20"/>
                <w:lang w:val="en-GB"/>
              </w:rPr>
              <w:t xml:space="preserve">Environment and Social Incident Report  (ESIRT) (Incident/Accident Report for </w:t>
            </w:r>
            <w:r w:rsidRPr="00A663B6">
              <w:rPr>
                <w:rFonts w:cs="Calibri"/>
                <w:sz w:val="20"/>
                <w:szCs w:val="20"/>
                <w:lang w:val="en-GB"/>
              </w:rPr>
              <w:lastRenderedPageBreak/>
              <w:t>WB to promptly notify of any incident or accident related to or having an impact on the Project which has, or is likely to have, a significant adverse effect on the environment, the affected communities, the public or workers, including</w:t>
            </w:r>
          </w:p>
          <w:p w14:paraId="07F98F6A" w14:textId="7C5C328C" w:rsidR="00161838" w:rsidRPr="00AB7D1E" w:rsidRDefault="00161838" w:rsidP="00BE60A0">
            <w:pPr>
              <w:pStyle w:val="ListParagraph"/>
              <w:numPr>
                <w:ilvl w:val="0"/>
                <w:numId w:val="31"/>
              </w:numPr>
              <w:spacing w:before="0" w:after="0" w:line="240" w:lineRule="auto"/>
              <w:ind w:left="282"/>
              <w:rPr>
                <w:rFonts w:cstheme="minorHAnsi"/>
                <w:sz w:val="20"/>
                <w:szCs w:val="20"/>
                <w:lang w:val="en-US"/>
              </w:rPr>
            </w:pPr>
            <w:r>
              <w:rPr>
                <w:rFonts w:cs="Calibri"/>
                <w:sz w:val="20"/>
                <w:szCs w:val="20"/>
                <w:lang w:val="en-GB"/>
              </w:rPr>
              <w:t xml:space="preserve">WB </w:t>
            </w:r>
            <w:proofErr w:type="gramStart"/>
            <w:r>
              <w:rPr>
                <w:rFonts w:cs="Calibri"/>
                <w:sz w:val="20"/>
                <w:szCs w:val="20"/>
                <w:lang w:val="en-GB"/>
              </w:rPr>
              <w:t>has to</w:t>
            </w:r>
            <w:proofErr w:type="gramEnd"/>
            <w:r>
              <w:rPr>
                <w:rFonts w:cs="Calibri"/>
                <w:sz w:val="20"/>
                <w:szCs w:val="20"/>
                <w:lang w:val="en-GB"/>
              </w:rPr>
              <w:t xml:space="preserve"> n</w:t>
            </w:r>
            <w:r w:rsidRPr="00A663B6">
              <w:rPr>
                <w:rFonts w:cs="Calibri"/>
                <w:sz w:val="20"/>
                <w:szCs w:val="20"/>
                <w:lang w:val="en-GB"/>
              </w:rPr>
              <w:t>otify the Bank within 48 hours after</w:t>
            </w:r>
            <w:r>
              <w:rPr>
                <w:rFonts w:cs="Calibri"/>
                <w:sz w:val="20"/>
                <w:szCs w:val="20"/>
                <w:lang w:val="en-GB"/>
              </w:rPr>
              <w:t xml:space="preserve"> </w:t>
            </w:r>
            <w:r w:rsidRPr="00A663B6">
              <w:rPr>
                <w:rFonts w:cs="Calibri"/>
                <w:sz w:val="20"/>
                <w:szCs w:val="20"/>
                <w:lang w:val="en-GB"/>
              </w:rPr>
              <w:t>learning of the incident or accident</w:t>
            </w:r>
          </w:p>
        </w:tc>
        <w:tc>
          <w:tcPr>
            <w:tcW w:w="1329" w:type="pct"/>
            <w:vAlign w:val="center"/>
          </w:tcPr>
          <w:p w14:paraId="0BFF932D" w14:textId="780C0DAE" w:rsidR="00161838" w:rsidRPr="00AB7D1E" w:rsidRDefault="00161838" w:rsidP="00BE60A0">
            <w:pPr>
              <w:pStyle w:val="ListParagraph"/>
              <w:numPr>
                <w:ilvl w:val="0"/>
                <w:numId w:val="31"/>
              </w:numPr>
              <w:spacing w:before="0" w:after="0" w:line="240" w:lineRule="auto"/>
              <w:ind w:left="401"/>
              <w:rPr>
                <w:rFonts w:cstheme="minorHAnsi"/>
                <w:sz w:val="20"/>
                <w:szCs w:val="20"/>
                <w:lang w:val="en-US"/>
              </w:rPr>
            </w:pPr>
            <w:r w:rsidRPr="005B3DA3">
              <w:rPr>
                <w:rFonts w:cs="Calibri"/>
                <w:sz w:val="20"/>
                <w:szCs w:val="20"/>
                <w:lang w:val="en-GB"/>
              </w:rPr>
              <w:lastRenderedPageBreak/>
              <w:t>Immediate</w:t>
            </w:r>
          </w:p>
        </w:tc>
      </w:tr>
    </w:tbl>
    <w:p w14:paraId="58F0906A" w14:textId="77777777" w:rsidR="00E6735D" w:rsidRPr="00AB7D1E" w:rsidRDefault="00E6735D">
      <w:pPr>
        <w:suppressAutoHyphens w:val="0"/>
        <w:spacing w:before="0" w:after="160" w:line="256" w:lineRule="auto"/>
        <w:jc w:val="left"/>
        <w:rPr>
          <w:rFonts w:cstheme="minorHAnsi"/>
          <w:lang w:val="en-US"/>
        </w:rPr>
      </w:pPr>
      <w:r w:rsidRPr="00AB7D1E">
        <w:rPr>
          <w:rFonts w:cstheme="minorHAnsi"/>
          <w:lang w:val="en-US"/>
        </w:rPr>
        <w:br w:type="page"/>
      </w:r>
    </w:p>
    <w:p w14:paraId="710AFD10" w14:textId="54A441FF" w:rsidR="00756F46" w:rsidRPr="00AB7D1E" w:rsidRDefault="00075A6F" w:rsidP="00686CD0">
      <w:pPr>
        <w:pStyle w:val="Heading1"/>
        <w:rPr>
          <w:lang w:val="en-US"/>
        </w:rPr>
      </w:pPr>
      <w:bookmarkStart w:id="210" w:name="_Toc56954082"/>
      <w:r w:rsidRPr="00E87BCE">
        <w:rPr>
          <w:lang w:val="en-US"/>
        </w:rPr>
        <w:lastRenderedPageBreak/>
        <w:t>FEEDBACK AND GRIEVANCE REDRESS MECHANISM</w:t>
      </w:r>
      <w:bookmarkEnd w:id="210"/>
    </w:p>
    <w:p w14:paraId="4D9B4606" w14:textId="77777777" w:rsidR="00756F46" w:rsidRPr="00AB7D1E" w:rsidRDefault="00756F46" w:rsidP="00686CD0">
      <w:pPr>
        <w:rPr>
          <w:lang w:val="en-US"/>
        </w:rPr>
      </w:pPr>
      <w:r w:rsidRPr="00AB7D1E">
        <w:rPr>
          <w:lang w:val="en-US"/>
        </w:rPr>
        <w:t>The main objective of the Feedback and Grievance Redress Mechanism (FGRM) is to allow stakeholders to submit complaints, feedback, queries, suggestions, or compliments related to the overall management and implementation of the project. The FGRM is intended to address issues and complaints from stakeholders in an efficient, timely, and cost-effective manner. Specifically, it provides a transparent and credible process for fair, effective and lasting outcomes. It also builds trust and cooperation as an integral component of broader community consultation that facilitates corrective actions.</w:t>
      </w:r>
    </w:p>
    <w:p w14:paraId="58DA2DB8" w14:textId="6A7A9CAC" w:rsidR="00756F46" w:rsidRPr="00AB7D1E" w:rsidRDefault="00756F46" w:rsidP="00686CD0">
      <w:pPr>
        <w:rPr>
          <w:rFonts w:ascii="Calibri" w:eastAsiaTheme="minorHAnsi" w:hAnsi="Calibri" w:cs="Calibri"/>
          <w:lang w:val="en-US"/>
        </w:rPr>
      </w:pPr>
      <w:r w:rsidRPr="00AB7D1E">
        <w:rPr>
          <w:rFonts w:ascii="Calibri" w:eastAsiaTheme="minorHAnsi" w:hAnsi="Calibri" w:cs="Calibri"/>
          <w:lang w:val="en-US"/>
        </w:rPr>
        <w:t>Project Implementation Unit</w:t>
      </w:r>
      <w:r w:rsidR="00C767A6" w:rsidRPr="00AB7D1E">
        <w:rPr>
          <w:rFonts w:ascii="Calibri" w:eastAsiaTheme="minorHAnsi" w:hAnsi="Calibri" w:cs="Calibri"/>
          <w:lang w:val="en-US"/>
        </w:rPr>
        <w:t xml:space="preserve"> of </w:t>
      </w:r>
      <w:proofErr w:type="spellStart"/>
      <w:r w:rsidR="00C767A6" w:rsidRPr="00AB7D1E">
        <w:rPr>
          <w:rFonts w:ascii="Calibri" w:eastAsiaTheme="minorHAnsi" w:hAnsi="Calibri" w:cs="Calibri"/>
          <w:lang w:val="en-US"/>
        </w:rPr>
        <w:t>MoH</w:t>
      </w:r>
      <w:proofErr w:type="spellEnd"/>
      <w:r w:rsidRPr="00AB7D1E">
        <w:rPr>
          <w:rFonts w:ascii="Calibri" w:eastAsiaTheme="minorHAnsi" w:hAnsi="Calibri" w:cs="Calibri"/>
          <w:lang w:val="en-US"/>
        </w:rPr>
        <w:t xml:space="preserve"> (PIU</w:t>
      </w:r>
      <w:r w:rsidR="00C767A6" w:rsidRPr="00AB7D1E">
        <w:rPr>
          <w:rFonts w:ascii="Calibri" w:eastAsiaTheme="minorHAnsi" w:hAnsi="Calibri" w:cs="Calibri"/>
          <w:lang w:val="en-US"/>
        </w:rPr>
        <w:t>-</w:t>
      </w:r>
      <w:r w:rsidR="0083566A" w:rsidRPr="00AB7D1E">
        <w:rPr>
          <w:rFonts w:ascii="Calibri" w:eastAsiaTheme="minorHAnsi" w:hAnsi="Calibri" w:cs="Calibri"/>
          <w:lang w:val="en-US"/>
        </w:rPr>
        <w:t>2</w:t>
      </w:r>
      <w:r w:rsidRPr="00AB7D1E">
        <w:rPr>
          <w:rFonts w:ascii="Calibri" w:eastAsiaTheme="minorHAnsi" w:hAnsi="Calibri" w:cs="Calibri"/>
          <w:lang w:val="en-US"/>
        </w:rPr>
        <w:t xml:space="preserve">) will assign a staff member under the direct responsibility of the </w:t>
      </w:r>
      <w:r w:rsidR="00686CD0" w:rsidRPr="00AB7D1E">
        <w:rPr>
          <w:rFonts w:ascii="Calibri" w:eastAsiaTheme="minorHAnsi" w:hAnsi="Calibri" w:cs="Calibri"/>
          <w:lang w:val="en-US"/>
        </w:rPr>
        <w:t xml:space="preserve">Head of the </w:t>
      </w:r>
      <w:r w:rsidRPr="00AB7D1E">
        <w:rPr>
          <w:rFonts w:ascii="Calibri" w:eastAsiaTheme="minorHAnsi" w:hAnsi="Calibri" w:cs="Calibri"/>
          <w:lang w:val="en-US"/>
        </w:rPr>
        <w:t>PIU to be responsible for managing the FGRM.</w:t>
      </w:r>
    </w:p>
    <w:p w14:paraId="01189E3A" w14:textId="5E1936E0" w:rsidR="006C1DC2" w:rsidRPr="00AB7D1E" w:rsidRDefault="00756F46" w:rsidP="00686CD0">
      <w:pPr>
        <w:rPr>
          <w:rFonts w:ascii="Calibri" w:eastAsiaTheme="minorHAnsi" w:hAnsi="Calibri" w:cs="Calibri"/>
          <w:lang w:val="en-US"/>
        </w:rPr>
      </w:pPr>
      <w:r w:rsidRPr="00AB7D1E">
        <w:rPr>
          <w:lang w:val="en-US"/>
        </w:rPr>
        <w:t xml:space="preserve">The following channels will be available to stakeholders who would like to submit complaints, feedback, </w:t>
      </w:r>
      <w:r w:rsidRPr="00AB7D1E">
        <w:rPr>
          <w:rFonts w:ascii="Calibri" w:eastAsiaTheme="minorHAnsi" w:hAnsi="Calibri" w:cs="Calibri"/>
          <w:lang w:val="en-US"/>
        </w:rPr>
        <w:t>queries, suggestions, or compliments:</w:t>
      </w:r>
    </w:p>
    <w:p w14:paraId="62BDB83C" w14:textId="3D8972E1" w:rsidR="00756F46" w:rsidRPr="00AB7D1E" w:rsidRDefault="00756F46" w:rsidP="007D1E1B">
      <w:pPr>
        <w:pStyle w:val="Style1"/>
        <w:rPr>
          <w:rFonts w:ascii="Calibri" w:eastAsiaTheme="minorHAnsi" w:hAnsi="Calibri" w:cs="Calibri"/>
        </w:rPr>
      </w:pPr>
      <w:bookmarkStart w:id="211" w:name="_Ref47880448"/>
      <w:bookmarkStart w:id="212" w:name="_Toc56952723"/>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23</w:t>
      </w:r>
      <w:r w:rsidR="00DF4A34" w:rsidRPr="00AB7D1E">
        <w:fldChar w:fldCharType="end"/>
      </w:r>
      <w:bookmarkEnd w:id="211"/>
      <w:r w:rsidRPr="00AB7D1E">
        <w:t xml:space="preserve">. Channels for submitting complaints, feedback, </w:t>
      </w:r>
      <w:r w:rsidRPr="00AB7D1E">
        <w:rPr>
          <w:rFonts w:ascii="Calibri" w:eastAsiaTheme="minorHAnsi" w:hAnsi="Calibri" w:cs="Calibri"/>
        </w:rPr>
        <w:t>queries, suggestions, or compliments</w:t>
      </w:r>
      <w:bookmarkEnd w:id="212"/>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56F46" w:rsidRPr="00AB7D1E" w14:paraId="1394864F" w14:textId="77777777" w:rsidTr="007C6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351C8E4" w14:textId="2935562E" w:rsidR="00756F46" w:rsidRPr="00AB7D1E" w:rsidRDefault="009B782E" w:rsidP="00686CD0">
            <w:pPr>
              <w:suppressAutoHyphens w:val="0"/>
              <w:autoSpaceDE w:val="0"/>
              <w:adjustRightInd w:val="0"/>
              <w:spacing w:before="0" w:after="0" w:line="240" w:lineRule="auto"/>
              <w:rPr>
                <w:b w:val="0"/>
                <w:bCs w:val="0"/>
                <w:sz w:val="20"/>
                <w:szCs w:val="20"/>
                <w:lang w:val="en-US"/>
              </w:rPr>
            </w:pPr>
            <w:r w:rsidRPr="00AB7D1E">
              <w:rPr>
                <w:rFonts w:ascii="Calibri" w:hAnsi="Calibri" w:cs="Calibri"/>
                <w:b w:val="0"/>
                <w:bCs w:val="0"/>
                <w:sz w:val="20"/>
                <w:szCs w:val="20"/>
                <w:lang w:val="en-US"/>
              </w:rPr>
              <w:t>Hotline established by the Civil Protection Directorate for all coronavirus related issues: 113</w:t>
            </w:r>
          </w:p>
        </w:tc>
      </w:tr>
      <w:tr w:rsidR="00756F46" w:rsidRPr="00AB7D1E" w14:paraId="16CB961E" w14:textId="77777777" w:rsidTr="007C6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CEDBE6" w:themeFill="background2"/>
          </w:tcPr>
          <w:p w14:paraId="43F13002" w14:textId="77777777" w:rsidR="00756F46" w:rsidRPr="00AB7D1E" w:rsidRDefault="00756F46" w:rsidP="00686CD0">
            <w:pPr>
              <w:rPr>
                <w:b w:val="0"/>
                <w:bCs w:val="0"/>
                <w:sz w:val="20"/>
                <w:szCs w:val="20"/>
                <w:lang w:val="en-US"/>
              </w:rPr>
            </w:pPr>
            <w:r w:rsidRPr="00AB7D1E">
              <w:rPr>
                <w:rFonts w:ascii="Calibri" w:hAnsi="Calibri" w:cs="Calibri"/>
                <w:b w:val="0"/>
                <w:bCs w:val="0"/>
                <w:sz w:val="20"/>
                <w:szCs w:val="20"/>
                <w:lang w:val="en-US"/>
              </w:rPr>
              <w:t>In-person complaints to facility administrators / building managers</w:t>
            </w:r>
          </w:p>
        </w:tc>
      </w:tr>
      <w:tr w:rsidR="009B782E" w:rsidRPr="00AB7D1E" w14:paraId="1F5F5661" w14:textId="77777777" w:rsidTr="007C680A">
        <w:tc>
          <w:tcPr>
            <w:cnfStyle w:val="001000000000" w:firstRow="0" w:lastRow="0" w:firstColumn="1" w:lastColumn="0" w:oddVBand="0" w:evenVBand="0" w:oddHBand="0" w:evenHBand="0" w:firstRowFirstColumn="0" w:firstRowLastColumn="0" w:lastRowFirstColumn="0" w:lastRowLastColumn="0"/>
            <w:tcW w:w="9016" w:type="dxa"/>
          </w:tcPr>
          <w:p w14:paraId="1B4ACB20" w14:textId="6B0E6F4A" w:rsidR="00756F46" w:rsidRPr="00AB7D1E" w:rsidRDefault="009B782E" w:rsidP="009B782E">
            <w:pPr>
              <w:rPr>
                <w:b w:val="0"/>
                <w:bCs w:val="0"/>
                <w:sz w:val="20"/>
                <w:szCs w:val="20"/>
                <w:lang w:val="en-US"/>
              </w:rPr>
            </w:pPr>
            <w:r w:rsidRPr="00AB7D1E">
              <w:rPr>
                <w:b w:val="0"/>
                <w:bCs w:val="0"/>
                <w:sz w:val="20"/>
                <w:szCs w:val="20"/>
                <w:lang w:val="en-US"/>
              </w:rPr>
              <w:t>Email addresses, postal addresses and phone numbers provided by the Ministry of Health for citizen inquiries on its webpage under the “contact” section</w:t>
            </w:r>
          </w:p>
        </w:tc>
      </w:tr>
      <w:tr w:rsidR="009B782E" w:rsidRPr="00AB7D1E" w14:paraId="5CC007C4" w14:textId="77777777" w:rsidTr="009B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CEDBE6" w:themeFill="background2"/>
          </w:tcPr>
          <w:p w14:paraId="4A6340F6" w14:textId="1F120913" w:rsidR="009B782E" w:rsidRPr="00AB7D1E" w:rsidRDefault="009B782E" w:rsidP="009B782E">
            <w:pPr>
              <w:rPr>
                <w:b w:val="0"/>
                <w:bCs w:val="0"/>
                <w:sz w:val="20"/>
                <w:szCs w:val="20"/>
                <w:lang w:val="en-US"/>
              </w:rPr>
            </w:pPr>
            <w:r w:rsidRPr="00AB7D1E">
              <w:rPr>
                <w:b w:val="0"/>
                <w:bCs w:val="0"/>
                <w:sz w:val="20"/>
                <w:szCs w:val="20"/>
                <w:lang w:val="en-US"/>
              </w:rPr>
              <w:t>Phone lines of the Croatian Institute of Public Health (open every working day from 8am to 10pm and on Saturdays and Sundays from 8am to 2pm): 091 468 30 32 or 099 468 30 01</w:t>
            </w:r>
          </w:p>
        </w:tc>
      </w:tr>
      <w:tr w:rsidR="009B782E" w:rsidRPr="00AB7D1E" w14:paraId="2060E889" w14:textId="77777777" w:rsidTr="007C680A">
        <w:tc>
          <w:tcPr>
            <w:cnfStyle w:val="001000000000" w:firstRow="0" w:lastRow="0" w:firstColumn="1" w:lastColumn="0" w:oddVBand="0" w:evenVBand="0" w:oddHBand="0" w:evenHBand="0" w:firstRowFirstColumn="0" w:firstRowLastColumn="0" w:lastRowFirstColumn="0" w:lastRowLastColumn="0"/>
            <w:tcW w:w="9016" w:type="dxa"/>
          </w:tcPr>
          <w:p w14:paraId="2FE93347" w14:textId="5858E80B" w:rsidR="009B782E" w:rsidRPr="00AB7D1E" w:rsidRDefault="009B782E" w:rsidP="009B782E">
            <w:pPr>
              <w:rPr>
                <w:b w:val="0"/>
                <w:bCs w:val="0"/>
                <w:sz w:val="20"/>
                <w:szCs w:val="20"/>
                <w:lang w:val="en-US"/>
              </w:rPr>
            </w:pPr>
            <w:r w:rsidRPr="00AB7D1E">
              <w:rPr>
                <w:b w:val="0"/>
                <w:bCs w:val="0"/>
                <w:sz w:val="20"/>
                <w:szCs w:val="20"/>
                <w:lang w:val="en-US"/>
              </w:rPr>
              <w:t>Other coronavirus-related hotlines (e.g. Croatian Red Cross hotline</w:t>
            </w:r>
            <w:r w:rsidRPr="00AB7D1E">
              <w:rPr>
                <w:rStyle w:val="FootnoteReference"/>
                <w:b w:val="0"/>
                <w:bCs w:val="0"/>
                <w:sz w:val="20"/>
                <w:szCs w:val="20"/>
                <w:lang w:val="en-US"/>
              </w:rPr>
              <w:footnoteReference w:id="137"/>
            </w:r>
            <w:r w:rsidRPr="00AB7D1E">
              <w:rPr>
                <w:b w:val="0"/>
                <w:bCs w:val="0"/>
                <w:sz w:val="20"/>
                <w:szCs w:val="20"/>
                <w:lang w:val="en-US"/>
              </w:rPr>
              <w:t>)</w:t>
            </w:r>
          </w:p>
        </w:tc>
      </w:tr>
      <w:tr w:rsidR="009B782E" w:rsidRPr="00AB7D1E" w14:paraId="30F985DD" w14:textId="77777777" w:rsidTr="007C6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CEDBE6" w:themeFill="background2"/>
          </w:tcPr>
          <w:p w14:paraId="27819338" w14:textId="2E8D6602" w:rsidR="00756F46" w:rsidRPr="00AB7D1E" w:rsidRDefault="009B782E" w:rsidP="009B782E">
            <w:pPr>
              <w:rPr>
                <w:b w:val="0"/>
                <w:bCs w:val="0"/>
                <w:sz w:val="20"/>
                <w:szCs w:val="20"/>
                <w:lang w:val="en-US"/>
              </w:rPr>
            </w:pPr>
            <w:r w:rsidRPr="00AB7D1E">
              <w:rPr>
                <w:b w:val="0"/>
                <w:bCs w:val="0"/>
                <w:sz w:val="20"/>
                <w:szCs w:val="20"/>
                <w:lang w:val="en-US"/>
              </w:rPr>
              <w:t xml:space="preserve">Social media channels such as the official government Facebook page on the </w:t>
            </w:r>
            <w:proofErr w:type="spellStart"/>
            <w:r w:rsidRPr="00AB7D1E">
              <w:rPr>
                <w:b w:val="0"/>
                <w:bCs w:val="0"/>
                <w:sz w:val="20"/>
                <w:szCs w:val="20"/>
                <w:lang w:val="en-US"/>
              </w:rPr>
              <w:t>coronavirus@koronavirus.sluzbeni</w:t>
            </w:r>
            <w:proofErr w:type="spellEnd"/>
            <w:r w:rsidRPr="00AB7D1E">
              <w:rPr>
                <w:b w:val="0"/>
                <w:bCs w:val="0"/>
                <w:sz w:val="20"/>
                <w:szCs w:val="20"/>
                <w:lang w:val="en-US"/>
              </w:rPr>
              <w:t xml:space="preserve"> and social media outlets linked to the koronavirus.hr website</w:t>
            </w:r>
          </w:p>
        </w:tc>
      </w:tr>
      <w:tr w:rsidR="009B782E" w:rsidRPr="00AB7D1E" w14:paraId="6CA684BA" w14:textId="77777777" w:rsidTr="009B782E">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183E9A0" w14:textId="3AE98C03" w:rsidR="009B782E" w:rsidRPr="00AB7D1E" w:rsidRDefault="009B782E" w:rsidP="009B782E">
            <w:pPr>
              <w:rPr>
                <w:sz w:val="20"/>
                <w:szCs w:val="20"/>
                <w:lang w:val="en-US"/>
              </w:rPr>
            </w:pPr>
            <w:r w:rsidRPr="00AB7D1E">
              <w:rPr>
                <w:b w:val="0"/>
                <w:bCs w:val="0"/>
                <w:sz w:val="20"/>
                <w:szCs w:val="20"/>
                <w:lang w:val="en-US"/>
              </w:rPr>
              <w:t>Phone lines of public health institutions and laboratories targeted by the project</w:t>
            </w:r>
            <w:r w:rsidRPr="00AB7D1E">
              <w:rPr>
                <w:rStyle w:val="FootnoteReference"/>
                <w:b w:val="0"/>
                <w:bCs w:val="0"/>
                <w:sz w:val="20"/>
                <w:szCs w:val="20"/>
                <w:lang w:val="en-US"/>
              </w:rPr>
              <w:footnoteReference w:id="138"/>
            </w:r>
          </w:p>
        </w:tc>
      </w:tr>
    </w:tbl>
    <w:p w14:paraId="6F9143CD" w14:textId="7C6006F9" w:rsidR="00756F46" w:rsidRPr="00AB7D1E" w:rsidRDefault="00756F46" w:rsidP="00686CD0">
      <w:pPr>
        <w:rPr>
          <w:lang w:val="en-US"/>
        </w:rPr>
      </w:pPr>
      <w:r w:rsidRPr="00AB7D1E">
        <w:rPr>
          <w:lang w:val="en-US"/>
        </w:rPr>
        <w:t xml:space="preserve">Any project-related feedback or grievance received via the channels listed in </w:t>
      </w:r>
      <w:r w:rsidRPr="00AB7D1E">
        <w:rPr>
          <w:lang w:val="en-US"/>
        </w:rPr>
        <w:fldChar w:fldCharType="begin"/>
      </w:r>
      <w:r w:rsidRPr="00AB7D1E">
        <w:rPr>
          <w:lang w:val="en-US"/>
        </w:rPr>
        <w:instrText xml:space="preserve"> REF _Ref47880448 \h </w:instrText>
      </w:r>
      <w:r w:rsidR="00686CD0" w:rsidRPr="00AB7D1E">
        <w:rPr>
          <w:lang w:val="en-US"/>
        </w:rPr>
        <w:instrText xml:space="preserve"> \* MERGEFORMAT </w:instrText>
      </w:r>
      <w:r w:rsidRPr="00AB7D1E">
        <w:rPr>
          <w:lang w:val="en-US"/>
        </w:rPr>
      </w:r>
      <w:r w:rsidRPr="00AB7D1E">
        <w:rPr>
          <w:lang w:val="en-US"/>
        </w:rPr>
        <w:fldChar w:fldCharType="separate"/>
      </w:r>
      <w:r w:rsidR="007D1E1B" w:rsidRPr="007D1E1B">
        <w:rPr>
          <w:lang w:val="en-US"/>
        </w:rPr>
        <w:t>Table 23</w:t>
      </w:r>
      <w:r w:rsidRPr="00AB7D1E">
        <w:rPr>
          <w:lang w:val="en-US"/>
        </w:rPr>
        <w:fldChar w:fldCharType="end"/>
      </w:r>
      <w:r w:rsidRPr="00AB7D1E">
        <w:rPr>
          <w:lang w:val="en-US"/>
        </w:rPr>
        <w:t xml:space="preserve"> should be forwarded within 24 hours to the PIU FGRM focal point, who will register it in a dedicated Excel database and log the following information about it:</w:t>
      </w:r>
    </w:p>
    <w:p w14:paraId="32E30B7B" w14:textId="77777777" w:rsidR="00756F46" w:rsidRPr="00AB7D1E" w:rsidRDefault="00756F46" w:rsidP="00686CD0">
      <w:pPr>
        <w:rPr>
          <w:lang w:val="en-US"/>
        </w:rPr>
      </w:pPr>
      <w:r w:rsidRPr="00AB7D1E">
        <w:rPr>
          <w:lang w:val="en-US"/>
        </w:rPr>
        <w:t>Allocated tracking number of the case; Date received; Name of feedback provider/complainant; feedback provider/complainant contact details; Nature of the feedback provided/complaint; Category of feedback (according to a typology to be developed in the updated SEP</w:t>
      </w:r>
      <w:r w:rsidRPr="00AB7D1E">
        <w:rPr>
          <w:rStyle w:val="FootnoteReference"/>
          <w:lang w:val="en-US"/>
        </w:rPr>
        <w:footnoteReference w:id="139"/>
      </w:r>
      <w:r w:rsidRPr="00AB7D1E">
        <w:rPr>
          <w:lang w:val="en-US"/>
        </w:rPr>
        <w:t>); Information about the feedback provider/complainant along categories to be developed in the updated SEP (e.g. gender; age…); Action taken and response provided to the feedback provider/complainant; Date response was provided; Feedback provider/complainant satisfaction with response provided; Current status of the case.</w:t>
      </w:r>
    </w:p>
    <w:p w14:paraId="4B3C38D6" w14:textId="77777777" w:rsidR="00756F46" w:rsidRPr="00AB7D1E" w:rsidRDefault="00756F46" w:rsidP="00686CD0">
      <w:pPr>
        <w:rPr>
          <w:lang w:val="en-US"/>
        </w:rPr>
      </w:pPr>
      <w:r w:rsidRPr="00AB7D1E">
        <w:rPr>
          <w:lang w:val="en-US"/>
        </w:rPr>
        <w:lastRenderedPageBreak/>
        <w:t>Upon receipt of a project-related feedback or grievance, the PIU FGRM focal point will acknowledge receipt of the feedback/grievance within 24 hours to the person who submitted it, outlining the way forward and how soon the feedback provider/complainant can expect to hear back from the project implementers.</w:t>
      </w:r>
    </w:p>
    <w:p w14:paraId="605D4AB3" w14:textId="77777777" w:rsidR="00756F46" w:rsidRPr="00AB7D1E" w:rsidRDefault="00756F46" w:rsidP="00686CD0">
      <w:pPr>
        <w:rPr>
          <w:lang w:val="en-US"/>
        </w:rPr>
      </w:pPr>
      <w:r w:rsidRPr="00AB7D1E">
        <w:rPr>
          <w:lang w:val="en-US"/>
        </w:rPr>
        <w:t>In the case of complaints, the PIU FGRM focal point will then investigate the submission by reaching out to relevant actors as appropriate.</w:t>
      </w:r>
    </w:p>
    <w:p w14:paraId="76079083" w14:textId="77777777" w:rsidR="00756F46" w:rsidRPr="00AB7D1E" w:rsidRDefault="00756F46" w:rsidP="00686CD0">
      <w:pPr>
        <w:rPr>
          <w:lang w:val="en-US"/>
        </w:rPr>
      </w:pPr>
      <w:r w:rsidRPr="00AB7D1E">
        <w:rPr>
          <w:lang w:val="en-US"/>
        </w:rPr>
        <w:t>Following the investigation, the PIU FGRM focal point will propose a resolution to the complainant in writing within a maximum timeframe of 10 days from the moment the complaint was acknowledged. If an issue is still pending by the end of 10 days, the complainant will be provided with an update regarding the status of the complaint and the estimated time by which a proposed resolution will be provided. All grievances should be resolved within a maximum of 21 days of receipt. To enhance accountability, these timelines will be disseminated.</w:t>
      </w:r>
    </w:p>
    <w:p w14:paraId="1B3FE97A" w14:textId="77777777" w:rsidR="00756F46" w:rsidRPr="00AB7D1E" w:rsidRDefault="00756F46" w:rsidP="00686CD0">
      <w:pPr>
        <w:rPr>
          <w:lang w:val="en-US"/>
        </w:rPr>
      </w:pPr>
      <w:r w:rsidRPr="00AB7D1E">
        <w:rPr>
          <w:lang w:val="en-US"/>
        </w:rPr>
        <w:t>In case a complainant is dissatisfied with the proposed resolution, an appeal may be lodged within 15 days following the receipt of the decision with the respective Ministry, who shall decide on the lodged appeal.</w:t>
      </w:r>
    </w:p>
    <w:p w14:paraId="7D795A65" w14:textId="77777777" w:rsidR="00756F46" w:rsidRPr="00AB7D1E" w:rsidRDefault="00756F46" w:rsidP="00686CD0">
      <w:pPr>
        <w:rPr>
          <w:lang w:val="en-US"/>
        </w:rPr>
      </w:pPr>
      <w:r w:rsidRPr="00AB7D1E">
        <w:rPr>
          <w:lang w:val="en-US"/>
        </w:rPr>
        <w:t>As a final level of appeal, an administrative dispute may be instituted before the Administrative Court of the Republic of Croatia. If the amicable settlement of any major dispute in implementation fails for any reason, complainants may still seek a judicial settlement before the competent court.</w:t>
      </w:r>
    </w:p>
    <w:p w14:paraId="338DC635" w14:textId="77777777" w:rsidR="00756F46" w:rsidRPr="00AB7D1E" w:rsidRDefault="00756F46" w:rsidP="00686CD0">
      <w:pPr>
        <w:suppressAutoHyphens w:val="0"/>
        <w:autoSpaceDE w:val="0"/>
        <w:adjustRightInd w:val="0"/>
        <w:spacing w:before="0" w:after="0" w:line="240" w:lineRule="auto"/>
        <w:textAlignment w:val="auto"/>
        <w:rPr>
          <w:rFonts w:ascii="Calibri" w:eastAsiaTheme="minorHAnsi" w:hAnsi="Calibri" w:cs="Calibri"/>
          <w:lang w:val="en-US"/>
        </w:rPr>
      </w:pPr>
      <w:r w:rsidRPr="00AB7D1E">
        <w:rPr>
          <w:rFonts w:ascii="Calibri" w:eastAsiaTheme="minorHAnsi" w:hAnsi="Calibri" w:cs="Calibri"/>
          <w:lang w:val="en-US"/>
        </w:rPr>
        <w:t>Semi-annual summaries on complaints, feedback, queries, suggestions and compliments, together with the status of implementation of associated corrective/preventative actions, will be collated by the designated PIU FGRM focal points, and referred to the PIU manager. The summaries will allow to assess the volume and nature of feedback received and enhance the project’s ability to address it in a timely and effective manner. These reports will also be included in the reporting to the World Bank.</w:t>
      </w:r>
    </w:p>
    <w:p w14:paraId="60F9C049" w14:textId="242843B6" w:rsidR="00756F46" w:rsidRPr="00AB7D1E" w:rsidRDefault="00756F46" w:rsidP="00686CD0">
      <w:pPr>
        <w:suppressAutoHyphens w:val="0"/>
        <w:autoSpaceDE w:val="0"/>
        <w:adjustRightInd w:val="0"/>
        <w:spacing w:before="0" w:after="0" w:line="240" w:lineRule="auto"/>
        <w:textAlignment w:val="auto"/>
        <w:rPr>
          <w:rFonts w:ascii="Calibri" w:eastAsiaTheme="minorHAnsi" w:hAnsi="Calibri" w:cs="Calibri"/>
          <w:lang w:val="en-US"/>
        </w:rPr>
      </w:pPr>
      <w:r w:rsidRPr="00AB7D1E">
        <w:rPr>
          <w:rFonts w:ascii="Calibri" w:eastAsiaTheme="minorHAnsi" w:hAnsi="Calibri" w:cs="Calibri"/>
          <w:lang w:val="en-US"/>
        </w:rPr>
        <w:t xml:space="preserve">The FGRM will be advertised widely, including through on-site information boards and posters at construction sites and in facilities targeted under the project, as well as on the websites of the </w:t>
      </w:r>
      <w:proofErr w:type="spellStart"/>
      <w:r w:rsidR="009B782E" w:rsidRPr="00AB7D1E">
        <w:rPr>
          <w:rFonts w:ascii="Calibri" w:eastAsiaTheme="minorHAnsi" w:hAnsi="Calibri" w:cs="Calibri"/>
          <w:lang w:val="en-US"/>
        </w:rPr>
        <w:t>MoH</w:t>
      </w:r>
      <w:proofErr w:type="spellEnd"/>
      <w:r w:rsidRPr="00AB7D1E">
        <w:rPr>
          <w:rFonts w:ascii="Calibri" w:eastAsiaTheme="minorHAnsi" w:hAnsi="Calibri" w:cs="Calibri"/>
          <w:lang w:val="en-US"/>
        </w:rPr>
        <w:t xml:space="preserve"> involved in the project. </w:t>
      </w:r>
    </w:p>
    <w:p w14:paraId="685292F9" w14:textId="77777777" w:rsidR="00756F46" w:rsidRPr="00AB7D1E" w:rsidRDefault="00756F46" w:rsidP="00686CD0">
      <w:pPr>
        <w:rPr>
          <w:lang w:val="en-US"/>
        </w:rPr>
      </w:pPr>
      <w:r w:rsidRPr="00AB7D1E">
        <w:rPr>
          <w:lang w:val="en-US"/>
        </w:rPr>
        <w:t>Information on public engagement activities undertaken by the Project will be conveyed to the stakeholders in two possible ways:</w:t>
      </w:r>
    </w:p>
    <w:p w14:paraId="42DD4E39" w14:textId="0475C915" w:rsidR="00756F46" w:rsidRPr="00AB7D1E" w:rsidRDefault="00756F46" w:rsidP="00BE60A0">
      <w:pPr>
        <w:pStyle w:val="ListParagraph"/>
        <w:numPr>
          <w:ilvl w:val="0"/>
          <w:numId w:val="33"/>
        </w:numPr>
        <w:rPr>
          <w:lang w:val="en-US"/>
        </w:rPr>
      </w:pPr>
      <w:r w:rsidRPr="00AB7D1E">
        <w:rPr>
          <w:lang w:val="en-US"/>
        </w:rPr>
        <w:t xml:space="preserve">Publication of a standalone annual summary of the project’s interaction with stakeholders, to be published on the website of the </w:t>
      </w:r>
      <w:proofErr w:type="spellStart"/>
      <w:r w:rsidR="009C2D01" w:rsidRPr="00AB7D1E">
        <w:rPr>
          <w:lang w:val="en-US"/>
        </w:rPr>
        <w:t>Mo</w:t>
      </w:r>
      <w:r w:rsidR="009B782E" w:rsidRPr="00AB7D1E">
        <w:rPr>
          <w:lang w:val="en-US"/>
        </w:rPr>
        <w:t>H</w:t>
      </w:r>
      <w:proofErr w:type="spellEnd"/>
      <w:r w:rsidRPr="00AB7D1E">
        <w:rPr>
          <w:lang w:val="en-US"/>
        </w:rPr>
        <w:t>.</w:t>
      </w:r>
    </w:p>
    <w:p w14:paraId="3F0EAC89" w14:textId="77777777" w:rsidR="00756F46" w:rsidRPr="00AB7D1E" w:rsidRDefault="00756F46" w:rsidP="00BE60A0">
      <w:pPr>
        <w:pStyle w:val="ListParagraph"/>
        <w:numPr>
          <w:ilvl w:val="0"/>
          <w:numId w:val="33"/>
        </w:numPr>
        <w:rPr>
          <w:lang w:val="en-US"/>
        </w:rPr>
      </w:pPr>
      <w:r w:rsidRPr="00AB7D1E">
        <w:rPr>
          <w:lang w:val="en-US"/>
        </w:rPr>
        <w:t xml:space="preserve">Monitoring of stakeholder engagement indicators on a regular basis. In addition to the Results Framework PDO-level Indicator “Communities of intervened hospitals and schools included and informed” and intermediate outcome indicator “Percentage of grievances responded to in the stipulated time”, additional indicators, which will be determined in the updated SEP, may include: </w:t>
      </w:r>
    </w:p>
    <w:p w14:paraId="30FDD6B7" w14:textId="77777777" w:rsidR="00756F46" w:rsidRPr="00AB7D1E" w:rsidRDefault="00756F46" w:rsidP="00BE60A0">
      <w:pPr>
        <w:pStyle w:val="ListParagraph"/>
        <w:numPr>
          <w:ilvl w:val="0"/>
          <w:numId w:val="34"/>
        </w:numPr>
        <w:rPr>
          <w:lang w:val="en-US"/>
        </w:rPr>
      </w:pPr>
      <w:r w:rsidRPr="00AB7D1E">
        <w:rPr>
          <w:lang w:val="en-US"/>
        </w:rPr>
        <w:t>number of consultations, including by using telecommunications carried out within a reporting period (e.g. monthly, quarterly, or annually);</w:t>
      </w:r>
    </w:p>
    <w:p w14:paraId="1523073F" w14:textId="77777777" w:rsidR="00756F46" w:rsidRPr="00AB7D1E" w:rsidRDefault="00756F46" w:rsidP="00BE60A0">
      <w:pPr>
        <w:pStyle w:val="ListParagraph"/>
        <w:numPr>
          <w:ilvl w:val="0"/>
          <w:numId w:val="34"/>
        </w:numPr>
        <w:rPr>
          <w:lang w:val="en-US"/>
        </w:rPr>
      </w:pPr>
      <w:r w:rsidRPr="00AB7D1E">
        <w:rPr>
          <w:lang w:val="en-US"/>
        </w:rPr>
        <w:t xml:space="preserve">number of public grievances received within a reporting period (e.g. monthly, quarterly, or annually); </w:t>
      </w:r>
    </w:p>
    <w:p w14:paraId="267F853F" w14:textId="48D6CE9F" w:rsidR="00F93AA6" w:rsidRPr="00F93AA6" w:rsidRDefault="00756F46" w:rsidP="00F93AA6">
      <w:pPr>
        <w:pStyle w:val="ListParagraph"/>
        <w:numPr>
          <w:ilvl w:val="0"/>
          <w:numId w:val="34"/>
        </w:numPr>
        <w:rPr>
          <w:lang w:val="en-US"/>
        </w:rPr>
      </w:pPr>
      <w:r w:rsidRPr="00AB7D1E">
        <w:rPr>
          <w:lang w:val="en-US"/>
        </w:rPr>
        <w:t>number of press materials published/broadcasted in the local, regional, and national media.</w:t>
      </w:r>
    </w:p>
    <w:p w14:paraId="24DA510A" w14:textId="361540F7" w:rsidR="00F93AA6" w:rsidRPr="00B612D6" w:rsidRDefault="00F93AA6" w:rsidP="00F93AA6">
      <w:pPr>
        <w:rPr>
          <w:lang w:val="en-GB"/>
        </w:rPr>
      </w:pPr>
      <w:r w:rsidRPr="00B612D6">
        <w:rPr>
          <w:lang w:val="en-GB"/>
        </w:rPr>
        <w:t xml:space="preserve">To the extent possible, public outreach and citizen engagement activities for this Project will rely upon existing mechanisms and resources: public information boards with contact information publicly </w:t>
      </w:r>
      <w:r w:rsidRPr="00B612D6">
        <w:rPr>
          <w:lang w:val="en-GB"/>
        </w:rPr>
        <w:lastRenderedPageBreak/>
        <w:t xml:space="preserve">displayed in accessible locations around construction premises, online and print media (newspaper, magazines), posters and brochures, local and national media programs (radio and TV), newspapers, social media, websites </w:t>
      </w:r>
      <w:r>
        <w:rPr>
          <w:lang w:val="en-GB"/>
        </w:rPr>
        <w:t xml:space="preserve">of </w:t>
      </w:r>
      <w:proofErr w:type="spellStart"/>
      <w:r>
        <w:rPr>
          <w:lang w:val="en-GB"/>
        </w:rPr>
        <w:t>MoPPCA</w:t>
      </w:r>
      <w:proofErr w:type="spellEnd"/>
      <w:r>
        <w:rPr>
          <w:lang w:val="en-GB"/>
        </w:rPr>
        <w:t xml:space="preserve"> and </w:t>
      </w:r>
      <w:proofErr w:type="spellStart"/>
      <w:r>
        <w:rPr>
          <w:lang w:val="en-GB"/>
        </w:rPr>
        <w:t>MoH</w:t>
      </w:r>
      <w:proofErr w:type="spellEnd"/>
      <w:r>
        <w:rPr>
          <w:lang w:val="en-GB"/>
        </w:rPr>
        <w:t xml:space="preserve"> </w:t>
      </w:r>
      <w:r w:rsidRPr="00B612D6">
        <w:rPr>
          <w:lang w:val="en-GB"/>
        </w:rPr>
        <w:t>, emails, SMS, etc.</w:t>
      </w:r>
    </w:p>
    <w:p w14:paraId="6663BDA1" w14:textId="77777777" w:rsidR="00F93AA6" w:rsidRDefault="00F93AA6" w:rsidP="00F93AA6">
      <w:pPr>
        <w:rPr>
          <w:lang w:val="en-GB"/>
        </w:rPr>
      </w:pPr>
      <w:r w:rsidRPr="00B612D6">
        <w:rPr>
          <w:lang w:val="en-GB"/>
        </w:rPr>
        <w:t>In relation to the potential Environmental and Social impacts generated within each of the sub-project, the PIU team will closely work with the communications specialists, in order to facilitate community meetings, campaigns and surveys on issues specific to these groups, communicating information in a form and language that can be easily understood. It will be also identified ways to link public awareness and information efforts especially for vulnerable groups (e.g. people with disabilities, children / young people) or with gender networks and associations to help disseminate information and awareness.</w:t>
      </w:r>
    </w:p>
    <w:p w14:paraId="1B6EB0E4" w14:textId="77777777" w:rsidR="00F93AA6" w:rsidRPr="00E433C5" w:rsidRDefault="00F93AA6" w:rsidP="00F93AA6">
      <w:pPr>
        <w:rPr>
          <w:b/>
          <w:bCs/>
          <w:i/>
          <w:iCs/>
          <w:highlight w:val="yellow"/>
          <w:lang w:val="en-GB"/>
        </w:rPr>
      </w:pPr>
      <w:r w:rsidRPr="00E433C5">
        <w:rPr>
          <w:b/>
          <w:bCs/>
          <w:i/>
          <w:iCs/>
          <w:lang w:val="en-GB"/>
        </w:rPr>
        <w:t>World bank grievance redress service</w:t>
      </w:r>
    </w:p>
    <w:p w14:paraId="0084E7C9" w14:textId="77777777" w:rsidR="00F93AA6" w:rsidRPr="00E433C5" w:rsidRDefault="00F93AA6" w:rsidP="00F93AA6">
      <w:pPr>
        <w:suppressAutoHyphens w:val="0"/>
        <w:autoSpaceDN/>
        <w:spacing w:before="0" w:after="0" w:line="276" w:lineRule="auto"/>
        <w:textAlignment w:val="auto"/>
        <w:rPr>
          <w:rFonts w:ascii="Calibri" w:eastAsia="SimSun" w:hAnsi="Calibri" w:cs="Calibri"/>
          <w:lang w:val="en-GB"/>
        </w:rPr>
      </w:pPr>
      <w:r w:rsidRPr="00E433C5">
        <w:rPr>
          <w:rFonts w:ascii="Calibri" w:eastAsia="SimSun" w:hAnsi="Calibri" w:cs="Calibri"/>
          <w:lang w:val="en-GB"/>
        </w:rPr>
        <w:t xml:space="preserve">The World Bank’s Grievance Redress Service (GRS) is an avenue for people and communities to submit complaints directly to the World Bank if they believe a Bank-funded project has or is likely to adversely affect them. This Service ensures that complaints received are promptly reviewed in order to address project-related concerns. </w:t>
      </w:r>
    </w:p>
    <w:p w14:paraId="05BCAC0A" w14:textId="77777777" w:rsidR="00F93AA6" w:rsidRPr="00E433C5" w:rsidRDefault="00F93AA6" w:rsidP="00F93AA6">
      <w:pPr>
        <w:suppressAutoHyphens w:val="0"/>
        <w:autoSpaceDN/>
        <w:spacing w:before="0" w:after="0" w:line="276" w:lineRule="auto"/>
        <w:textAlignment w:val="auto"/>
        <w:rPr>
          <w:rFonts w:ascii="Calibri" w:eastAsia="SimSun" w:hAnsi="Calibri" w:cs="Calibri"/>
          <w:lang w:val="en-GB"/>
        </w:rPr>
      </w:pPr>
      <w:r w:rsidRPr="00E433C5">
        <w:rPr>
          <w:rFonts w:ascii="Calibri" w:eastAsia="SimSun" w:hAnsi="Calibri" w:cs="Calibri"/>
          <w:lang w:val="en-GB"/>
        </w:rPr>
        <w:t>Also, the project affected communities and individuals may submit their complaint to the WB’s independent Inspection Panel which determines whether harm occurred, or could occur, as a result of WB non-compliance with its policies and procedures.</w:t>
      </w:r>
    </w:p>
    <w:p w14:paraId="3220C0F2" w14:textId="77777777" w:rsidR="00F93AA6" w:rsidRPr="00E433C5" w:rsidRDefault="00F93AA6" w:rsidP="00F93AA6">
      <w:pPr>
        <w:suppressAutoHyphens w:val="0"/>
        <w:autoSpaceDN/>
        <w:spacing w:before="0" w:after="0" w:line="276" w:lineRule="auto"/>
        <w:textAlignment w:val="auto"/>
        <w:rPr>
          <w:rFonts w:ascii="Calibri" w:eastAsia="SimSun" w:hAnsi="Calibri" w:cs="Calibri"/>
          <w:color w:val="0070C0"/>
          <w:lang w:val="en-GB"/>
        </w:rPr>
      </w:pPr>
    </w:p>
    <w:p w14:paraId="2D96C390" w14:textId="77777777" w:rsidR="00F93AA6" w:rsidRPr="00E433C5" w:rsidRDefault="00F93AA6" w:rsidP="00F93AA6">
      <w:pPr>
        <w:suppressAutoHyphens w:val="0"/>
        <w:autoSpaceDN/>
        <w:spacing w:before="0" w:after="0" w:line="276" w:lineRule="auto"/>
        <w:textAlignment w:val="auto"/>
        <w:rPr>
          <w:rFonts w:ascii="Calibri" w:eastAsia="SimSun" w:hAnsi="Calibri" w:cs="Calibri"/>
          <w:color w:val="0070C0"/>
          <w:lang w:val="en-GB"/>
        </w:rPr>
      </w:pPr>
      <w:r w:rsidRPr="00E433C5">
        <w:rPr>
          <w:rFonts w:ascii="Calibri" w:eastAsia="SimSun" w:hAnsi="Calibri" w:cs="Calibri"/>
          <w:lang w:val="en-GB"/>
        </w:rPr>
        <w:t>Information on how to submit complaints to the World Bank’s corporate GRS, is available via</w:t>
      </w:r>
      <w:r w:rsidRPr="00E433C5">
        <w:rPr>
          <w:rFonts w:ascii="Calibri" w:eastAsia="SimSun" w:hAnsi="Calibri" w:cs="Calibri"/>
          <w:color w:val="0070C0"/>
          <w:lang w:val="en-GB"/>
        </w:rPr>
        <w:t xml:space="preserve"> </w:t>
      </w:r>
      <w:hyperlink r:id="rId59" w:history="1">
        <w:r w:rsidRPr="00E433C5">
          <w:rPr>
            <w:rFonts w:ascii="Calibri" w:eastAsia="SimSun" w:hAnsi="Calibri" w:cs="Calibri"/>
            <w:color w:val="0070C0"/>
            <w:u w:val="single"/>
            <w:lang w:val="en-GB"/>
          </w:rPr>
          <w:t>http://www.worldbank.org/GRS</w:t>
        </w:r>
      </w:hyperlink>
      <w:r w:rsidRPr="00E433C5">
        <w:rPr>
          <w:rFonts w:ascii="Calibri" w:eastAsia="SimSun" w:hAnsi="Calibri" w:cs="Calibri"/>
          <w:color w:val="0070C0"/>
          <w:u w:val="single"/>
          <w:lang w:val="en-GB"/>
        </w:rPr>
        <w:t xml:space="preserve"> </w:t>
      </w:r>
      <w:r w:rsidRPr="00E433C5">
        <w:rPr>
          <w:rFonts w:ascii="Calibri" w:eastAsia="SimSun" w:hAnsi="Calibri" w:cs="Calibri"/>
          <w:color w:val="0070C0"/>
          <w:lang w:val="en-GB"/>
        </w:rPr>
        <w:t xml:space="preserve">. </w:t>
      </w:r>
      <w:r w:rsidRPr="00E433C5">
        <w:rPr>
          <w:rFonts w:ascii="Calibri" w:eastAsia="SimSun" w:hAnsi="Calibri" w:cs="Calibri"/>
          <w:lang w:val="en-GB"/>
        </w:rPr>
        <w:t>Information on how to submit complaints to the World Bank Inspection Panel, is available via</w:t>
      </w:r>
      <w:r w:rsidRPr="00E433C5">
        <w:rPr>
          <w:rFonts w:ascii="Calibri" w:eastAsia="SimSun" w:hAnsi="Calibri" w:cs="Calibri"/>
          <w:color w:val="0070C0"/>
          <w:lang w:val="en-GB"/>
        </w:rPr>
        <w:t xml:space="preserve"> </w:t>
      </w:r>
      <w:hyperlink r:id="rId60" w:history="1">
        <w:r w:rsidRPr="00E433C5">
          <w:rPr>
            <w:rFonts w:ascii="Calibri" w:eastAsia="SimSun" w:hAnsi="Calibri" w:cs="Calibri"/>
            <w:color w:val="0070C0"/>
            <w:u w:val="single"/>
            <w:lang w:val="en-GB"/>
          </w:rPr>
          <w:t>www.inspectionpanel.org</w:t>
        </w:r>
      </w:hyperlink>
      <w:r w:rsidRPr="00E433C5">
        <w:rPr>
          <w:rFonts w:ascii="Calibri" w:eastAsia="SimSun" w:hAnsi="Calibri" w:cs="Calibri"/>
          <w:color w:val="0070C0"/>
          <w:lang w:val="en-GB"/>
        </w:rPr>
        <w:t xml:space="preserve"> .</w:t>
      </w:r>
    </w:p>
    <w:p w14:paraId="51E3A268" w14:textId="77777777" w:rsidR="00F93AA6" w:rsidRPr="00F93AA6" w:rsidRDefault="00F93AA6" w:rsidP="00F93AA6">
      <w:pPr>
        <w:rPr>
          <w:lang w:val="en-US"/>
        </w:rPr>
      </w:pPr>
    </w:p>
    <w:p w14:paraId="0CD18BBE" w14:textId="77777777" w:rsidR="00201842" w:rsidRPr="00AB7D1E" w:rsidRDefault="005A1D9E">
      <w:pPr>
        <w:suppressAutoHyphens w:val="0"/>
        <w:spacing w:before="0" w:after="160" w:line="256" w:lineRule="auto"/>
        <w:jc w:val="left"/>
        <w:rPr>
          <w:lang w:val="en-US"/>
        </w:rPr>
        <w:sectPr w:rsidR="00201842" w:rsidRPr="00AB7D1E" w:rsidSect="00D333F6">
          <w:pgSz w:w="11906" w:h="16838"/>
          <w:pgMar w:top="1440" w:right="1440" w:bottom="1440" w:left="1440" w:header="720" w:footer="720" w:gutter="0"/>
          <w:cols w:space="720"/>
          <w:docGrid w:linePitch="299"/>
        </w:sectPr>
      </w:pPr>
      <w:r w:rsidRPr="00AB7D1E">
        <w:rPr>
          <w:lang w:val="en-US"/>
        </w:rPr>
        <w:br w:type="page"/>
      </w:r>
    </w:p>
    <w:p w14:paraId="325CD8A2" w14:textId="3F5C0112" w:rsidR="00DB38B9" w:rsidRDefault="002C70F4" w:rsidP="00E87BCE">
      <w:pPr>
        <w:pStyle w:val="Heading1"/>
        <w:rPr>
          <w:lang w:val="en-US"/>
        </w:rPr>
      </w:pPr>
      <w:bookmarkStart w:id="213" w:name="_Toc56954083"/>
      <w:r w:rsidRPr="00E87BCE">
        <w:lastRenderedPageBreak/>
        <w:t>ANNEXES</w:t>
      </w:r>
      <w:bookmarkEnd w:id="213"/>
      <w:r w:rsidR="0036205A" w:rsidRPr="00AB7D1E">
        <w:rPr>
          <w:lang w:val="en-US"/>
        </w:rPr>
        <w:t xml:space="preserve"> </w:t>
      </w:r>
    </w:p>
    <w:p w14:paraId="44B53225" w14:textId="2B44E045" w:rsidR="00710260" w:rsidRPr="00672ECC" w:rsidRDefault="007D4FEA" w:rsidP="007D4FEA">
      <w:pPr>
        <w:pStyle w:val="Heading1"/>
        <w:numPr>
          <w:ilvl w:val="0"/>
          <w:numId w:val="0"/>
        </w:numPr>
        <w:rPr>
          <w:lang w:val="en-GB"/>
        </w:rPr>
      </w:pPr>
      <w:bookmarkStart w:id="214" w:name="_Ref51789926"/>
      <w:bookmarkStart w:id="215" w:name="_Toc51794074"/>
      <w:bookmarkStart w:id="216" w:name="_Toc56952319"/>
      <w:bookmarkStart w:id="217" w:name="_Toc56954084"/>
      <w:r>
        <w:t xml:space="preserve">ANNEX </w:t>
      </w:r>
      <w:fldSimple w:instr=" SEQ ANNEX \* ROMAN ">
        <w:r w:rsidR="007D1E1B">
          <w:rPr>
            <w:noProof/>
          </w:rPr>
          <w:t>I</w:t>
        </w:r>
      </w:fldSimple>
      <w:r w:rsidR="005D4417">
        <w:t xml:space="preserve"> </w:t>
      </w:r>
      <w:r w:rsidR="00710260">
        <w:rPr>
          <w:lang w:val="en-GB"/>
        </w:rPr>
        <w:t>–</w:t>
      </w:r>
      <w:r w:rsidR="00710260" w:rsidRPr="00672ECC">
        <w:rPr>
          <w:lang w:val="en-GB"/>
        </w:rPr>
        <w:t xml:space="preserve"> </w:t>
      </w:r>
      <w:r w:rsidR="00710260" w:rsidRPr="00E22C20">
        <w:rPr>
          <w:lang w:val="en-GB"/>
        </w:rPr>
        <w:t xml:space="preserve">ECOLOGICAL NETWORK FOR COMPONENT </w:t>
      </w:r>
      <w:r w:rsidR="006A2848">
        <w:rPr>
          <w:lang w:val="en-GB"/>
        </w:rPr>
        <w:t>2</w:t>
      </w:r>
      <w:r w:rsidR="00710260" w:rsidRPr="00E22C20">
        <w:rPr>
          <w:lang w:val="en-GB"/>
        </w:rPr>
        <w:t xml:space="preserve"> (NATURA 2000)</w:t>
      </w:r>
      <w:bookmarkEnd w:id="214"/>
      <w:bookmarkEnd w:id="215"/>
      <w:bookmarkEnd w:id="216"/>
      <w:bookmarkEnd w:id="217"/>
    </w:p>
    <w:p w14:paraId="76518550" w14:textId="77777777" w:rsidR="00710260" w:rsidRDefault="00710260" w:rsidP="00710260">
      <w:pPr>
        <w:rPr>
          <w:lang w:val="en-GB"/>
        </w:rPr>
      </w:pPr>
      <w:r w:rsidRPr="00467D08">
        <w:rPr>
          <w:noProof/>
        </w:rPr>
        <w:drawing>
          <wp:inline distT="0" distB="0" distL="0" distR="0" wp14:anchorId="76C93105" wp14:editId="1F6A7CE9">
            <wp:extent cx="9994900" cy="598435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071925" cy="6030473"/>
                    </a:xfrm>
                    <a:prstGeom prst="rect">
                      <a:avLst/>
                    </a:prstGeom>
                  </pic:spPr>
                </pic:pic>
              </a:graphicData>
            </a:graphic>
          </wp:inline>
        </w:drawing>
      </w:r>
      <w:r w:rsidRPr="00467D08">
        <w:rPr>
          <w:noProof/>
        </w:rPr>
        <w:t xml:space="preserve"> </w:t>
      </w:r>
    </w:p>
    <w:p w14:paraId="30744008" w14:textId="77777777" w:rsidR="00710260" w:rsidRPr="00467D08" w:rsidRDefault="00710260" w:rsidP="00710260">
      <w:pPr>
        <w:rPr>
          <w:lang w:val="en-GB"/>
        </w:rPr>
      </w:pPr>
      <w:r w:rsidRPr="00467D08">
        <w:rPr>
          <w:noProof/>
        </w:rPr>
        <w:drawing>
          <wp:anchor distT="0" distB="0" distL="114300" distR="114300" simplePos="0" relativeHeight="251681792" behindDoc="0" locked="0" layoutInCell="1" allowOverlap="1" wp14:anchorId="5346C64B" wp14:editId="5D32084E">
            <wp:simplePos x="0" y="0"/>
            <wp:positionH relativeFrom="column">
              <wp:posOffset>190500</wp:posOffset>
            </wp:positionH>
            <wp:positionV relativeFrom="paragraph">
              <wp:posOffset>38735</wp:posOffset>
            </wp:positionV>
            <wp:extent cx="5000625" cy="101917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066" t="3340" r="29809" b="23324"/>
                    <a:stretch/>
                  </pic:blipFill>
                  <pic:spPr bwMode="auto">
                    <a:xfrm>
                      <a:off x="0" y="0"/>
                      <a:ext cx="500062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F53D93" w14:textId="25B9EF83" w:rsidR="00710260" w:rsidRDefault="00710260" w:rsidP="00710260">
      <w:pPr>
        <w:rPr>
          <w:lang w:val="en-US"/>
        </w:rPr>
      </w:pPr>
    </w:p>
    <w:p w14:paraId="69263FBE" w14:textId="20C23FFA" w:rsidR="00710260" w:rsidRDefault="00710260" w:rsidP="00710260">
      <w:pPr>
        <w:rPr>
          <w:lang w:val="en-US"/>
        </w:rPr>
      </w:pPr>
    </w:p>
    <w:p w14:paraId="571D28B8" w14:textId="7463D903" w:rsidR="007D4FEA" w:rsidRDefault="007D4FEA">
      <w:pPr>
        <w:suppressAutoHyphens w:val="0"/>
        <w:spacing w:before="0" w:after="160" w:line="256" w:lineRule="auto"/>
        <w:jc w:val="left"/>
        <w:rPr>
          <w:lang w:val="en-US"/>
        </w:rPr>
      </w:pPr>
      <w:r>
        <w:rPr>
          <w:lang w:val="en-US"/>
        </w:rPr>
        <w:br w:type="page"/>
      </w:r>
    </w:p>
    <w:p w14:paraId="084E8D41" w14:textId="5E6BCB82" w:rsidR="00201842" w:rsidRPr="00AB7D1E" w:rsidRDefault="007D4FEA" w:rsidP="007D4FEA">
      <w:pPr>
        <w:pStyle w:val="Heading1"/>
        <w:numPr>
          <w:ilvl w:val="0"/>
          <w:numId w:val="0"/>
        </w:numPr>
        <w:ind w:left="432" w:hanging="432"/>
        <w:rPr>
          <w:lang w:val="en-US"/>
        </w:rPr>
      </w:pPr>
      <w:bookmarkStart w:id="218" w:name="_Ref56952332"/>
      <w:bookmarkStart w:id="219" w:name="_Ref48062693"/>
      <w:bookmarkStart w:id="220" w:name="_Toc56952320"/>
      <w:bookmarkStart w:id="221" w:name="_Toc56954085"/>
      <w:bookmarkStart w:id="222" w:name="_Ref11008899"/>
      <w:bookmarkStart w:id="223" w:name="_Ref11009057"/>
      <w:bookmarkStart w:id="224" w:name="_Ref11009396"/>
      <w:bookmarkStart w:id="225" w:name="_Ref11009449"/>
      <w:bookmarkStart w:id="226" w:name="_Hlk47989514"/>
      <w:r>
        <w:lastRenderedPageBreak/>
        <w:t xml:space="preserve">ANNEX </w:t>
      </w:r>
      <w:fldSimple w:instr=" SEQ ANNEX \* ROMAN ">
        <w:r w:rsidR="007D1E1B">
          <w:rPr>
            <w:noProof/>
          </w:rPr>
          <w:t>II</w:t>
        </w:r>
      </w:fldSimple>
      <w:bookmarkEnd w:id="218"/>
      <w:r w:rsidR="005D4417">
        <w:t xml:space="preserve"> </w:t>
      </w:r>
      <w:r w:rsidR="00FC5087">
        <w:rPr>
          <w:lang w:val="en-US"/>
        </w:rPr>
        <w:t>–</w:t>
      </w:r>
      <w:r w:rsidR="00201842" w:rsidRPr="00AB7D1E">
        <w:rPr>
          <w:lang w:val="en-US"/>
        </w:rPr>
        <w:t xml:space="preserve"> </w:t>
      </w:r>
      <w:r w:rsidR="00FC5087">
        <w:rPr>
          <w:lang w:val="en-US"/>
        </w:rPr>
        <w:t xml:space="preserve">THE NATIONAL </w:t>
      </w:r>
      <w:r w:rsidR="00201842" w:rsidRPr="00AB7D1E">
        <w:rPr>
          <w:lang w:val="en-US"/>
        </w:rPr>
        <w:t>EIA PROCEDURE</w:t>
      </w:r>
      <w:bookmarkEnd w:id="219"/>
      <w:bookmarkEnd w:id="220"/>
      <w:bookmarkEnd w:id="221"/>
    </w:p>
    <w:p w14:paraId="488DA4EC" w14:textId="07DF27CB" w:rsidR="00201842" w:rsidRPr="00AB7D1E" w:rsidRDefault="000C556E" w:rsidP="00201842">
      <w:pPr>
        <w:rPr>
          <w:lang w:val="en-US"/>
        </w:rPr>
      </w:pPr>
      <w:r w:rsidRPr="00AB7D1E">
        <w:rPr>
          <w:lang w:val="en-US"/>
        </w:rPr>
        <w:object w:dxaOrig="21803" w:dyaOrig="12881" w14:anchorId="0098F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3" o:spid="_x0000_i1025" type="#_x0000_t75" style="width:948.25pt;height:556.3pt;visibility:visible" o:ole="">
            <v:imagedata r:id="rId63" o:title=""/>
          </v:shape>
          <o:OLEObject Type="Embed" ProgID="Visio.Drawing.15" ShapeID="Object 73" DrawAspect="Content" ObjectID="_1670789492" r:id="rId64"/>
        </w:object>
      </w:r>
    </w:p>
    <w:p w14:paraId="5206AB69" w14:textId="77777777" w:rsidR="00201842" w:rsidRPr="00AB7D1E" w:rsidRDefault="00201842" w:rsidP="00201842">
      <w:pPr>
        <w:rPr>
          <w:lang w:val="en-US"/>
        </w:rPr>
        <w:sectPr w:rsidR="00201842" w:rsidRPr="00AB7D1E" w:rsidSect="00201842">
          <w:pgSz w:w="23811" w:h="16838" w:orient="landscape" w:code="8"/>
          <w:pgMar w:top="1440" w:right="1440" w:bottom="1440" w:left="1440" w:header="720" w:footer="720" w:gutter="0"/>
          <w:cols w:space="720"/>
          <w:docGrid w:linePitch="299"/>
        </w:sectPr>
      </w:pPr>
    </w:p>
    <w:p w14:paraId="569F40D7" w14:textId="019C2255" w:rsidR="00201842" w:rsidRPr="00AB7D1E" w:rsidRDefault="007D4FEA" w:rsidP="007D4FEA">
      <w:pPr>
        <w:pStyle w:val="Heading1"/>
        <w:numPr>
          <w:ilvl w:val="0"/>
          <w:numId w:val="0"/>
        </w:numPr>
        <w:ind w:left="432" w:hanging="432"/>
        <w:rPr>
          <w:lang w:val="en-US"/>
        </w:rPr>
      </w:pPr>
      <w:bookmarkStart w:id="227" w:name="_Ref56952333"/>
      <w:bookmarkStart w:id="228" w:name="_Ref48062710"/>
      <w:bookmarkStart w:id="229" w:name="_Ref48062719"/>
      <w:bookmarkStart w:id="230" w:name="_Toc56952321"/>
      <w:bookmarkStart w:id="231" w:name="_Toc56954086"/>
      <w:r>
        <w:lastRenderedPageBreak/>
        <w:t xml:space="preserve">ANNEX </w:t>
      </w:r>
      <w:fldSimple w:instr=" SEQ ANNEX \* ROMAN ">
        <w:r w:rsidR="007D1E1B">
          <w:rPr>
            <w:noProof/>
          </w:rPr>
          <w:t>III</w:t>
        </w:r>
      </w:fldSimple>
      <w:bookmarkEnd w:id="227"/>
      <w:r>
        <w:t xml:space="preserve"> </w:t>
      </w:r>
      <w:r w:rsidR="00201842" w:rsidRPr="00AB7D1E">
        <w:rPr>
          <w:lang w:val="en-US"/>
        </w:rPr>
        <w:t xml:space="preserve">- </w:t>
      </w:r>
      <w:r w:rsidR="00075A6F" w:rsidRPr="00AB7D1E">
        <w:rPr>
          <w:lang w:val="en-US"/>
        </w:rPr>
        <w:t>NATURA 2000 NETWORK AND PROTECTED PARTS OF NATURE – LEGAL PROTECTION PROCEDURE ACCORDING TO CROATIAN LEGISLATION</w:t>
      </w:r>
      <w:bookmarkEnd w:id="228"/>
      <w:bookmarkEnd w:id="229"/>
      <w:bookmarkEnd w:id="230"/>
      <w:bookmarkEnd w:id="231"/>
    </w:p>
    <w:p w14:paraId="36874BE0" w14:textId="77777777" w:rsidR="00201842" w:rsidRPr="00AB7D1E" w:rsidRDefault="00201842" w:rsidP="00201842">
      <w:pPr>
        <w:rPr>
          <w:color w:val="FF0000"/>
          <w:lang w:val="en-US"/>
        </w:rPr>
      </w:pPr>
      <w:r w:rsidRPr="00AB7D1E">
        <w:rPr>
          <w:noProof/>
          <w:lang w:val="en-US" w:eastAsia="hr-HR"/>
        </w:rPr>
        <w:drawing>
          <wp:inline distT="0" distB="0" distL="0" distR="0" wp14:anchorId="762784E6" wp14:editId="65226E61">
            <wp:extent cx="13291185" cy="71634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291185" cy="7163435"/>
                    </a:xfrm>
                    <a:prstGeom prst="rect">
                      <a:avLst/>
                    </a:prstGeom>
                  </pic:spPr>
                </pic:pic>
              </a:graphicData>
            </a:graphic>
          </wp:inline>
        </w:drawing>
      </w:r>
    </w:p>
    <w:p w14:paraId="7F76AD0F" w14:textId="77777777" w:rsidR="00201842" w:rsidRPr="00AB7D1E" w:rsidRDefault="00201842" w:rsidP="00201842">
      <w:pPr>
        <w:rPr>
          <w:color w:val="FF0000"/>
          <w:lang w:val="en-US"/>
        </w:rPr>
      </w:pPr>
    </w:p>
    <w:p w14:paraId="06DA0CBE" w14:textId="77777777" w:rsidR="00201842" w:rsidRPr="00AB7D1E" w:rsidRDefault="00201842" w:rsidP="00201842">
      <w:pPr>
        <w:rPr>
          <w:color w:val="FF0000"/>
          <w:lang w:val="en-US"/>
        </w:rPr>
        <w:sectPr w:rsidR="00201842" w:rsidRPr="00AB7D1E" w:rsidSect="00863123">
          <w:pgSz w:w="23811" w:h="16838" w:orient="landscape" w:code="8"/>
          <w:pgMar w:top="1440" w:right="1440" w:bottom="1440" w:left="1440" w:header="720" w:footer="720" w:gutter="0"/>
          <w:cols w:space="720"/>
          <w:docGrid w:linePitch="299"/>
        </w:sectPr>
      </w:pPr>
    </w:p>
    <w:p w14:paraId="2952FC43" w14:textId="0A0BCB8A" w:rsidR="00201842" w:rsidRPr="00AB7D1E" w:rsidRDefault="007D4FEA" w:rsidP="007D4FEA">
      <w:pPr>
        <w:pStyle w:val="Heading1"/>
        <w:numPr>
          <w:ilvl w:val="0"/>
          <w:numId w:val="0"/>
        </w:numPr>
        <w:ind w:left="432" w:hanging="432"/>
        <w:rPr>
          <w:lang w:val="en-US"/>
        </w:rPr>
      </w:pPr>
      <w:bookmarkStart w:id="232" w:name="_Ref56949555"/>
      <w:bookmarkStart w:id="233" w:name="_Ref48063152"/>
      <w:bookmarkStart w:id="234" w:name="_Toc56952322"/>
      <w:bookmarkStart w:id="235" w:name="_Toc56954087"/>
      <w:r>
        <w:lastRenderedPageBreak/>
        <w:t xml:space="preserve">ANNEX </w:t>
      </w:r>
      <w:fldSimple w:instr=" SEQ ANNEX \* ROMAN ">
        <w:r w:rsidR="007D1E1B">
          <w:rPr>
            <w:noProof/>
          </w:rPr>
          <w:t>IV</w:t>
        </w:r>
      </w:fldSimple>
      <w:bookmarkEnd w:id="232"/>
      <w:r w:rsidR="005D4417">
        <w:t xml:space="preserve"> </w:t>
      </w:r>
      <w:r w:rsidR="00201842" w:rsidRPr="00AB7D1E">
        <w:rPr>
          <w:rStyle w:val="Heading2Char"/>
          <w:lang w:val="en-US"/>
        </w:rPr>
        <w:t xml:space="preserve">- </w:t>
      </w:r>
      <w:r w:rsidR="00201842" w:rsidRPr="00AB7D1E">
        <w:rPr>
          <w:lang w:val="en-US"/>
        </w:rPr>
        <w:t>PROCEDURE OF ISSUING LOCATION, BUILDING AND USE PERMIT ACCORDING TO CONSTRUCTION ACT (OG 153/13, 20/17, 39/19,125/19) AND THE PHYSICAL PLANNING ACT (OG 153/13, 65/17, 114/18, 39/19, 98/19)</w:t>
      </w:r>
      <w:bookmarkEnd w:id="233"/>
      <w:bookmarkEnd w:id="234"/>
      <w:bookmarkEnd w:id="235"/>
    </w:p>
    <w:p w14:paraId="6FA44E75" w14:textId="1D166915" w:rsidR="00201842" w:rsidRPr="00AB7D1E" w:rsidRDefault="005F367C" w:rsidP="00201842">
      <w:pPr>
        <w:jc w:val="center"/>
        <w:rPr>
          <w:lang w:val="en-US"/>
        </w:rPr>
      </w:pPr>
      <w:r w:rsidRPr="005F367C">
        <w:rPr>
          <w:noProof/>
        </w:rPr>
        <w:drawing>
          <wp:inline distT="0" distB="0" distL="0" distR="0" wp14:anchorId="7FCA07B1" wp14:editId="3C2FA66E">
            <wp:extent cx="13415749" cy="7932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422952" cy="7936679"/>
                    </a:xfrm>
                    <a:prstGeom prst="rect">
                      <a:avLst/>
                    </a:prstGeom>
                  </pic:spPr>
                </pic:pic>
              </a:graphicData>
            </a:graphic>
          </wp:inline>
        </w:drawing>
      </w:r>
    </w:p>
    <w:p w14:paraId="0D62E095" w14:textId="77777777" w:rsidR="00201842" w:rsidRPr="00AB7D1E" w:rsidRDefault="00201842" w:rsidP="00201842">
      <w:pPr>
        <w:rPr>
          <w:lang w:val="en-US"/>
        </w:rPr>
      </w:pPr>
    </w:p>
    <w:p w14:paraId="254E7432" w14:textId="77777777" w:rsidR="00201842" w:rsidRPr="00AB7D1E" w:rsidRDefault="00201842" w:rsidP="00201842">
      <w:pPr>
        <w:rPr>
          <w:lang w:val="en-US"/>
        </w:rPr>
        <w:sectPr w:rsidR="00201842" w:rsidRPr="00AB7D1E" w:rsidSect="005D6BF9">
          <w:pgSz w:w="23811" w:h="16838" w:orient="landscape" w:code="8"/>
          <w:pgMar w:top="1440" w:right="1440" w:bottom="1440" w:left="1440" w:header="720" w:footer="720" w:gutter="0"/>
          <w:cols w:space="720"/>
          <w:docGrid w:linePitch="299"/>
        </w:sectPr>
      </w:pPr>
    </w:p>
    <w:p w14:paraId="76BC69FE" w14:textId="4741F605" w:rsidR="00201842" w:rsidRPr="00AB7D1E" w:rsidRDefault="007D4FEA" w:rsidP="007D4FEA">
      <w:pPr>
        <w:pStyle w:val="Heading1"/>
        <w:numPr>
          <w:ilvl w:val="0"/>
          <w:numId w:val="0"/>
        </w:numPr>
        <w:ind w:left="432" w:hanging="432"/>
        <w:rPr>
          <w:lang w:val="en-US"/>
        </w:rPr>
      </w:pPr>
      <w:bookmarkStart w:id="236" w:name="_Ref56949566"/>
      <w:bookmarkStart w:id="237" w:name="_Ref48063162"/>
      <w:bookmarkStart w:id="238" w:name="_Ref51773675"/>
      <w:bookmarkStart w:id="239" w:name="_Toc56952323"/>
      <w:bookmarkStart w:id="240" w:name="_Toc56954088"/>
      <w:r>
        <w:lastRenderedPageBreak/>
        <w:t xml:space="preserve">ANNEX </w:t>
      </w:r>
      <w:fldSimple w:instr=" SEQ ANNEX \* ROMAN ">
        <w:r w:rsidR="007D1E1B">
          <w:rPr>
            <w:noProof/>
          </w:rPr>
          <w:t>V</w:t>
        </w:r>
      </w:fldSimple>
      <w:bookmarkEnd w:id="236"/>
      <w:r w:rsidR="00201842" w:rsidRPr="00AB7D1E">
        <w:rPr>
          <w:lang w:val="en-US"/>
        </w:rPr>
        <w:t xml:space="preserve"> - PROCEDURES FOR ISSUING LOCATION, BUILDING AND USE PERMITS</w:t>
      </w:r>
      <w:bookmarkEnd w:id="237"/>
      <w:r w:rsidR="003B6160">
        <w:rPr>
          <w:lang w:val="en-US"/>
        </w:rPr>
        <w:t xml:space="preserve"> (regular procedure – no natural disaster proclaimed)</w:t>
      </w:r>
      <w:bookmarkEnd w:id="238"/>
      <w:bookmarkEnd w:id="239"/>
      <w:bookmarkEnd w:id="240"/>
    </w:p>
    <w:tbl>
      <w:tblPr>
        <w:tblW w:w="13948" w:type="dxa"/>
        <w:tblCellMar>
          <w:left w:w="10" w:type="dxa"/>
          <w:right w:w="10" w:type="dxa"/>
        </w:tblCellMar>
        <w:tblLook w:val="0000" w:firstRow="0" w:lastRow="0" w:firstColumn="0" w:lastColumn="0" w:noHBand="0" w:noVBand="0"/>
      </w:tblPr>
      <w:tblGrid>
        <w:gridCol w:w="13948"/>
      </w:tblGrid>
      <w:tr w:rsidR="00201842" w:rsidRPr="00AB7D1E" w14:paraId="07CC2778"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B2285" w14:textId="77777777" w:rsidR="00201842" w:rsidRPr="00AB7D1E" w:rsidRDefault="00201842" w:rsidP="00201842">
            <w:pPr>
              <w:spacing w:after="0" w:line="240" w:lineRule="auto"/>
              <w:rPr>
                <w:b/>
                <w:sz w:val="18"/>
                <w:szCs w:val="18"/>
                <w:lang w:val="en-US"/>
              </w:rPr>
            </w:pPr>
            <w:r w:rsidRPr="00AB7D1E">
              <w:rPr>
                <w:b/>
                <w:sz w:val="18"/>
                <w:szCs w:val="18"/>
                <w:lang w:val="en-US"/>
              </w:rPr>
              <w:t>LOCATION INFORMATION</w:t>
            </w:r>
          </w:p>
          <w:p w14:paraId="38A81BDD" w14:textId="77777777" w:rsidR="00201842" w:rsidRPr="00AB7D1E" w:rsidRDefault="00201842" w:rsidP="00201842">
            <w:pPr>
              <w:spacing w:after="0" w:line="240" w:lineRule="auto"/>
              <w:rPr>
                <w:sz w:val="18"/>
                <w:szCs w:val="18"/>
                <w:lang w:val="en-US"/>
              </w:rPr>
            </w:pPr>
            <w:r w:rsidRPr="00AB7D1E">
              <w:rPr>
                <w:sz w:val="18"/>
                <w:szCs w:val="18"/>
                <w:lang w:val="en-US"/>
              </w:rPr>
              <w:t>Informal act which contains information on: purpose of a certain area, compliance with physical planning documents, is it an area for which special conditions are defined (i.e. whether it is listed in the Cultural Heritage Register). Issued, within 8 days of application submission by the administrative authority in whose area the land is situated.</w:t>
            </w:r>
          </w:p>
          <w:p w14:paraId="2441B512" w14:textId="77777777" w:rsidR="00201842" w:rsidRPr="00AB7D1E" w:rsidRDefault="00201842" w:rsidP="00201842">
            <w:pPr>
              <w:spacing w:after="0" w:line="240" w:lineRule="auto"/>
              <w:rPr>
                <w:sz w:val="18"/>
                <w:szCs w:val="18"/>
                <w:lang w:val="en-US"/>
              </w:rPr>
            </w:pPr>
            <w:r w:rsidRPr="00AB7D1E">
              <w:rPr>
                <w:sz w:val="18"/>
                <w:szCs w:val="18"/>
                <w:lang w:val="en-US"/>
              </w:rPr>
              <w:t>Not obligatory - informative character</w:t>
            </w:r>
          </w:p>
        </w:tc>
      </w:tr>
      <w:tr w:rsidR="00201842" w:rsidRPr="00AB7D1E" w14:paraId="738F9E5B"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3E12D559" w14:textId="77777777" w:rsidR="00201842" w:rsidRPr="00AB7D1E" w:rsidRDefault="00201842" w:rsidP="00201842">
            <w:pPr>
              <w:spacing w:after="0" w:line="240" w:lineRule="auto"/>
              <w:jc w:val="center"/>
              <w:rPr>
                <w:lang w:val="en-US"/>
              </w:rPr>
            </w:pPr>
            <w:r w:rsidRPr="00AB7D1E">
              <w:rPr>
                <w:b/>
                <w:sz w:val="18"/>
                <w:szCs w:val="18"/>
                <w:lang w:val="en-US"/>
              </w:rPr>
              <w:t>INTERVENTIONS FOR WHICH LOCATION/BUILDING PERMIT IS NOT REQUIRED</w:t>
            </w:r>
          </w:p>
        </w:tc>
      </w:tr>
      <w:tr w:rsidR="00201842" w:rsidRPr="00AB7D1E" w14:paraId="6CB04AAD"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AFFE5" w14:textId="77777777" w:rsidR="00201842" w:rsidRPr="00AB7D1E" w:rsidRDefault="00201842" w:rsidP="00201842">
            <w:pPr>
              <w:spacing w:after="0" w:line="240" w:lineRule="auto"/>
              <w:rPr>
                <w:sz w:val="18"/>
                <w:szCs w:val="18"/>
                <w:lang w:val="en-US"/>
              </w:rPr>
            </w:pPr>
            <w:r w:rsidRPr="00AB7D1E">
              <w:rPr>
                <w:sz w:val="18"/>
                <w:szCs w:val="18"/>
                <w:lang w:val="en-US"/>
              </w:rPr>
              <w:t>1. For simple and other construction works and works defined by Ordinance on simple and other construction works and works (OG 112/17, 34/18, 36/19, 98/19,31/20) it is not necessary to issue location/building permit and construction works may begin:</w:t>
            </w:r>
          </w:p>
          <w:p w14:paraId="0BF7D155" w14:textId="77777777" w:rsidR="00201842" w:rsidRPr="00AB7D1E" w:rsidRDefault="00201842" w:rsidP="00201842">
            <w:pPr>
              <w:spacing w:after="0" w:line="240" w:lineRule="auto"/>
              <w:rPr>
                <w:lang w:val="en-US"/>
              </w:rPr>
            </w:pPr>
            <w:r w:rsidRPr="00AB7D1E">
              <w:rPr>
                <w:b/>
                <w:sz w:val="18"/>
                <w:szCs w:val="18"/>
                <w:lang w:val="en-US"/>
              </w:rPr>
              <w:t>a)</w:t>
            </w:r>
            <w:r w:rsidRPr="00AB7D1E">
              <w:rPr>
                <w:sz w:val="18"/>
                <w:szCs w:val="18"/>
                <w:lang w:val="en-US"/>
              </w:rPr>
              <w:t xml:space="preserve"> </w:t>
            </w:r>
            <w:r w:rsidRPr="00AB7D1E">
              <w:rPr>
                <w:b/>
                <w:sz w:val="18"/>
                <w:szCs w:val="18"/>
                <w:lang w:val="en-US"/>
              </w:rPr>
              <w:t>without location/building permit and without main design</w:t>
            </w:r>
            <w:r w:rsidRPr="00AB7D1E">
              <w:rPr>
                <w:sz w:val="18"/>
                <w:szCs w:val="18"/>
                <w:lang w:val="en-US"/>
              </w:rPr>
              <w:t>. Without location/building permit and main design, works such as maintenance of the existing building, emergency repairs etc. can be performed.</w:t>
            </w:r>
          </w:p>
          <w:p w14:paraId="3D2654E3" w14:textId="77777777" w:rsidR="00201842" w:rsidRPr="00AB7D1E" w:rsidRDefault="00201842" w:rsidP="00201842">
            <w:pPr>
              <w:spacing w:after="0" w:line="240" w:lineRule="auto"/>
              <w:rPr>
                <w:lang w:val="en-US"/>
              </w:rPr>
            </w:pPr>
            <w:r w:rsidRPr="00AB7D1E">
              <w:rPr>
                <w:b/>
                <w:sz w:val="18"/>
                <w:szCs w:val="18"/>
                <w:lang w:val="en-US"/>
              </w:rPr>
              <w:t>b)</w:t>
            </w:r>
            <w:r w:rsidRPr="00AB7D1E">
              <w:rPr>
                <w:sz w:val="18"/>
                <w:szCs w:val="18"/>
                <w:lang w:val="en-US"/>
              </w:rPr>
              <w:t xml:space="preserve"> </w:t>
            </w:r>
            <w:r w:rsidRPr="00AB7D1E">
              <w:rPr>
                <w:b/>
                <w:sz w:val="18"/>
                <w:szCs w:val="18"/>
                <w:lang w:val="en-US"/>
              </w:rPr>
              <w:t xml:space="preserve">without location / building permit, in accordance with the main design / standard design: </w:t>
            </w:r>
            <w:r w:rsidRPr="00AB7D1E">
              <w:rPr>
                <w:sz w:val="18"/>
                <w:szCs w:val="18"/>
                <w:lang w:val="en-US"/>
              </w:rPr>
              <w:t>i.e. separately object being built in the existing building parcel for which there is a building permit for already existing construction. Also, apart from construction based on the construction project, various works can be carried out e.g. adding, restoring or replacing building parts such as transparent facade elements, thermal insulation of floors, walls, ceilings, flat, sloping and curved roofs.</w:t>
            </w:r>
          </w:p>
          <w:p w14:paraId="02936C59" w14:textId="77777777" w:rsidR="00201842" w:rsidRPr="00AB7D1E" w:rsidRDefault="00201842" w:rsidP="00201842">
            <w:pPr>
              <w:spacing w:after="0" w:line="240" w:lineRule="auto"/>
              <w:rPr>
                <w:sz w:val="18"/>
                <w:szCs w:val="18"/>
                <w:lang w:val="en-US"/>
              </w:rPr>
            </w:pPr>
            <w:r w:rsidRPr="00AB7D1E">
              <w:rPr>
                <w:sz w:val="18"/>
                <w:szCs w:val="18"/>
                <w:lang w:val="en-US"/>
              </w:rPr>
              <w:t>2. In the event of construction damage when people and assets are directly in danger, without building permit construction can be restored to the original condition in line with the act according to which it was built or the by project of the existing condition</w:t>
            </w:r>
          </w:p>
        </w:tc>
      </w:tr>
      <w:tr w:rsidR="00201842" w:rsidRPr="00AB7D1E" w14:paraId="7017294B"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422DBF78" w14:textId="77777777" w:rsidR="00201842" w:rsidRPr="00AB7D1E" w:rsidRDefault="00201842" w:rsidP="00201842">
            <w:pPr>
              <w:spacing w:after="0" w:line="240" w:lineRule="auto"/>
              <w:jc w:val="center"/>
              <w:rPr>
                <w:b/>
                <w:sz w:val="18"/>
                <w:szCs w:val="18"/>
                <w:lang w:val="en-US"/>
              </w:rPr>
            </w:pPr>
            <w:r w:rsidRPr="00AB7D1E">
              <w:rPr>
                <w:b/>
                <w:sz w:val="18"/>
                <w:szCs w:val="18"/>
                <w:lang w:val="en-US"/>
              </w:rPr>
              <w:t>INTERVENTIONS FOR WHICH LOCATION PERMIT IS REQUIRED</w:t>
            </w:r>
          </w:p>
        </w:tc>
      </w:tr>
      <w:tr w:rsidR="00201842" w:rsidRPr="00AB7D1E" w14:paraId="4D2171FE"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8261F" w14:textId="77777777" w:rsidR="00201842" w:rsidRPr="00AB7D1E" w:rsidRDefault="00201842" w:rsidP="00201842">
            <w:pPr>
              <w:spacing w:after="0" w:line="240" w:lineRule="auto"/>
              <w:rPr>
                <w:sz w:val="18"/>
                <w:szCs w:val="18"/>
                <w:lang w:val="en-US"/>
              </w:rPr>
            </w:pPr>
            <w:r w:rsidRPr="00AB7D1E">
              <w:rPr>
                <w:sz w:val="18"/>
                <w:szCs w:val="18"/>
                <w:lang w:val="en-US"/>
              </w:rPr>
              <w:t>Location permit must be issued for:</w:t>
            </w:r>
          </w:p>
          <w:p w14:paraId="3EFB411D" w14:textId="77777777" w:rsidR="00201842" w:rsidRPr="00AB7D1E" w:rsidRDefault="00201842" w:rsidP="00201842">
            <w:pPr>
              <w:spacing w:after="0" w:line="240" w:lineRule="auto"/>
              <w:rPr>
                <w:sz w:val="18"/>
                <w:szCs w:val="18"/>
                <w:lang w:val="en-US"/>
              </w:rPr>
            </w:pPr>
            <w:r w:rsidRPr="00AB7D1E">
              <w:rPr>
                <w:sz w:val="18"/>
                <w:szCs w:val="18"/>
                <w:lang w:val="en-US"/>
              </w:rPr>
              <w:t>1. an exploitation field, except for hydrocarbon or geothermal water exploitation for energy purposes, construction of mining facilities and installations which are used for performing mining activities, hydrocarbon storage and permanent disposal of gases in geological structures;</w:t>
            </w:r>
          </w:p>
          <w:p w14:paraId="47FDC4CF" w14:textId="77777777" w:rsidR="00201842" w:rsidRPr="00AB7D1E" w:rsidRDefault="00201842" w:rsidP="00201842">
            <w:pPr>
              <w:spacing w:after="0" w:line="240" w:lineRule="auto"/>
              <w:rPr>
                <w:sz w:val="18"/>
                <w:szCs w:val="18"/>
                <w:lang w:val="en-US"/>
              </w:rPr>
            </w:pPr>
            <w:r w:rsidRPr="00AB7D1E">
              <w:rPr>
                <w:sz w:val="18"/>
                <w:szCs w:val="18"/>
                <w:lang w:val="en-US"/>
              </w:rPr>
              <w:t>2. mining facilities and facilities for the exploitation of hydrocarbons or geothermal water for energy purposes in accordance with a physical plan on the exploitation field determined on the basis of a special law regulating hydrocarbon exploration and exploitation;</w:t>
            </w:r>
          </w:p>
          <w:p w14:paraId="6D7419C8" w14:textId="77777777" w:rsidR="00201842" w:rsidRPr="00AB7D1E" w:rsidRDefault="00201842" w:rsidP="00201842">
            <w:pPr>
              <w:spacing w:after="0" w:line="240" w:lineRule="auto"/>
              <w:rPr>
                <w:sz w:val="18"/>
                <w:szCs w:val="18"/>
                <w:lang w:val="en-US"/>
              </w:rPr>
            </w:pPr>
            <w:r w:rsidRPr="00AB7D1E">
              <w:rPr>
                <w:sz w:val="18"/>
                <w:szCs w:val="18"/>
                <w:lang w:val="en-US"/>
              </w:rPr>
              <w:t>3. determining new military locations and military construction works;</w:t>
            </w:r>
          </w:p>
          <w:p w14:paraId="1A0DECAB" w14:textId="77777777" w:rsidR="00201842" w:rsidRPr="00AB7D1E" w:rsidRDefault="00201842" w:rsidP="00201842">
            <w:pPr>
              <w:spacing w:after="0" w:line="240" w:lineRule="auto"/>
              <w:rPr>
                <w:lang w:val="en-US"/>
              </w:rPr>
            </w:pPr>
            <w:r w:rsidRPr="00AB7D1E">
              <w:rPr>
                <w:sz w:val="18"/>
                <w:szCs w:val="18"/>
                <w:lang w:val="en-US"/>
              </w:rPr>
              <w:t>4. projects which are not considered to be construction pursuant to special regulation</w:t>
            </w:r>
            <w:r w:rsidRPr="00AB7D1E">
              <w:rPr>
                <w:sz w:val="18"/>
                <w:szCs w:val="18"/>
                <w:vertAlign w:val="superscript"/>
                <w:lang w:val="en-US"/>
              </w:rPr>
              <w:footnoteReference w:id="140"/>
            </w:r>
            <w:r w:rsidRPr="00AB7D1E">
              <w:rPr>
                <w:sz w:val="18"/>
                <w:szCs w:val="18"/>
                <w:lang w:val="en-US"/>
              </w:rPr>
              <w:t xml:space="preserve"> (these are interventions when nothing is constructed, for example, setting, mooring or anchoring vessels on inland waters such as ships);</w:t>
            </w:r>
          </w:p>
          <w:p w14:paraId="233D1BE3" w14:textId="77777777" w:rsidR="00201842" w:rsidRPr="00AB7D1E" w:rsidRDefault="00201842" w:rsidP="00201842">
            <w:pPr>
              <w:spacing w:after="0" w:line="240" w:lineRule="auto"/>
              <w:rPr>
                <w:sz w:val="18"/>
                <w:szCs w:val="18"/>
                <w:lang w:val="en-US"/>
              </w:rPr>
            </w:pPr>
            <w:r w:rsidRPr="00AB7D1E">
              <w:rPr>
                <w:sz w:val="18"/>
                <w:szCs w:val="18"/>
                <w:lang w:val="en-US"/>
              </w:rPr>
              <w:t>5. stage construction and/or phase construction of a construction work;</w:t>
            </w:r>
          </w:p>
          <w:p w14:paraId="7A639D0B" w14:textId="77777777" w:rsidR="00201842" w:rsidRPr="00AB7D1E" w:rsidRDefault="00201842" w:rsidP="00201842">
            <w:pPr>
              <w:spacing w:after="0" w:line="240" w:lineRule="auto"/>
              <w:rPr>
                <w:sz w:val="18"/>
                <w:szCs w:val="18"/>
                <w:lang w:val="en-US"/>
              </w:rPr>
            </w:pPr>
            <w:r w:rsidRPr="00AB7D1E">
              <w:rPr>
                <w:sz w:val="18"/>
                <w:szCs w:val="18"/>
                <w:lang w:val="en-US"/>
              </w:rPr>
              <w:t>6. complex interventions</w:t>
            </w:r>
          </w:p>
          <w:p w14:paraId="5A8C9712" w14:textId="77777777" w:rsidR="00201842" w:rsidRPr="00AB7D1E" w:rsidRDefault="00201842" w:rsidP="00201842">
            <w:pPr>
              <w:spacing w:after="0" w:line="240" w:lineRule="auto"/>
              <w:rPr>
                <w:sz w:val="18"/>
                <w:szCs w:val="18"/>
                <w:lang w:val="en-US"/>
              </w:rPr>
            </w:pPr>
            <w:r w:rsidRPr="00AB7D1E">
              <w:rPr>
                <w:sz w:val="18"/>
                <w:szCs w:val="18"/>
                <w:lang w:val="en-US"/>
              </w:rPr>
              <w:lastRenderedPageBreak/>
              <w:t>7. construction on land or building for which the investor has not regulated legal property relations or for which it is necessary to implement the expropriation procedure;</w:t>
            </w:r>
          </w:p>
          <w:p w14:paraId="5E8C72EA" w14:textId="77777777" w:rsidR="00201842" w:rsidRPr="00AB7D1E" w:rsidRDefault="00201842" w:rsidP="00201842">
            <w:pPr>
              <w:spacing w:after="0" w:line="240" w:lineRule="auto"/>
              <w:rPr>
                <w:sz w:val="18"/>
                <w:szCs w:val="18"/>
                <w:lang w:val="en-US"/>
              </w:rPr>
            </w:pPr>
            <w:r w:rsidRPr="00AB7D1E">
              <w:rPr>
                <w:sz w:val="18"/>
                <w:szCs w:val="18"/>
                <w:lang w:val="en-US"/>
              </w:rPr>
              <w:t>8. construction on client request</w:t>
            </w:r>
          </w:p>
        </w:tc>
      </w:tr>
      <w:tr w:rsidR="00201842" w:rsidRPr="00AB7D1E" w14:paraId="07688882"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F0833" w14:textId="77777777" w:rsidR="00201842" w:rsidRPr="00AB7D1E" w:rsidRDefault="00201842" w:rsidP="00201842">
            <w:pPr>
              <w:spacing w:after="0" w:line="240" w:lineRule="auto"/>
              <w:rPr>
                <w:b/>
                <w:i/>
                <w:sz w:val="18"/>
                <w:szCs w:val="18"/>
                <w:lang w:val="en-US"/>
              </w:rPr>
            </w:pPr>
            <w:r w:rsidRPr="00AB7D1E">
              <w:rPr>
                <w:b/>
                <w:i/>
                <w:sz w:val="18"/>
                <w:szCs w:val="18"/>
                <w:lang w:val="en-US"/>
              </w:rPr>
              <w:t>a) Determination of special requirements</w:t>
            </w:r>
          </w:p>
          <w:p w14:paraId="1C8A47B9" w14:textId="77777777" w:rsidR="00201842" w:rsidRPr="00AB7D1E" w:rsidRDefault="00201842" w:rsidP="00201842">
            <w:pPr>
              <w:spacing w:after="0" w:line="240" w:lineRule="auto"/>
              <w:rPr>
                <w:sz w:val="18"/>
                <w:szCs w:val="18"/>
                <w:lang w:val="en-US"/>
              </w:rPr>
            </w:pPr>
            <w:r w:rsidRPr="00AB7D1E">
              <w:rPr>
                <w:sz w:val="18"/>
                <w:szCs w:val="18"/>
                <w:lang w:val="en-US"/>
              </w:rPr>
              <w:t>Special requirements have to be determined prior to initiating the procedure for issuing the location permit at the request of the designer or the investor, or during that procedure upon request of the Ministry. Exceptionally, water regulation conditions and special conditions for the protection of cultural heritage are obtained prior location permit at the request of the investor. For the purpose of obtaining special requirements that were not obtained prior to initiation of the procedure for issuing the location permit, the Ministry invites body and / or person defined by special regulations to review conceptual design. The applicant and the designer are present during the conceptual design overview.</w:t>
            </w:r>
          </w:p>
          <w:p w14:paraId="7FEE4AB6" w14:textId="77777777" w:rsidR="00201842" w:rsidRPr="00AB7D1E" w:rsidRDefault="00201842" w:rsidP="00201842">
            <w:pPr>
              <w:spacing w:after="0" w:line="240" w:lineRule="auto"/>
              <w:rPr>
                <w:sz w:val="18"/>
                <w:szCs w:val="18"/>
                <w:lang w:val="en-US"/>
              </w:rPr>
            </w:pPr>
            <w:r w:rsidRPr="00AB7D1E">
              <w:rPr>
                <w:sz w:val="18"/>
                <w:szCs w:val="18"/>
                <w:lang w:val="en-US"/>
              </w:rPr>
              <w:t>List of public bodies responsible for the determination of special requirements are available at the web address:</w:t>
            </w:r>
          </w:p>
          <w:p w14:paraId="73B52565" w14:textId="77777777" w:rsidR="00201842" w:rsidRPr="00AB7D1E" w:rsidRDefault="00C40C75" w:rsidP="00201842">
            <w:pPr>
              <w:spacing w:after="0" w:line="240" w:lineRule="auto"/>
              <w:rPr>
                <w:lang w:val="en-US"/>
              </w:rPr>
            </w:pPr>
            <w:hyperlink r:id="rId67" w:history="1">
              <w:r w:rsidR="00201842" w:rsidRPr="00AB7D1E">
                <w:rPr>
                  <w:color w:val="0563C1"/>
                  <w:sz w:val="18"/>
                  <w:szCs w:val="18"/>
                  <w:u w:val="single"/>
                  <w:lang w:val="en-US"/>
                </w:rPr>
                <w:t>https://dozvola.mgipu.hr/javnopravna-tijela</w:t>
              </w:r>
            </w:hyperlink>
          </w:p>
        </w:tc>
      </w:tr>
      <w:tr w:rsidR="00201842" w:rsidRPr="00AB7D1E" w14:paraId="0B41464F"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99D98" w14:textId="77777777" w:rsidR="00201842" w:rsidRPr="00AB7D1E" w:rsidRDefault="00201842" w:rsidP="00201842">
            <w:pPr>
              <w:spacing w:after="0" w:line="240" w:lineRule="auto"/>
              <w:rPr>
                <w:b/>
                <w:i/>
                <w:sz w:val="18"/>
                <w:szCs w:val="18"/>
                <w:lang w:val="en-US"/>
              </w:rPr>
            </w:pPr>
            <w:r w:rsidRPr="00AB7D1E">
              <w:rPr>
                <w:b/>
                <w:i/>
                <w:sz w:val="18"/>
                <w:szCs w:val="18"/>
                <w:lang w:val="en-US"/>
              </w:rPr>
              <w:t>b) Application for issuing location permit must include:</w:t>
            </w:r>
          </w:p>
          <w:p w14:paraId="332FBD2A"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conceptual design in electronic format,</w:t>
            </w:r>
          </w:p>
          <w:p w14:paraId="4978D225"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print version of conceptual design certified by the designer,</w:t>
            </w:r>
          </w:p>
          <w:p w14:paraId="3B229FC5"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statement of the designer that the conceptual design was developed in accordance with the spatial plan (part of the conceptual design)</w:t>
            </w:r>
          </w:p>
          <w:p w14:paraId="3A582999"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geodetic project (part of the conceptual design in the case of forming the building plot)</w:t>
            </w:r>
          </w:p>
          <w:p w14:paraId="6340B509"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 xml:space="preserve">special requirements and/or evidence that the applicant has submitted the request for determining special requirements, </w:t>
            </w:r>
          </w:p>
          <w:p w14:paraId="446E0E09"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decision on the environmental acceptability of the project if it is a project which requires an environmental impact assessment and/or appropriate assessment of the impact of a project on the ecological network, pursuant to special regulations,</w:t>
            </w:r>
          </w:p>
          <w:p w14:paraId="4D1D3B19"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decision on environmental screening process if it contains environmental protection measures and / or environmental monitoring program,</w:t>
            </w:r>
          </w:p>
          <w:p w14:paraId="75710106" w14:textId="77777777" w:rsidR="00201842" w:rsidRPr="00AB7D1E" w:rsidRDefault="00201842" w:rsidP="00201842">
            <w:pPr>
              <w:numPr>
                <w:ilvl w:val="0"/>
                <w:numId w:val="2"/>
              </w:numPr>
              <w:spacing w:after="0" w:line="240" w:lineRule="auto"/>
              <w:rPr>
                <w:sz w:val="18"/>
                <w:szCs w:val="18"/>
                <w:lang w:val="en-US"/>
              </w:rPr>
            </w:pPr>
            <w:r w:rsidRPr="00AB7D1E">
              <w:rPr>
                <w:sz w:val="18"/>
                <w:szCs w:val="18"/>
                <w:lang w:val="en-US"/>
              </w:rPr>
              <w:t>certificate on validation of the conceptual design if the project was developed according to foreign regulations</w:t>
            </w:r>
          </w:p>
        </w:tc>
      </w:tr>
      <w:tr w:rsidR="00201842" w:rsidRPr="00AB7D1E" w14:paraId="2A4EF0C3"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2F361" w14:textId="77777777" w:rsidR="00201842" w:rsidRPr="00AB7D1E" w:rsidRDefault="00201842" w:rsidP="00201842">
            <w:pPr>
              <w:spacing w:after="0" w:line="240" w:lineRule="auto"/>
              <w:rPr>
                <w:b/>
                <w:i/>
                <w:sz w:val="18"/>
                <w:szCs w:val="18"/>
                <w:lang w:val="en-US"/>
              </w:rPr>
            </w:pPr>
            <w:r w:rsidRPr="00AB7D1E">
              <w:rPr>
                <w:b/>
                <w:i/>
                <w:sz w:val="18"/>
                <w:szCs w:val="18"/>
                <w:lang w:val="en-US"/>
              </w:rPr>
              <w:t>Validity of the location permit</w:t>
            </w:r>
          </w:p>
          <w:p w14:paraId="57AFB04C" w14:textId="77777777" w:rsidR="00201842" w:rsidRPr="00AB7D1E" w:rsidRDefault="00201842" w:rsidP="00201842">
            <w:pPr>
              <w:spacing w:after="0" w:line="240" w:lineRule="auto"/>
              <w:rPr>
                <w:sz w:val="18"/>
                <w:szCs w:val="18"/>
                <w:lang w:val="en-US"/>
              </w:rPr>
            </w:pPr>
            <w:r w:rsidRPr="00AB7D1E">
              <w:rPr>
                <w:sz w:val="18"/>
                <w:szCs w:val="18"/>
                <w:lang w:val="en-US"/>
              </w:rPr>
              <w:t xml:space="preserve">The location permit shall cease to be valid if within two years from the day the location permit became final and effective: </w:t>
            </w:r>
          </w:p>
          <w:p w14:paraId="0A0B2835" w14:textId="77777777" w:rsidR="00201842" w:rsidRPr="00AB7D1E" w:rsidRDefault="00201842" w:rsidP="00201842">
            <w:pPr>
              <w:numPr>
                <w:ilvl w:val="0"/>
                <w:numId w:val="3"/>
              </w:numPr>
              <w:spacing w:after="0" w:line="240" w:lineRule="auto"/>
              <w:rPr>
                <w:sz w:val="18"/>
                <w:szCs w:val="18"/>
                <w:lang w:val="en-US"/>
              </w:rPr>
            </w:pPr>
            <w:r w:rsidRPr="00AB7D1E">
              <w:rPr>
                <w:sz w:val="18"/>
                <w:szCs w:val="18"/>
                <w:lang w:val="en-US"/>
              </w:rPr>
              <w:t>the application for issuing the concession was not submitted,</w:t>
            </w:r>
          </w:p>
          <w:p w14:paraId="69122F80" w14:textId="77777777" w:rsidR="00201842" w:rsidRPr="00AB7D1E" w:rsidRDefault="00201842" w:rsidP="00201842">
            <w:pPr>
              <w:numPr>
                <w:ilvl w:val="0"/>
                <w:numId w:val="3"/>
              </w:numPr>
              <w:spacing w:after="0" w:line="240" w:lineRule="auto"/>
              <w:rPr>
                <w:sz w:val="18"/>
                <w:szCs w:val="18"/>
                <w:lang w:val="en-US"/>
              </w:rPr>
            </w:pPr>
            <w:r w:rsidRPr="00AB7D1E">
              <w:rPr>
                <w:sz w:val="18"/>
                <w:szCs w:val="18"/>
                <w:lang w:val="en-US"/>
              </w:rPr>
              <w:t>the application for adoption of the decision on expropriation was not submitted,</w:t>
            </w:r>
          </w:p>
          <w:p w14:paraId="79B52ED1" w14:textId="77777777" w:rsidR="00201842" w:rsidRPr="00AB7D1E" w:rsidRDefault="00201842" w:rsidP="00201842">
            <w:pPr>
              <w:numPr>
                <w:ilvl w:val="0"/>
                <w:numId w:val="3"/>
              </w:numPr>
              <w:spacing w:after="0" w:line="240" w:lineRule="auto"/>
              <w:rPr>
                <w:sz w:val="18"/>
                <w:szCs w:val="18"/>
                <w:lang w:val="en-US"/>
              </w:rPr>
            </w:pPr>
            <w:r w:rsidRPr="00AB7D1E">
              <w:rPr>
                <w:sz w:val="18"/>
                <w:szCs w:val="18"/>
                <w:lang w:val="en-US"/>
              </w:rPr>
              <w:t>the proposal for adopting the decision on servitudes or the right to construction on land owned by the Republic of Croatia was not submitted,</w:t>
            </w:r>
          </w:p>
          <w:p w14:paraId="36D208A7" w14:textId="77777777" w:rsidR="00201842" w:rsidRPr="00AB7D1E" w:rsidRDefault="00201842" w:rsidP="00201842">
            <w:pPr>
              <w:numPr>
                <w:ilvl w:val="0"/>
                <w:numId w:val="3"/>
              </w:numPr>
              <w:spacing w:after="0" w:line="240" w:lineRule="auto"/>
              <w:rPr>
                <w:sz w:val="18"/>
                <w:szCs w:val="18"/>
                <w:lang w:val="en-US"/>
              </w:rPr>
            </w:pPr>
            <w:r w:rsidRPr="00AB7D1E">
              <w:rPr>
                <w:sz w:val="18"/>
                <w:szCs w:val="18"/>
                <w:lang w:val="en-US"/>
              </w:rPr>
              <w:t>the application for issuance of the building permit was not submitted, or the implementation of the project for which the official act for construction is not issued, has not started.</w:t>
            </w:r>
          </w:p>
          <w:p w14:paraId="32A2CAE8" w14:textId="77777777" w:rsidR="00201842" w:rsidRPr="00AB7D1E" w:rsidRDefault="00201842" w:rsidP="00201842">
            <w:pPr>
              <w:spacing w:after="0" w:line="240" w:lineRule="auto"/>
              <w:rPr>
                <w:sz w:val="18"/>
                <w:szCs w:val="18"/>
                <w:lang w:val="en-US"/>
              </w:rPr>
            </w:pPr>
            <w:r w:rsidRPr="00AB7D1E">
              <w:rPr>
                <w:sz w:val="18"/>
                <w:szCs w:val="18"/>
                <w:lang w:val="en-US"/>
              </w:rPr>
              <w:t>If two building permits are issued for construction activity for which a single location permit has been issued, the two-year term ends by the issue of the first building permit. Validity of the location permit shall be extended once upon the request of the applicant or investor for two additional years, provided that the requirements have not changed which were determined in accordance with the provisions of legislation and other requirements in accordance with which the location permit was issued.</w:t>
            </w:r>
          </w:p>
        </w:tc>
      </w:tr>
      <w:tr w:rsidR="00201842" w:rsidRPr="00AB7D1E" w14:paraId="4B413AA3"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73172" w14:textId="77777777" w:rsidR="00201842" w:rsidRPr="00AB7D1E" w:rsidRDefault="00201842" w:rsidP="00201842">
            <w:pPr>
              <w:spacing w:after="0" w:line="240" w:lineRule="auto"/>
              <w:rPr>
                <w:b/>
                <w:i/>
                <w:sz w:val="18"/>
                <w:szCs w:val="18"/>
                <w:lang w:val="en-US"/>
              </w:rPr>
            </w:pPr>
            <w:r w:rsidRPr="00AB7D1E">
              <w:rPr>
                <w:b/>
                <w:i/>
                <w:sz w:val="18"/>
                <w:szCs w:val="18"/>
                <w:lang w:val="en-US"/>
              </w:rPr>
              <w:lastRenderedPageBreak/>
              <w:t>Public participation</w:t>
            </w:r>
          </w:p>
          <w:p w14:paraId="44B0BCA1" w14:textId="77777777" w:rsidR="00201842" w:rsidRPr="00AB7D1E" w:rsidRDefault="00201842" w:rsidP="00201842">
            <w:pPr>
              <w:spacing w:after="0" w:line="240" w:lineRule="auto"/>
              <w:rPr>
                <w:sz w:val="18"/>
                <w:szCs w:val="18"/>
                <w:lang w:val="en-US"/>
              </w:rPr>
            </w:pPr>
            <w:r w:rsidRPr="00AB7D1E">
              <w:rPr>
                <w:sz w:val="18"/>
                <w:szCs w:val="18"/>
                <w:lang w:val="en-US"/>
              </w:rPr>
              <w:t>Prior to issuing a location permit, the competent authority is obliged to provide to interested party insight to project documentation: by a public invitation displayed on the bulletin board of the competent authority or in person, depending on with how many properties project directly borders, on its web sites and on the property for which location permit is issued. The public invitation is deemed delivered after eight days from displaying the invitation on the bulletin board of the administrative body.</w:t>
            </w:r>
          </w:p>
        </w:tc>
      </w:tr>
      <w:tr w:rsidR="00201842" w:rsidRPr="00AB7D1E" w14:paraId="06C441E3"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20736A5D" w14:textId="77777777" w:rsidR="00201842" w:rsidRPr="00AB7D1E" w:rsidRDefault="00201842" w:rsidP="00201842">
            <w:pPr>
              <w:spacing w:after="0" w:line="240" w:lineRule="auto"/>
              <w:jc w:val="center"/>
              <w:rPr>
                <w:b/>
                <w:sz w:val="18"/>
                <w:szCs w:val="18"/>
                <w:lang w:val="en-US"/>
              </w:rPr>
            </w:pPr>
            <w:r w:rsidRPr="00AB7D1E">
              <w:rPr>
                <w:b/>
                <w:sz w:val="18"/>
                <w:szCs w:val="18"/>
                <w:lang w:val="en-US"/>
              </w:rPr>
              <w:t>BUILDING PERMIT</w:t>
            </w:r>
          </w:p>
        </w:tc>
      </w:tr>
      <w:tr w:rsidR="00201842" w:rsidRPr="00AB7D1E" w14:paraId="7B36FB5D"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05B9C" w14:textId="77777777" w:rsidR="00201842" w:rsidRPr="00AB7D1E" w:rsidRDefault="00201842" w:rsidP="00201842">
            <w:pPr>
              <w:spacing w:after="0" w:line="240" w:lineRule="auto"/>
              <w:rPr>
                <w:b/>
                <w:i/>
                <w:sz w:val="18"/>
                <w:szCs w:val="18"/>
                <w:lang w:val="en-US"/>
              </w:rPr>
            </w:pPr>
            <w:r w:rsidRPr="00AB7D1E">
              <w:rPr>
                <w:b/>
                <w:i/>
                <w:sz w:val="18"/>
                <w:szCs w:val="18"/>
                <w:lang w:val="en-US"/>
              </w:rPr>
              <w:t>a) Determination of special requirements</w:t>
            </w:r>
          </w:p>
          <w:p w14:paraId="1E6747B7" w14:textId="77777777" w:rsidR="00201842" w:rsidRPr="00AB7D1E" w:rsidRDefault="00201842" w:rsidP="00201842">
            <w:pPr>
              <w:spacing w:after="0" w:line="240" w:lineRule="auto"/>
              <w:rPr>
                <w:sz w:val="18"/>
                <w:szCs w:val="18"/>
                <w:lang w:val="en-US"/>
              </w:rPr>
            </w:pPr>
            <w:r w:rsidRPr="00AB7D1E">
              <w:rPr>
                <w:sz w:val="18"/>
                <w:szCs w:val="18"/>
                <w:lang w:val="en-US"/>
              </w:rPr>
              <w:t>For projects/interventions for which location permit is issued special requirements determined during that procedure are valid for building permitting procedure. For other projects/interventions determination of special requirements must be carried out during building permitting procedure.</w:t>
            </w:r>
          </w:p>
        </w:tc>
      </w:tr>
      <w:tr w:rsidR="00201842" w:rsidRPr="00AB7D1E" w14:paraId="1C09B6AA"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60E5B" w14:textId="77777777" w:rsidR="00201842" w:rsidRPr="00AB7D1E" w:rsidRDefault="00201842" w:rsidP="00201842">
            <w:pPr>
              <w:spacing w:after="0" w:line="240" w:lineRule="auto"/>
              <w:rPr>
                <w:b/>
                <w:i/>
                <w:sz w:val="18"/>
                <w:szCs w:val="18"/>
                <w:lang w:val="en-US"/>
              </w:rPr>
            </w:pPr>
            <w:r w:rsidRPr="00AB7D1E">
              <w:rPr>
                <w:b/>
                <w:i/>
                <w:sz w:val="18"/>
                <w:szCs w:val="18"/>
                <w:lang w:val="en-US"/>
              </w:rPr>
              <w:t>b) Main design certificate</w:t>
            </w:r>
          </w:p>
          <w:p w14:paraId="0B717E5F" w14:textId="77777777" w:rsidR="00201842" w:rsidRPr="00AB7D1E" w:rsidRDefault="00201842" w:rsidP="00201842">
            <w:pPr>
              <w:spacing w:after="0" w:line="240" w:lineRule="auto"/>
              <w:rPr>
                <w:sz w:val="18"/>
                <w:szCs w:val="18"/>
                <w:lang w:val="en-US"/>
              </w:rPr>
            </w:pPr>
            <w:r w:rsidRPr="00AB7D1E">
              <w:rPr>
                <w:sz w:val="18"/>
                <w:szCs w:val="18"/>
                <w:lang w:val="en-US"/>
              </w:rPr>
              <w:t>Main design certificate must be issued before initiating building permitting procedure. This certificate confirms that main design is prepared in line with special requirements defined by the location permit respectively with special requirements determined by competent public body.</w:t>
            </w:r>
          </w:p>
        </w:tc>
      </w:tr>
      <w:tr w:rsidR="00201842" w:rsidRPr="00AB7D1E" w14:paraId="1E0CF289"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15B6B" w14:textId="77777777" w:rsidR="00201842" w:rsidRPr="00AB7D1E" w:rsidRDefault="00201842" w:rsidP="00201842">
            <w:pPr>
              <w:spacing w:after="0" w:line="240" w:lineRule="auto"/>
              <w:rPr>
                <w:sz w:val="18"/>
                <w:szCs w:val="18"/>
                <w:lang w:val="en-US"/>
              </w:rPr>
            </w:pPr>
            <w:r w:rsidRPr="00AB7D1E">
              <w:rPr>
                <w:b/>
                <w:sz w:val="18"/>
                <w:szCs w:val="18"/>
                <w:lang w:val="en-US"/>
              </w:rPr>
              <w:t>c)</w:t>
            </w:r>
            <w:r w:rsidRPr="00AB7D1E">
              <w:rPr>
                <w:sz w:val="18"/>
                <w:szCs w:val="18"/>
                <w:lang w:val="en-US"/>
              </w:rPr>
              <w:t xml:space="preserve"> C</w:t>
            </w:r>
            <w:r w:rsidRPr="00AB7D1E">
              <w:rPr>
                <w:b/>
                <w:i/>
                <w:sz w:val="18"/>
                <w:szCs w:val="18"/>
                <w:lang w:val="en-US"/>
              </w:rPr>
              <w:t>ertificate that the main design was developed in accordance with the decision on the environmental acceptability of the project</w:t>
            </w:r>
          </w:p>
        </w:tc>
      </w:tr>
      <w:tr w:rsidR="00201842" w:rsidRPr="00AB7D1E" w14:paraId="10691D19"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435D" w14:textId="77777777" w:rsidR="00201842" w:rsidRPr="00AB7D1E" w:rsidRDefault="00201842" w:rsidP="00201842">
            <w:pPr>
              <w:spacing w:after="0" w:line="240" w:lineRule="auto"/>
              <w:rPr>
                <w:b/>
                <w:i/>
                <w:sz w:val="18"/>
                <w:szCs w:val="18"/>
                <w:lang w:val="en-US"/>
              </w:rPr>
            </w:pPr>
            <w:r w:rsidRPr="00AB7D1E">
              <w:rPr>
                <w:b/>
                <w:i/>
                <w:sz w:val="18"/>
                <w:szCs w:val="18"/>
                <w:lang w:val="en-US"/>
              </w:rPr>
              <w:t>d) Application for issuing building permit must include:</w:t>
            </w:r>
          </w:p>
          <w:p w14:paraId="1E423F92"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location permit (if project is subject to the issuing location permit),</w:t>
            </w:r>
          </w:p>
          <w:p w14:paraId="6E8D9662"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allotment study (if project is subject to the issuing location permit)</w:t>
            </w:r>
          </w:p>
          <w:p w14:paraId="48CF1F58"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main design in electronic format,</w:t>
            </w:r>
          </w:p>
          <w:p w14:paraId="4CF2429E"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print version of main design certified by the designer or main designer, in case that several of them participate in its preparation</w:t>
            </w:r>
          </w:p>
          <w:p w14:paraId="04F28477"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energy performance certificate of the building in electronic form, signed with an electronic signature</w:t>
            </w:r>
          </w:p>
          <w:p w14:paraId="66D06D45"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print version of energy performance certificate of the building certified by the designers and the main designer, in case that several of them participate in its preparation</w:t>
            </w:r>
          </w:p>
          <w:p w14:paraId="64FCD811"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written report on the performed main design audit, if the audit is prescribed,,</w:t>
            </w:r>
          </w:p>
          <w:p w14:paraId="52F9E282"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certificate on the main design validation, if the design has been developed according to foreign regulations,</w:t>
            </w:r>
          </w:p>
          <w:p w14:paraId="5773895D"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evidence of legal interest for the issuance of a building permit,</w:t>
            </w:r>
          </w:p>
          <w:p w14:paraId="0669A375"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certificates of public law bodies that the main design was developed in accordance with special requirement respectively special requirements defined by location permit,</w:t>
            </w:r>
          </w:p>
          <w:p w14:paraId="1DB07DD9"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certificate that the main design was developed in accordance with the decision on the environmental acceptability of the project,</w:t>
            </w:r>
          </w:p>
          <w:p w14:paraId="16D8A61B" w14:textId="77777777" w:rsidR="00201842" w:rsidRPr="00AB7D1E" w:rsidRDefault="00201842" w:rsidP="00201842">
            <w:pPr>
              <w:numPr>
                <w:ilvl w:val="0"/>
                <w:numId w:val="4"/>
              </w:numPr>
              <w:spacing w:after="0" w:line="240" w:lineRule="auto"/>
              <w:rPr>
                <w:sz w:val="18"/>
                <w:szCs w:val="18"/>
                <w:lang w:val="en-US"/>
              </w:rPr>
            </w:pPr>
            <w:r w:rsidRPr="00AB7D1E">
              <w:rPr>
                <w:sz w:val="18"/>
                <w:szCs w:val="18"/>
                <w:lang w:val="en-US"/>
              </w:rPr>
              <w:t>evidence that applicant may be the investor (concession, approval or other official act prescribed by a special regulation) in the case of a construction work for which a special act prescribes who the investor may be,</w:t>
            </w:r>
          </w:p>
        </w:tc>
      </w:tr>
      <w:tr w:rsidR="00201842" w:rsidRPr="00AB7D1E" w14:paraId="66A20927"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DFFE8" w14:textId="77777777" w:rsidR="00201842" w:rsidRPr="00AB7D1E" w:rsidRDefault="00201842" w:rsidP="00201842">
            <w:pPr>
              <w:spacing w:after="0" w:line="240" w:lineRule="auto"/>
              <w:rPr>
                <w:b/>
                <w:i/>
                <w:sz w:val="18"/>
                <w:szCs w:val="18"/>
                <w:lang w:val="en-US"/>
              </w:rPr>
            </w:pPr>
            <w:r w:rsidRPr="00AB7D1E">
              <w:rPr>
                <w:b/>
                <w:i/>
                <w:sz w:val="18"/>
                <w:szCs w:val="18"/>
                <w:lang w:val="en-US"/>
              </w:rPr>
              <w:t>Validity of the building permit</w:t>
            </w:r>
          </w:p>
          <w:p w14:paraId="019F2720" w14:textId="77777777" w:rsidR="00201842" w:rsidRPr="00AB7D1E" w:rsidRDefault="00201842" w:rsidP="00201842">
            <w:pPr>
              <w:numPr>
                <w:ilvl w:val="0"/>
                <w:numId w:val="5"/>
              </w:numPr>
              <w:spacing w:after="0" w:line="240" w:lineRule="auto"/>
              <w:rPr>
                <w:sz w:val="18"/>
                <w:szCs w:val="18"/>
                <w:lang w:val="en-US"/>
              </w:rPr>
            </w:pPr>
            <w:r w:rsidRPr="00AB7D1E">
              <w:rPr>
                <w:sz w:val="18"/>
                <w:szCs w:val="18"/>
                <w:lang w:val="en-US"/>
              </w:rPr>
              <w:lastRenderedPageBreak/>
              <w:t>A building permit shall cease to be valid if, within three years from the date it became, final and effective, the investor fails to commence construction</w:t>
            </w:r>
          </w:p>
          <w:p w14:paraId="51ACA0CF" w14:textId="77777777" w:rsidR="00201842" w:rsidRPr="00AB7D1E" w:rsidRDefault="00201842" w:rsidP="00201842">
            <w:pPr>
              <w:numPr>
                <w:ilvl w:val="0"/>
                <w:numId w:val="5"/>
              </w:numPr>
              <w:spacing w:after="0" w:line="240" w:lineRule="auto"/>
              <w:rPr>
                <w:sz w:val="18"/>
                <w:szCs w:val="18"/>
                <w:lang w:val="en-US"/>
              </w:rPr>
            </w:pPr>
            <w:r w:rsidRPr="00AB7D1E">
              <w:rPr>
                <w:sz w:val="18"/>
                <w:szCs w:val="18"/>
                <w:lang w:val="en-US"/>
              </w:rPr>
              <w:t>Validity can be extended once for three year period</w:t>
            </w:r>
          </w:p>
        </w:tc>
      </w:tr>
      <w:tr w:rsidR="00201842" w:rsidRPr="00AB7D1E" w14:paraId="39289B84"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60E4F" w14:textId="77777777" w:rsidR="00201842" w:rsidRPr="00AB7D1E" w:rsidRDefault="00201842" w:rsidP="00201842">
            <w:pPr>
              <w:spacing w:after="0" w:line="240" w:lineRule="auto"/>
              <w:rPr>
                <w:b/>
                <w:i/>
                <w:sz w:val="18"/>
                <w:szCs w:val="18"/>
                <w:lang w:val="en-US"/>
              </w:rPr>
            </w:pPr>
            <w:r w:rsidRPr="00AB7D1E">
              <w:rPr>
                <w:b/>
                <w:i/>
                <w:sz w:val="18"/>
                <w:szCs w:val="18"/>
                <w:lang w:val="en-US"/>
              </w:rPr>
              <w:t>Public participation</w:t>
            </w:r>
          </w:p>
          <w:p w14:paraId="279FD12E" w14:textId="77777777" w:rsidR="00201842" w:rsidRPr="00AB7D1E" w:rsidRDefault="00201842" w:rsidP="00201842">
            <w:pPr>
              <w:spacing w:after="0" w:line="240" w:lineRule="auto"/>
              <w:rPr>
                <w:lang w:val="en-US"/>
              </w:rPr>
            </w:pPr>
            <w:r w:rsidRPr="00AB7D1E">
              <w:rPr>
                <w:sz w:val="18"/>
                <w:szCs w:val="18"/>
                <w:lang w:val="en-US"/>
              </w:rPr>
              <w:t>See public participation for interventions for which location permit is required</w:t>
            </w:r>
          </w:p>
        </w:tc>
      </w:tr>
      <w:tr w:rsidR="00201842" w:rsidRPr="00AB7D1E" w14:paraId="4DC0D2FA"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65E2ED91" w14:textId="77777777" w:rsidR="00201842" w:rsidRPr="00AB7D1E" w:rsidRDefault="00201842" w:rsidP="00201842">
            <w:pPr>
              <w:spacing w:after="0" w:line="240" w:lineRule="auto"/>
              <w:jc w:val="center"/>
              <w:rPr>
                <w:b/>
                <w:sz w:val="18"/>
                <w:szCs w:val="18"/>
                <w:lang w:val="en-US"/>
              </w:rPr>
            </w:pPr>
            <w:r w:rsidRPr="00AB7D1E">
              <w:rPr>
                <w:b/>
                <w:sz w:val="18"/>
                <w:szCs w:val="18"/>
                <w:lang w:val="en-US"/>
              </w:rPr>
              <w:t>USE PERMIT</w:t>
            </w:r>
          </w:p>
        </w:tc>
      </w:tr>
      <w:tr w:rsidR="00201842" w:rsidRPr="00AB7D1E" w14:paraId="1F023A51"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AB1F5" w14:textId="77777777" w:rsidR="00201842" w:rsidRPr="00AB7D1E" w:rsidRDefault="00201842" w:rsidP="00201842">
            <w:pPr>
              <w:spacing w:after="0" w:line="240" w:lineRule="auto"/>
              <w:rPr>
                <w:b/>
                <w:i/>
                <w:sz w:val="18"/>
                <w:szCs w:val="18"/>
                <w:lang w:val="en-US"/>
              </w:rPr>
            </w:pPr>
            <w:r w:rsidRPr="00AB7D1E">
              <w:rPr>
                <w:b/>
                <w:i/>
                <w:sz w:val="18"/>
                <w:szCs w:val="18"/>
                <w:lang w:val="en-US"/>
              </w:rPr>
              <w:t>Application for issuing use permit must include:</w:t>
            </w:r>
          </w:p>
          <w:p w14:paraId="0D3A0ED9"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photocopy of the building permit or a copy of the main design for the construction work that may be built or works that may be carried out on the basis of the main design,</w:t>
            </w:r>
          </w:p>
          <w:p w14:paraId="075864A4"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information regarding the parties involved in the building,</w:t>
            </w:r>
          </w:p>
          <w:p w14:paraId="651997D4"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written statement of the contractor on works completed and the requirements for the maintenance of the construction work,</w:t>
            </w:r>
          </w:p>
          <w:p w14:paraId="21E29F52"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final report of the supervising engineer on the completion of the construction work,</w:t>
            </w:r>
          </w:p>
          <w:p w14:paraId="0E06D792"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statement of the authorized geodetic engineer that the construction work was built in accordance with the surveying design, if the construction work is subject to developing the surveying design,</w:t>
            </w:r>
          </w:p>
          <w:p w14:paraId="3788BA28"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 xml:space="preserve">geodetic survey of as-built situation or surveying study for entering the construction work in the </w:t>
            </w:r>
            <w:proofErr w:type="spellStart"/>
            <w:r w:rsidRPr="00AB7D1E">
              <w:rPr>
                <w:sz w:val="18"/>
                <w:szCs w:val="18"/>
                <w:lang w:val="en-US"/>
              </w:rPr>
              <w:t>cadastre</w:t>
            </w:r>
            <w:proofErr w:type="spellEnd"/>
            <w:r w:rsidRPr="00AB7D1E">
              <w:rPr>
                <w:sz w:val="18"/>
                <w:szCs w:val="18"/>
                <w:lang w:val="en-US"/>
              </w:rPr>
              <w:t xml:space="preserve"> or for change of information on buildings and other construction works, if the construction work is not subject to developing the surveying design, but it is to be entered in the </w:t>
            </w:r>
            <w:proofErr w:type="spellStart"/>
            <w:r w:rsidRPr="00AB7D1E">
              <w:rPr>
                <w:sz w:val="18"/>
                <w:szCs w:val="18"/>
                <w:lang w:val="en-US"/>
              </w:rPr>
              <w:t>cadastre</w:t>
            </w:r>
            <w:proofErr w:type="spellEnd"/>
            <w:r w:rsidRPr="00AB7D1E">
              <w:rPr>
                <w:sz w:val="18"/>
                <w:szCs w:val="18"/>
                <w:lang w:val="en-US"/>
              </w:rPr>
              <w:t>,</w:t>
            </w:r>
          </w:p>
          <w:p w14:paraId="135A5A44"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 xml:space="preserve">evidence that in </w:t>
            </w:r>
            <w:proofErr w:type="spellStart"/>
            <w:r w:rsidRPr="00AB7D1E">
              <w:rPr>
                <w:sz w:val="18"/>
                <w:szCs w:val="18"/>
                <w:lang w:val="en-US"/>
              </w:rPr>
              <w:t>cadastre</w:t>
            </w:r>
            <w:proofErr w:type="spellEnd"/>
            <w:r w:rsidRPr="00AB7D1E">
              <w:rPr>
                <w:sz w:val="18"/>
                <w:szCs w:val="18"/>
                <w:lang w:val="en-US"/>
              </w:rPr>
              <w:t xml:space="preserve"> building plot is formed (for construction for which by allotment study building plot is formed),</w:t>
            </w:r>
          </w:p>
          <w:p w14:paraId="0C458BFE" w14:textId="77777777" w:rsidR="00201842" w:rsidRPr="00AB7D1E" w:rsidRDefault="00201842" w:rsidP="00201842">
            <w:pPr>
              <w:numPr>
                <w:ilvl w:val="0"/>
                <w:numId w:val="6"/>
              </w:numPr>
              <w:spacing w:after="0" w:line="240" w:lineRule="auto"/>
              <w:rPr>
                <w:sz w:val="18"/>
                <w:szCs w:val="18"/>
                <w:lang w:val="en-US"/>
              </w:rPr>
            </w:pPr>
            <w:r w:rsidRPr="00AB7D1E">
              <w:rPr>
                <w:sz w:val="18"/>
                <w:szCs w:val="18"/>
                <w:lang w:val="en-US"/>
              </w:rPr>
              <w:t>energy certificate of the building, if the application is submitted for a building that must comply with the energy performance requirements.</w:t>
            </w:r>
          </w:p>
          <w:p w14:paraId="631845F8" w14:textId="77777777" w:rsidR="00201842" w:rsidRPr="00AB7D1E" w:rsidRDefault="00201842" w:rsidP="00201842">
            <w:pPr>
              <w:spacing w:after="0" w:line="240" w:lineRule="auto"/>
              <w:rPr>
                <w:sz w:val="18"/>
                <w:szCs w:val="18"/>
                <w:lang w:val="en-US"/>
              </w:rPr>
            </w:pPr>
            <w:r w:rsidRPr="00AB7D1E">
              <w:rPr>
                <w:sz w:val="18"/>
                <w:szCs w:val="18"/>
                <w:lang w:val="en-US"/>
              </w:rPr>
              <w:t>After final inspection during which and no faults were identified or were removed use permit is issued.</w:t>
            </w:r>
          </w:p>
          <w:p w14:paraId="35412BDD" w14:textId="77777777" w:rsidR="00201842" w:rsidRPr="00AB7D1E" w:rsidRDefault="00201842" w:rsidP="00201842">
            <w:pPr>
              <w:spacing w:after="0" w:line="240" w:lineRule="auto"/>
              <w:rPr>
                <w:sz w:val="18"/>
                <w:szCs w:val="18"/>
                <w:lang w:val="en-US"/>
              </w:rPr>
            </w:pPr>
            <w:r w:rsidRPr="00AB7D1E">
              <w:rPr>
                <w:sz w:val="18"/>
                <w:szCs w:val="18"/>
                <w:lang w:val="en-US"/>
              </w:rPr>
              <w:t>Other variants of use permit are:</w:t>
            </w:r>
          </w:p>
          <w:p w14:paraId="203C7EED" w14:textId="77777777" w:rsidR="00201842" w:rsidRPr="00AB7D1E" w:rsidRDefault="00201842" w:rsidP="00201842">
            <w:pPr>
              <w:spacing w:after="0" w:line="240" w:lineRule="auto"/>
              <w:rPr>
                <w:sz w:val="18"/>
                <w:szCs w:val="18"/>
                <w:lang w:val="en-US"/>
              </w:rPr>
            </w:pPr>
            <w:r w:rsidRPr="00AB7D1E">
              <w:rPr>
                <w:sz w:val="18"/>
                <w:szCs w:val="18"/>
                <w:lang w:val="en-US"/>
              </w:rPr>
              <w:t>a) temporary use permit - for the construction work when no final results concerning the assessment of compliance or the attestation of quality of certain parts of the construction work are available, but the final inspection established that the construction work has been built in conformity with the building permit</w:t>
            </w:r>
          </w:p>
          <w:p w14:paraId="4BDE0212" w14:textId="77777777" w:rsidR="00201842" w:rsidRPr="00AB7D1E" w:rsidRDefault="00201842" w:rsidP="00201842">
            <w:pPr>
              <w:spacing w:after="0" w:line="240" w:lineRule="auto"/>
              <w:rPr>
                <w:sz w:val="18"/>
                <w:szCs w:val="18"/>
                <w:lang w:val="en-US"/>
              </w:rPr>
            </w:pPr>
            <w:r w:rsidRPr="00AB7D1E">
              <w:rPr>
                <w:sz w:val="18"/>
                <w:szCs w:val="18"/>
                <w:lang w:val="en-US"/>
              </w:rPr>
              <w:t>b) use permit for a part of the construction work - may be issued before the completion of the whole construction work for a part of the construction work (must be provided in the main design)</w:t>
            </w:r>
          </w:p>
        </w:tc>
      </w:tr>
      <w:tr w:rsidR="00201842" w:rsidRPr="00AB7D1E" w14:paraId="69A9D3A3" w14:textId="77777777" w:rsidTr="00D60F92">
        <w:tc>
          <w:tcPr>
            <w:tcW w:w="13948" w:type="dxa"/>
            <w:tcBorders>
              <w:top w:val="single" w:sz="4" w:space="0" w:color="000000"/>
              <w:left w:val="single" w:sz="4" w:space="0" w:color="000000"/>
              <w:bottom w:val="single" w:sz="4" w:space="0" w:color="000000"/>
              <w:right w:val="single" w:sz="4" w:space="0" w:color="000000"/>
            </w:tcBorders>
            <w:shd w:val="clear" w:color="auto" w:fill="CEDBE6" w:themeFill="background2"/>
            <w:tcMar>
              <w:top w:w="0" w:type="dxa"/>
              <w:left w:w="108" w:type="dxa"/>
              <w:bottom w:w="0" w:type="dxa"/>
              <w:right w:w="108" w:type="dxa"/>
            </w:tcMar>
          </w:tcPr>
          <w:p w14:paraId="3383FDBC" w14:textId="77777777" w:rsidR="00201842" w:rsidRPr="00AB7D1E" w:rsidRDefault="00201842" w:rsidP="00201842">
            <w:pPr>
              <w:spacing w:after="0" w:line="240" w:lineRule="auto"/>
              <w:jc w:val="center"/>
              <w:rPr>
                <w:b/>
                <w:sz w:val="18"/>
                <w:szCs w:val="18"/>
                <w:lang w:val="en-US"/>
              </w:rPr>
            </w:pPr>
            <w:r w:rsidRPr="00AB7D1E">
              <w:rPr>
                <w:b/>
                <w:sz w:val="18"/>
                <w:szCs w:val="18"/>
                <w:lang w:val="en-US"/>
              </w:rPr>
              <w:t>REMOVAL OF CONSTRUCTION WORKS</w:t>
            </w:r>
          </w:p>
        </w:tc>
      </w:tr>
      <w:tr w:rsidR="00201842" w:rsidRPr="00AB7D1E" w14:paraId="38667DD2" w14:textId="77777777" w:rsidTr="00201842">
        <w:tc>
          <w:tcPr>
            <w:tcW w:w="13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8F2DA" w14:textId="77777777" w:rsidR="00201842" w:rsidRPr="00AB7D1E" w:rsidRDefault="00201842" w:rsidP="00201842">
            <w:pPr>
              <w:spacing w:after="0" w:line="240" w:lineRule="auto"/>
              <w:rPr>
                <w:sz w:val="18"/>
                <w:szCs w:val="18"/>
                <w:lang w:val="en-US"/>
              </w:rPr>
            </w:pPr>
            <w:r w:rsidRPr="00AB7D1E">
              <w:rPr>
                <w:sz w:val="18"/>
                <w:szCs w:val="18"/>
                <w:lang w:val="en-US"/>
              </w:rPr>
              <w:t>The removal of the construction work or any part thereof may be carried out on the basis of the removal design following submission of notification to the building control authority in the county.</w:t>
            </w:r>
          </w:p>
          <w:p w14:paraId="44F9587B" w14:textId="77777777" w:rsidR="00201842" w:rsidRPr="00AB7D1E" w:rsidRDefault="00201842" w:rsidP="00201842">
            <w:pPr>
              <w:spacing w:after="0" w:line="240" w:lineRule="auto"/>
              <w:rPr>
                <w:sz w:val="18"/>
                <w:szCs w:val="18"/>
                <w:lang w:val="en-US"/>
              </w:rPr>
            </w:pPr>
            <w:r w:rsidRPr="00AB7D1E">
              <w:rPr>
                <w:sz w:val="18"/>
                <w:szCs w:val="18"/>
                <w:lang w:val="en-US"/>
              </w:rPr>
              <w:t>Exceptionally removal design is not required for constructions defined by the Ordinance on simple and other construction works and works (OG 112/17, 34/18, 36/19) or if the removal of a construction work is carried out by the building inspection according to the decision on the removal of that construction work.</w:t>
            </w:r>
          </w:p>
          <w:p w14:paraId="2CC444DF" w14:textId="77777777" w:rsidR="00201842" w:rsidRPr="00AB7D1E" w:rsidRDefault="00201842" w:rsidP="00201842">
            <w:pPr>
              <w:spacing w:after="0" w:line="240" w:lineRule="auto"/>
              <w:rPr>
                <w:sz w:val="18"/>
                <w:szCs w:val="18"/>
                <w:lang w:val="en-US"/>
              </w:rPr>
            </w:pPr>
            <w:r w:rsidRPr="00AB7D1E">
              <w:rPr>
                <w:sz w:val="18"/>
                <w:szCs w:val="18"/>
                <w:lang w:val="en-US"/>
              </w:rPr>
              <w:t>In the notification of the commencement of works on the removal of the construction work, the owner must indicate:</w:t>
            </w:r>
          </w:p>
          <w:p w14:paraId="0092DEDB" w14:textId="77777777" w:rsidR="00201842" w:rsidRPr="00AB7D1E" w:rsidRDefault="00201842" w:rsidP="00201842">
            <w:pPr>
              <w:numPr>
                <w:ilvl w:val="0"/>
                <w:numId w:val="7"/>
              </w:numPr>
              <w:spacing w:after="0" w:line="240" w:lineRule="auto"/>
              <w:rPr>
                <w:sz w:val="18"/>
                <w:szCs w:val="18"/>
                <w:lang w:val="en-US"/>
              </w:rPr>
            </w:pPr>
            <w:r w:rsidRPr="00AB7D1E">
              <w:rPr>
                <w:sz w:val="18"/>
                <w:szCs w:val="18"/>
                <w:lang w:val="en-US"/>
              </w:rPr>
              <w:lastRenderedPageBreak/>
              <w:t>the designer of the removal design,</w:t>
            </w:r>
          </w:p>
          <w:p w14:paraId="1D7C21BF" w14:textId="77777777" w:rsidR="00201842" w:rsidRPr="00AB7D1E" w:rsidRDefault="00201842" w:rsidP="00201842">
            <w:pPr>
              <w:numPr>
                <w:ilvl w:val="0"/>
                <w:numId w:val="7"/>
              </w:numPr>
              <w:spacing w:after="0" w:line="240" w:lineRule="auto"/>
              <w:rPr>
                <w:sz w:val="18"/>
                <w:szCs w:val="18"/>
                <w:lang w:val="en-US"/>
              </w:rPr>
            </w:pPr>
            <w:r w:rsidRPr="00AB7D1E">
              <w:rPr>
                <w:sz w:val="18"/>
                <w:szCs w:val="18"/>
                <w:lang w:val="en-US"/>
              </w:rPr>
              <w:t>designations of that design,</w:t>
            </w:r>
          </w:p>
          <w:p w14:paraId="3E2759FB" w14:textId="77777777" w:rsidR="00201842" w:rsidRPr="00AB7D1E" w:rsidRDefault="00201842" w:rsidP="00201842">
            <w:pPr>
              <w:numPr>
                <w:ilvl w:val="0"/>
                <w:numId w:val="7"/>
              </w:numPr>
              <w:spacing w:after="0" w:line="240" w:lineRule="auto"/>
              <w:rPr>
                <w:sz w:val="18"/>
                <w:szCs w:val="18"/>
                <w:lang w:val="en-US"/>
              </w:rPr>
            </w:pPr>
            <w:r w:rsidRPr="00AB7D1E">
              <w:rPr>
                <w:sz w:val="18"/>
                <w:szCs w:val="18"/>
                <w:lang w:val="en-US"/>
              </w:rPr>
              <w:t>the contractor and the supervising engineer,</w:t>
            </w:r>
          </w:p>
          <w:p w14:paraId="06B3BD01" w14:textId="77777777" w:rsidR="00201842" w:rsidRPr="00AB7D1E" w:rsidRDefault="00201842" w:rsidP="00201842">
            <w:pPr>
              <w:numPr>
                <w:ilvl w:val="0"/>
                <w:numId w:val="7"/>
              </w:numPr>
              <w:spacing w:after="0" w:line="240" w:lineRule="auto"/>
              <w:rPr>
                <w:sz w:val="18"/>
                <w:szCs w:val="18"/>
                <w:lang w:val="en-US"/>
              </w:rPr>
            </w:pPr>
            <w:proofErr w:type="spellStart"/>
            <w:r w:rsidRPr="00AB7D1E">
              <w:rPr>
                <w:sz w:val="18"/>
                <w:szCs w:val="18"/>
                <w:lang w:val="en-US"/>
              </w:rPr>
              <w:t>authorisation</w:t>
            </w:r>
            <w:proofErr w:type="spellEnd"/>
            <w:r w:rsidRPr="00AB7D1E">
              <w:rPr>
                <w:sz w:val="18"/>
                <w:szCs w:val="18"/>
                <w:lang w:val="en-US"/>
              </w:rPr>
              <w:t xml:space="preserve"> of the Ministry of Culture (when the construction work intended for removal is registered in the Register of Cultural Heritage)</w:t>
            </w:r>
          </w:p>
        </w:tc>
      </w:tr>
    </w:tbl>
    <w:p w14:paraId="34A62954" w14:textId="77777777" w:rsidR="005B4CC2" w:rsidRDefault="005B4CC2" w:rsidP="005B4CC2">
      <w:pPr>
        <w:sectPr w:rsidR="005B4CC2" w:rsidSect="00674F73">
          <w:pgSz w:w="16838" w:h="11906" w:orient="landscape"/>
          <w:pgMar w:top="1440" w:right="1440" w:bottom="1440" w:left="1440" w:header="720" w:footer="720" w:gutter="0"/>
          <w:cols w:space="720"/>
        </w:sectPr>
      </w:pPr>
      <w:bookmarkStart w:id="241" w:name="_Ref51772502"/>
      <w:bookmarkStart w:id="242" w:name="_Hlk51538976"/>
    </w:p>
    <w:p w14:paraId="54A83AA6" w14:textId="076E91F1" w:rsidR="00B71C44" w:rsidRPr="00B71C44" w:rsidRDefault="007D4FEA" w:rsidP="007D4FEA">
      <w:pPr>
        <w:pStyle w:val="Heading1"/>
        <w:numPr>
          <w:ilvl w:val="0"/>
          <w:numId w:val="0"/>
        </w:numPr>
        <w:ind w:left="432" w:hanging="432"/>
        <w:rPr>
          <w:rFonts w:eastAsia="Times New Roman"/>
          <w:lang w:val="en-GB" w:eastAsia="hr-HR"/>
        </w:rPr>
      </w:pPr>
      <w:bookmarkStart w:id="243" w:name="_Ref56950030"/>
      <w:bookmarkStart w:id="244" w:name="_Toc56952324"/>
      <w:bookmarkStart w:id="245" w:name="_Toc56954089"/>
      <w:r>
        <w:lastRenderedPageBreak/>
        <w:t xml:space="preserve">ANNEX </w:t>
      </w:r>
      <w:fldSimple w:instr=" SEQ ANNEX \* ROMAN ">
        <w:r w:rsidR="007D1E1B">
          <w:rPr>
            <w:noProof/>
          </w:rPr>
          <w:t>VI</w:t>
        </w:r>
      </w:fldSimple>
      <w:bookmarkEnd w:id="243"/>
      <w:r w:rsidR="00B71C44" w:rsidRPr="00AB7D1E">
        <w:rPr>
          <w:lang w:val="en-US"/>
        </w:rPr>
        <w:t xml:space="preserve"> - </w:t>
      </w:r>
      <w:r w:rsidR="00B71C44" w:rsidRPr="00B71C44">
        <w:rPr>
          <w:rFonts w:eastAsia="Times New Roman"/>
          <w:lang w:val="en-GB" w:eastAsia="hr-HR"/>
        </w:rPr>
        <w:t>ANNEX III of the Technical Regulation for Building Structures (OG 17/17,75/20)</w:t>
      </w:r>
      <w:bookmarkEnd w:id="241"/>
      <w:bookmarkEnd w:id="244"/>
      <w:bookmarkEnd w:id="245"/>
    </w:p>
    <w:p w14:paraId="54DEDB47" w14:textId="77777777" w:rsidR="00B71C44" w:rsidRPr="00B71C44" w:rsidRDefault="00B71C44" w:rsidP="00B71C44">
      <w:pPr>
        <w:suppressAutoHyphens w:val="0"/>
        <w:autoSpaceDN/>
        <w:spacing w:before="103" w:after="0" w:line="240" w:lineRule="auto"/>
        <w:jc w:val="left"/>
        <w:rPr>
          <w:rFonts w:ascii="Calibri" w:eastAsia="Times New Roman" w:hAnsi="Calibri" w:cs="Calibri"/>
          <w:sz w:val="20"/>
          <w:szCs w:val="20"/>
          <w:lang w:val="en-GB" w:eastAsia="hr-HR"/>
        </w:rPr>
      </w:pPr>
      <w:r w:rsidRPr="00B71C44">
        <w:rPr>
          <w:rFonts w:ascii="Calibri" w:eastAsia="Times New Roman" w:hAnsi="Calibri" w:cs="Calibri"/>
          <w:sz w:val="20"/>
          <w:szCs w:val="20"/>
          <w:lang w:val="en-GB" w:eastAsia="hr-HR"/>
        </w:rPr>
        <w:t>LEVELS OF RECONSTRUCTION OF EARTHQUAKE BUILDING STRUCTURES IN RELATION TO MECHANICAL RESISTANCE AND STABILITY</w:t>
      </w:r>
    </w:p>
    <w:bookmarkEnd w:id="242"/>
    <w:p w14:paraId="048F1EFE" w14:textId="77777777" w:rsidR="00B71C44" w:rsidRPr="00B71C44" w:rsidRDefault="00B71C44" w:rsidP="00B71C44">
      <w:pPr>
        <w:suppressAutoHyphens w:val="0"/>
        <w:autoSpaceDN/>
        <w:spacing w:before="103" w:after="160" w:line="240" w:lineRule="auto"/>
        <w:jc w:val="left"/>
        <w:rPr>
          <w:rFonts w:ascii="Calibri" w:eastAsia="Times New Roman" w:hAnsi="Calibri" w:cs="Calibri"/>
          <w:color w:val="231F20"/>
          <w:sz w:val="20"/>
          <w:szCs w:val="20"/>
          <w:lang w:val="en-GB" w:eastAsia="hr-HR"/>
        </w:rPr>
      </w:pPr>
      <w:r w:rsidRPr="00B71C44">
        <w:rPr>
          <w:rFonts w:ascii="Calibri" w:eastAsia="Times New Roman" w:hAnsi="Calibri" w:cs="Calibri"/>
          <w:color w:val="231F20"/>
          <w:sz w:val="20"/>
          <w:szCs w:val="20"/>
          <w:lang w:val="en-GB" w:eastAsia="hr-HR"/>
        </w:rPr>
        <w:t xml:space="preserve">III.1. The area of the City of Zagreb, </w:t>
      </w:r>
      <w:proofErr w:type="spellStart"/>
      <w:r w:rsidRPr="00B71C44">
        <w:rPr>
          <w:rFonts w:ascii="Calibri" w:eastAsia="Times New Roman" w:hAnsi="Calibri" w:cs="Calibri"/>
          <w:color w:val="231F20"/>
          <w:sz w:val="20"/>
          <w:szCs w:val="20"/>
          <w:lang w:val="en-GB" w:eastAsia="hr-HR"/>
        </w:rPr>
        <w:t>Krapina-Zagorje</w:t>
      </w:r>
      <w:proofErr w:type="spellEnd"/>
      <w:r w:rsidRPr="00B71C44">
        <w:rPr>
          <w:rFonts w:ascii="Calibri" w:eastAsia="Times New Roman" w:hAnsi="Calibri" w:cs="Calibri"/>
          <w:color w:val="231F20"/>
          <w:sz w:val="20"/>
          <w:szCs w:val="20"/>
          <w:lang w:val="en-GB" w:eastAsia="hr-HR"/>
        </w:rPr>
        <w:t xml:space="preserve"> County and Zagreb County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9"/>
        <w:gridCol w:w="3142"/>
        <w:gridCol w:w="2977"/>
        <w:gridCol w:w="3827"/>
        <w:gridCol w:w="2613"/>
      </w:tblGrid>
      <w:tr w:rsidR="00B71C44" w:rsidRPr="00B71C44" w14:paraId="3E56E841" w14:textId="77777777" w:rsidTr="004C60D7">
        <w:trPr>
          <w:tblHeader/>
        </w:trPr>
        <w:tc>
          <w:tcPr>
            <w:tcW w:w="1389" w:type="dxa"/>
            <w:shd w:val="clear" w:color="auto" w:fill="CEDBE6" w:themeFill="background2"/>
            <w:tcMar>
              <w:top w:w="96" w:type="dxa"/>
              <w:left w:w="96" w:type="dxa"/>
              <w:bottom w:w="120" w:type="dxa"/>
              <w:right w:w="96" w:type="dxa"/>
            </w:tcMar>
            <w:vAlign w:val="center"/>
            <w:hideMark/>
          </w:tcPr>
          <w:p w14:paraId="2C9363DB"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Recovery level</w:t>
            </w:r>
          </w:p>
        </w:tc>
        <w:tc>
          <w:tcPr>
            <w:tcW w:w="3142" w:type="dxa"/>
            <w:shd w:val="clear" w:color="auto" w:fill="CEDBE6" w:themeFill="background2"/>
            <w:tcMar>
              <w:top w:w="96" w:type="dxa"/>
              <w:left w:w="96" w:type="dxa"/>
              <w:bottom w:w="120" w:type="dxa"/>
              <w:right w:w="96" w:type="dxa"/>
            </w:tcMar>
            <w:vAlign w:val="center"/>
            <w:hideMark/>
          </w:tcPr>
          <w:p w14:paraId="2D6A82C8"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Claim</w:t>
            </w:r>
          </w:p>
        </w:tc>
        <w:tc>
          <w:tcPr>
            <w:tcW w:w="2977" w:type="dxa"/>
            <w:shd w:val="clear" w:color="auto" w:fill="CEDBE6" w:themeFill="background2"/>
            <w:tcMar>
              <w:top w:w="96" w:type="dxa"/>
              <w:left w:w="96" w:type="dxa"/>
              <w:bottom w:w="120" w:type="dxa"/>
              <w:right w:w="96" w:type="dxa"/>
            </w:tcMar>
            <w:vAlign w:val="center"/>
            <w:hideMark/>
          </w:tcPr>
          <w:p w14:paraId="6A27EB4D"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Documentation</w:t>
            </w:r>
          </w:p>
        </w:tc>
        <w:tc>
          <w:tcPr>
            <w:tcW w:w="3827" w:type="dxa"/>
            <w:shd w:val="clear" w:color="auto" w:fill="CEDBE6" w:themeFill="background2"/>
            <w:tcMar>
              <w:top w:w="96" w:type="dxa"/>
              <w:left w:w="96" w:type="dxa"/>
              <w:bottom w:w="120" w:type="dxa"/>
              <w:right w:w="96" w:type="dxa"/>
            </w:tcMar>
            <w:vAlign w:val="center"/>
            <w:hideMark/>
          </w:tcPr>
          <w:p w14:paraId="187ACF1A"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Interventions and works</w:t>
            </w:r>
          </w:p>
        </w:tc>
        <w:tc>
          <w:tcPr>
            <w:tcW w:w="2613" w:type="dxa"/>
            <w:shd w:val="clear" w:color="auto" w:fill="CEDBE6" w:themeFill="background2"/>
            <w:tcMar>
              <w:top w:w="96" w:type="dxa"/>
              <w:left w:w="96" w:type="dxa"/>
              <w:bottom w:w="120" w:type="dxa"/>
              <w:right w:w="96" w:type="dxa"/>
            </w:tcMar>
            <w:vAlign w:val="center"/>
            <w:hideMark/>
          </w:tcPr>
          <w:p w14:paraId="3A67E207" w14:textId="77777777" w:rsidR="00B71C44" w:rsidRPr="00B71C44" w:rsidRDefault="00B71C44" w:rsidP="00B71C44">
            <w:pPr>
              <w:suppressAutoHyphens w:val="0"/>
              <w:autoSpaceDN/>
              <w:spacing w:before="0" w:after="0" w:line="240" w:lineRule="auto"/>
              <w:jc w:val="center"/>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Categories of buildings</w:t>
            </w:r>
          </w:p>
        </w:tc>
      </w:tr>
      <w:tr w:rsidR="00B71C44" w:rsidRPr="00B71C44" w14:paraId="5DDF518A" w14:textId="77777777" w:rsidTr="002A4473">
        <w:tc>
          <w:tcPr>
            <w:tcW w:w="1389" w:type="dxa"/>
            <w:tcMar>
              <w:top w:w="96" w:type="dxa"/>
              <w:left w:w="96" w:type="dxa"/>
              <w:bottom w:w="120" w:type="dxa"/>
              <w:right w:w="96" w:type="dxa"/>
            </w:tcMar>
            <w:vAlign w:val="center"/>
            <w:hideMark/>
          </w:tcPr>
          <w:p w14:paraId="2718EAEB"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Level 1: Repair of non-structural elements</w:t>
            </w:r>
          </w:p>
        </w:tc>
        <w:tc>
          <w:tcPr>
            <w:tcW w:w="3142" w:type="dxa"/>
            <w:tcMar>
              <w:top w:w="96" w:type="dxa"/>
              <w:left w:w="96" w:type="dxa"/>
              <w:bottom w:w="120" w:type="dxa"/>
              <w:right w:w="96" w:type="dxa"/>
            </w:tcMar>
            <w:vAlign w:val="center"/>
            <w:hideMark/>
          </w:tcPr>
          <w:p w14:paraId="01F9030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Bring non-structural elements to the level of local load-bearing capacity and stability, by repairing or replacing a damaged non-structural element.</w:t>
            </w:r>
          </w:p>
          <w:p w14:paraId="48F5EC3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1D7427E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example, rebuilt damaged chimneys and loft walls should have local load-bearing capacity and stability in relation to seismic performance.</w:t>
            </w:r>
          </w:p>
          <w:p w14:paraId="0C2B36DD"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70E4786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Eliminate immediate hazards caused by non-structural elements of the building and / or secure the building from further degradation from natural influences (rain, snow, wind).</w:t>
            </w:r>
          </w:p>
          <w:p w14:paraId="07EAEEA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5AD1D57B"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The seismic resistance of the building as a whole, is not considered by repairing within Level 1. </w:t>
            </w:r>
          </w:p>
        </w:tc>
        <w:tc>
          <w:tcPr>
            <w:tcW w:w="2977" w:type="dxa"/>
            <w:tcMar>
              <w:top w:w="96" w:type="dxa"/>
              <w:left w:w="96" w:type="dxa"/>
              <w:bottom w:w="120" w:type="dxa"/>
              <w:right w:w="96" w:type="dxa"/>
            </w:tcMar>
            <w:vAlign w:val="center"/>
            <w:hideMark/>
          </w:tcPr>
          <w:p w14:paraId="3EF7A99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The works are performed according to this Annex, </w:t>
            </w:r>
            <w:proofErr w:type="spellStart"/>
            <w:r w:rsidRPr="00B71C44">
              <w:rPr>
                <w:rFonts w:ascii="Calibri" w:eastAsia="Times New Roman" w:hAnsi="Calibri" w:cs="Calibri"/>
                <w:sz w:val="18"/>
                <w:szCs w:val="18"/>
                <w:lang w:val="en-GB" w:eastAsia="hr-HR"/>
              </w:rPr>
              <w:t>ie</w:t>
            </w:r>
            <w:proofErr w:type="spellEnd"/>
            <w:r w:rsidRPr="00B71C44">
              <w:rPr>
                <w:rFonts w:ascii="Calibri" w:eastAsia="Times New Roman" w:hAnsi="Calibri" w:cs="Calibri"/>
                <w:sz w:val="18"/>
                <w:szCs w:val="18"/>
                <w:lang w:val="en-GB" w:eastAsia="hr-HR"/>
              </w:rPr>
              <w:t xml:space="preserve"> without a construction project - project of the building structure.</w:t>
            </w:r>
          </w:p>
          <w:p w14:paraId="3E322B3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5B0FEFA"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For the implementation of the repair of non-structural elements of the building, it is necessary to prepare a study on the repairing of non-structural elements. </w:t>
            </w:r>
          </w:p>
          <w:p w14:paraId="12328B6C"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(study) contains graphic attachments, necessary calculations, sketches of details of technical solutions, photographs, technical and other descriptions.</w:t>
            </w:r>
          </w:p>
        </w:tc>
        <w:tc>
          <w:tcPr>
            <w:tcW w:w="3827" w:type="dxa"/>
            <w:tcMar>
              <w:top w:w="96" w:type="dxa"/>
              <w:left w:w="96" w:type="dxa"/>
              <w:bottom w:w="120" w:type="dxa"/>
              <w:right w:w="96" w:type="dxa"/>
            </w:tcMar>
            <w:vAlign w:val="center"/>
            <w:hideMark/>
          </w:tcPr>
          <w:p w14:paraId="381B7677"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non-structural elements includes the execution of construction and construction-craft works (if applicable):</w:t>
            </w:r>
          </w:p>
          <w:p w14:paraId="109C90F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6172367C"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or removal and re-construction/construction of damaged chimneys, roof cornices and parapets, balcony fence walls¸</w:t>
            </w:r>
          </w:p>
          <w:p w14:paraId="75A11C51"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 repair or removal and re-construction/construction of parts of gable walls in the loft / attic</w:t>
            </w:r>
          </w:p>
          <w:p w14:paraId="40C8577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partial or complete remodelling of non-load-bearing (partition) walls with material of the same or smaller mass</w:t>
            </w:r>
          </w:p>
          <w:p w14:paraId="60D17794"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 roof repair (local replacement of horns, battens, principal rafters)</w:t>
            </w:r>
          </w:p>
          <w:p w14:paraId="5EE55DC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replacement of cover parts (roof tiles, ridge tiles)</w:t>
            </w:r>
          </w:p>
          <w:p w14:paraId="204C770A"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cracks in non-structural elements</w:t>
            </w:r>
          </w:p>
          <w:p w14:paraId="307F6DE3"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or replacement of parts of roof sheet metals, roof penetrations, repair of roof insulation, etc.</w:t>
            </w:r>
          </w:p>
          <w:p w14:paraId="23A75A3C"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other similar measures.</w:t>
            </w:r>
          </w:p>
        </w:tc>
        <w:tc>
          <w:tcPr>
            <w:tcW w:w="2613" w:type="dxa"/>
            <w:tcMar>
              <w:top w:w="96" w:type="dxa"/>
              <w:left w:w="96" w:type="dxa"/>
              <w:bottom w:w="120" w:type="dxa"/>
              <w:right w:w="96" w:type="dxa"/>
            </w:tcMar>
            <w:vAlign w:val="center"/>
            <w:hideMark/>
          </w:tcPr>
          <w:p w14:paraId="663D6F2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all buildings</w:t>
            </w:r>
          </w:p>
        </w:tc>
      </w:tr>
      <w:tr w:rsidR="00B71C44" w:rsidRPr="00B71C44" w14:paraId="6E4D6061" w14:textId="77777777" w:rsidTr="002A4473">
        <w:tc>
          <w:tcPr>
            <w:tcW w:w="1389" w:type="dxa"/>
            <w:tcMar>
              <w:top w:w="96" w:type="dxa"/>
              <w:left w:w="96" w:type="dxa"/>
              <w:bottom w:w="120" w:type="dxa"/>
              <w:right w:w="96" w:type="dxa"/>
            </w:tcMar>
            <w:vAlign w:val="center"/>
            <w:hideMark/>
          </w:tcPr>
          <w:p w14:paraId="5B47F173"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Level 2: Repair of the construction</w:t>
            </w:r>
          </w:p>
        </w:tc>
        <w:tc>
          <w:tcPr>
            <w:tcW w:w="3142" w:type="dxa"/>
            <w:tcMar>
              <w:top w:w="96" w:type="dxa"/>
              <w:left w:w="96" w:type="dxa"/>
              <w:bottom w:w="120" w:type="dxa"/>
              <w:right w:w="96" w:type="dxa"/>
            </w:tcMar>
            <w:vAlign w:val="center"/>
            <w:hideMark/>
          </w:tcPr>
          <w:p w14:paraId="7206AC3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earthquake-damaged building structure with reinforcements that achieve mechanical resistance and stability of the building to seismic performance for a comparative probability of exceeding 10% in 10 years (return period of 95 years) for the limit state of significant damage.</w:t>
            </w:r>
          </w:p>
          <w:p w14:paraId="0509488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502FD31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buildings for which the achievement of mechanical resistance and stability of the building to seismic performance for a comparative probability of exceeding 10% in 10 years would disturbed their properties, protected by a special law, or the investment would be disproportionate to its value, repair of earthquake damaged building structure is allowed with the reinforcement and application of methods that do not significantly interfere with the technical properties of the building being renovated, and which (except locally) do not significantly change the overall rigidity of the structure and the mass of the building.</w:t>
            </w:r>
          </w:p>
          <w:p w14:paraId="55C1B261"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02E526B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Exceptions are structural systems of buildings where the seismic resistance in one direction is significantly lower than in the other, so the local addition of new load-bearing elements is allowed.</w:t>
            </w:r>
          </w:p>
          <w:p w14:paraId="2C0A9DB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E510C3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building construction includes:</w:t>
            </w:r>
          </w:p>
          <w:p w14:paraId="764D595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1069388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connecting individual structural elements to make building behave globally as a whole in the next earthquake and to delay the occurrence of local failure mechanisms and / or out-of-plane failure mechanisms,</w:t>
            </w:r>
          </w:p>
          <w:p w14:paraId="2FAA1EF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C72724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reinforcement of critical elements and elements damaged in the earthquake.</w:t>
            </w:r>
          </w:p>
        </w:tc>
        <w:tc>
          <w:tcPr>
            <w:tcW w:w="2977" w:type="dxa"/>
            <w:tcMar>
              <w:top w:w="96" w:type="dxa"/>
              <w:left w:w="96" w:type="dxa"/>
              <w:bottom w:w="120" w:type="dxa"/>
              <w:right w:w="96" w:type="dxa"/>
            </w:tcMar>
            <w:vAlign w:val="center"/>
            <w:hideMark/>
          </w:tcPr>
          <w:p w14:paraId="3D96B60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A construction project should be prepared - a project for the repair of the building structure, whereby the calculation of seismic performance is carried out for a comparative probability of exceeding 10% in 10 years (return period of 95 years) for the limit state of significant damage.</w:t>
            </w:r>
          </w:p>
          <w:p w14:paraId="59D2192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6C1B317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Within assessment of the seismic resistance of the building, which is an integral part of the construction project, the ratio of the calculated seismic resistance of the structure and seismic resistance is expressed according to the series HRN EN 1998 and the corresponding national annexes.</w:t>
            </w:r>
          </w:p>
          <w:p w14:paraId="6A44EB8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710CA9D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To carry out the repair of an earthquake-damaged building structure, it is necessary to make:</w:t>
            </w:r>
          </w:p>
          <w:p w14:paraId="0DDC19AA"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study on the assessment of the existing condition of the building structure, with the implementation of a detailed inspection (visual inspection, collection of existing documentation and, if necessary, investigative works)</w:t>
            </w:r>
          </w:p>
          <w:p w14:paraId="4FD134BF"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7E160C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construction project - a project for the repair of the building structure that includes proof of mechanical resistance and stability which includes solutions for the implementation of the planned reinforcements with the development of details and technical elaboration of the solution</w:t>
            </w:r>
          </w:p>
          <w:p w14:paraId="0C4965AB"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project controls in accordance with a special regulation which stipulates project control</w:t>
            </w:r>
          </w:p>
          <w:p w14:paraId="76CE024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development of the project by other specialists (if necessary).</w:t>
            </w:r>
          </w:p>
        </w:tc>
        <w:tc>
          <w:tcPr>
            <w:tcW w:w="3827" w:type="dxa"/>
            <w:tcMar>
              <w:top w:w="96" w:type="dxa"/>
              <w:left w:w="96" w:type="dxa"/>
              <w:bottom w:w="120" w:type="dxa"/>
              <w:right w:w="96" w:type="dxa"/>
            </w:tcMar>
            <w:vAlign w:val="center"/>
            <w:hideMark/>
          </w:tcPr>
          <w:p w14:paraId="583A174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Repair of the building structure includes the possibility of carrying out the following construction works:</w:t>
            </w:r>
          </w:p>
          <w:p w14:paraId="479B4B78"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of larger cracks in load-bearing walls</w:t>
            </w:r>
          </w:p>
          <w:p w14:paraId="2BAB042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more comprehensive roof repairs</w:t>
            </w:r>
          </w:p>
          <w:p w14:paraId="5ACBF40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stair repair</w:t>
            </w:r>
          </w:p>
          <w:p w14:paraId="5D5EC8C0"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and connection of walls</w:t>
            </w:r>
          </w:p>
          <w:p w14:paraId="18485DC5"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repair of structures between floors (beams, bearings, flooring joints, etc.) and anchoring to the walls</w:t>
            </w:r>
          </w:p>
          <w:p w14:paraId="2B421740"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measures for stabilization of unsupported walls</w:t>
            </w:r>
          </w:p>
          <w:p w14:paraId="2182AD12"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replacement of chimneys with the replacement of the atmospheric heating device with a condensing one.</w:t>
            </w:r>
          </w:p>
          <w:p w14:paraId="2D365592"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187D873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implementation of these interventions includes the execution of the following construction works:</w:t>
            </w:r>
          </w:p>
          <w:p w14:paraId="22B87C1B"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 local connection of load-bearing walls</w:t>
            </w:r>
          </w:p>
          <w:p w14:paraId="1A7DE3B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execution of reinforced plaster on individual walls</w:t>
            </w:r>
          </w:p>
          <w:p w14:paraId="6A95970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installation of anchors for interconnection of floor structures and load-bearing walls and partitions with load-bearing walls</w:t>
            </w:r>
          </w:p>
          <w:p w14:paraId="07CFE68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reinforcement of floor beams and board formwork with the aim of achieving a partially rigid diaphragm and acceptance of that diaphragm for the perimeter walls</w:t>
            </w:r>
          </w:p>
          <w:p w14:paraId="4DCC5E21"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local bias input</w:t>
            </w:r>
          </w:p>
          <w:p w14:paraId="3443E69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local reinforcement of walls with FRP (</w:t>
            </w:r>
            <w:proofErr w:type="spellStart"/>
            <w:r w:rsidRPr="00B71C44">
              <w:rPr>
                <w:rFonts w:ascii="Calibri" w:eastAsia="Times New Roman" w:hAnsi="Calibri" w:cs="Calibri"/>
                <w:sz w:val="18"/>
                <w:szCs w:val="18"/>
                <w:lang w:val="en-GB" w:eastAsia="hr-HR"/>
              </w:rPr>
              <w:t>Fiber</w:t>
            </w:r>
            <w:proofErr w:type="spellEnd"/>
            <w:r w:rsidRPr="00B71C44">
              <w:rPr>
                <w:rFonts w:ascii="Calibri" w:eastAsia="Times New Roman" w:hAnsi="Calibri" w:cs="Calibri"/>
                <w:sz w:val="18"/>
                <w:szCs w:val="18"/>
                <w:lang w:val="en-GB" w:eastAsia="hr-HR"/>
              </w:rPr>
              <w:t xml:space="preserve"> Reinforced Polymer), fiberglass nets, etc.</w:t>
            </w:r>
          </w:p>
          <w:p w14:paraId="2BF1F71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local remodelling of load-bearing walls, partial or complete remodelling of non-load-bearing (partition) walls with material of the same or less specific weight</w:t>
            </w:r>
          </w:p>
          <w:p w14:paraId="7CA0E4B9"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execution of horizontal AB beams on roof parapets, cantilever walls and gable walls</w:t>
            </w:r>
          </w:p>
          <w:p w14:paraId="43739653"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local addition of new load-bearing elements if a significant lack of walls in one direction is found</w:t>
            </w:r>
          </w:p>
          <w:p w14:paraId="445AD794"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for buildings for which an exception is allowed, other works which contribute to the increase of seismic resistance of the building </w:t>
            </w:r>
            <w:r w:rsidRPr="00B71C44">
              <w:rPr>
                <w:rFonts w:ascii="Calibri" w:eastAsia="Times New Roman" w:hAnsi="Calibri" w:cs="Calibri"/>
                <w:sz w:val="18"/>
                <w:szCs w:val="18"/>
                <w:lang w:val="en-GB" w:eastAsia="hr-HR"/>
              </w:rPr>
              <w:lastRenderedPageBreak/>
              <w:t>structure, but do not significantly increase the stiffness and mass of the original structure</w:t>
            </w:r>
          </w:p>
          <w:p w14:paraId="6C0D120B"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other measures of similar scope according to the designer's recommendation.</w:t>
            </w:r>
          </w:p>
          <w:p w14:paraId="4C7A229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048CBDD1"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Building repair works from Level 2, if acceptable, include works from Level 1.</w:t>
            </w:r>
          </w:p>
          <w:p w14:paraId="265AA3B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Works of repairing of the building structure from Level 2 should be performed in such a way that allow easy reinforcement building structure from the Level 3.</w:t>
            </w:r>
          </w:p>
        </w:tc>
        <w:tc>
          <w:tcPr>
            <w:tcW w:w="2613" w:type="dxa"/>
            <w:tcMar>
              <w:top w:w="96" w:type="dxa"/>
              <w:left w:w="96" w:type="dxa"/>
              <w:bottom w:w="120" w:type="dxa"/>
              <w:right w:w="96" w:type="dxa"/>
            </w:tcMar>
            <w:vAlign w:val="center"/>
            <w:hideMark/>
          </w:tcPr>
          <w:p w14:paraId="7E466994"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residential buildings, commercial and residential-commercial buildings and public buildings with medium consequences of collapse, that were slightly damaged in the earthquake</w:t>
            </w:r>
          </w:p>
        </w:tc>
      </w:tr>
      <w:tr w:rsidR="00B71C44" w:rsidRPr="00B71C44" w14:paraId="00C8ED2F" w14:textId="77777777" w:rsidTr="002A4473">
        <w:tc>
          <w:tcPr>
            <w:tcW w:w="1389" w:type="dxa"/>
            <w:tcMar>
              <w:top w:w="96" w:type="dxa"/>
              <w:left w:w="96" w:type="dxa"/>
              <w:bottom w:w="120" w:type="dxa"/>
              <w:right w:w="96" w:type="dxa"/>
            </w:tcMar>
            <w:vAlign w:val="center"/>
            <w:hideMark/>
          </w:tcPr>
          <w:p w14:paraId="29774EC5"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lastRenderedPageBreak/>
              <w:t>Level 3: Construction reinforcement</w:t>
            </w:r>
          </w:p>
        </w:tc>
        <w:tc>
          <w:tcPr>
            <w:tcW w:w="3142" w:type="dxa"/>
            <w:tcMar>
              <w:top w:w="96" w:type="dxa"/>
              <w:left w:w="96" w:type="dxa"/>
              <w:bottom w:w="120" w:type="dxa"/>
              <w:right w:w="96" w:type="dxa"/>
            </w:tcMar>
            <w:vAlign w:val="center"/>
            <w:hideMark/>
          </w:tcPr>
          <w:p w14:paraId="611593D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Improvement (reconstruction) with the aim of bringing the building structure to a state of improved load-bearing capacity.</w:t>
            </w:r>
          </w:p>
          <w:p w14:paraId="13D5626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Reinforcement of earthquake-damaged building structure with the application of methods that increase the mechanical resistance and stability of the building in relation to seismic performance for a comparative probability of exceeding 20% in 50 years (return period 225 years) for the limit state of significant damage.</w:t>
            </w:r>
          </w:p>
        </w:tc>
        <w:tc>
          <w:tcPr>
            <w:tcW w:w="2977" w:type="dxa"/>
            <w:tcMar>
              <w:top w:w="96" w:type="dxa"/>
              <w:left w:w="96" w:type="dxa"/>
              <w:bottom w:w="120" w:type="dxa"/>
              <w:right w:w="96" w:type="dxa"/>
            </w:tcMar>
            <w:vAlign w:val="center"/>
            <w:hideMark/>
          </w:tcPr>
          <w:p w14:paraId="7C2C7482"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A construction project should be prepared - a project to strengthen the building structure, whereby the calculation of seismic performance is carried out for a comparative probability of exceeding 20% in 50 years (return period 225 years) for the limit state of significant damage.</w:t>
            </w:r>
          </w:p>
          <w:p w14:paraId="507EABCB"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26915B4C"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Within the assessment of the seismic resistance of the building, which is an integral part of the construction project, the ratio of the calculated seismic resistance of the structure and seismic resistance is expressed according to the series HRN EN 1998 and the corresponding national annexes.</w:t>
            </w:r>
          </w:p>
          <w:p w14:paraId="3168303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050DFA3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the implementation of the reinforcement of the earthquake-damaged building structure, it is necessary to make:</w:t>
            </w:r>
          </w:p>
          <w:p w14:paraId="0444896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study on the assessment of the existing condition of the building structure with the implementation of a detailed inspection (visual inspection, collection of existing documentation and, if necessary, investigative works)</w:t>
            </w:r>
          </w:p>
          <w:p w14:paraId="54577567"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construction project - project of reinforcement of the building structure, which includes proof of mechanical resistance and stability which includes solutions for the implementation of the planned reinforcements with the development of details and technical elaboration of the solution</w:t>
            </w:r>
          </w:p>
          <w:p w14:paraId="3A3FD37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project controls in accordance with a special regulation which stipulates project control</w:t>
            </w:r>
          </w:p>
          <w:p w14:paraId="3DA0A7B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development of the project by other specialists (if necessary).</w:t>
            </w:r>
          </w:p>
        </w:tc>
        <w:tc>
          <w:tcPr>
            <w:tcW w:w="3827" w:type="dxa"/>
            <w:tcMar>
              <w:top w:w="96" w:type="dxa"/>
              <w:left w:w="96" w:type="dxa"/>
              <w:bottom w:w="120" w:type="dxa"/>
              <w:right w:w="96" w:type="dxa"/>
            </w:tcMar>
            <w:vAlign w:val="center"/>
            <w:hideMark/>
          </w:tcPr>
          <w:p w14:paraId="574FF53F"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Reinforcement of the earthquake-damaged building structure includes the possibility of carrying out the following construction works:</w:t>
            </w:r>
          </w:p>
          <w:p w14:paraId="318047D5"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reinforcements of load-bearing walls (injections, grouting, remodelling, FRP (</w:t>
            </w:r>
            <w:proofErr w:type="spellStart"/>
            <w:r w:rsidRPr="00B71C44">
              <w:rPr>
                <w:rFonts w:ascii="Calibri" w:eastAsia="Times New Roman" w:hAnsi="Calibri" w:cs="Calibri"/>
                <w:sz w:val="18"/>
                <w:szCs w:val="18"/>
                <w:lang w:val="en-GB" w:eastAsia="hr-HR"/>
              </w:rPr>
              <w:t>Fiber</w:t>
            </w:r>
            <w:proofErr w:type="spellEnd"/>
            <w:r w:rsidRPr="00B71C44">
              <w:rPr>
                <w:rFonts w:ascii="Calibri" w:eastAsia="Times New Roman" w:hAnsi="Calibri" w:cs="Calibri"/>
                <w:sz w:val="18"/>
                <w:szCs w:val="18"/>
                <w:lang w:val="en-GB" w:eastAsia="hr-HR"/>
              </w:rPr>
              <w:t xml:space="preserve"> Reinforced Polymer), fiberglass nets anchored with GFRP (Glass </w:t>
            </w:r>
            <w:proofErr w:type="spellStart"/>
            <w:r w:rsidRPr="00B71C44">
              <w:rPr>
                <w:rFonts w:ascii="Calibri" w:eastAsia="Times New Roman" w:hAnsi="Calibri" w:cs="Calibri"/>
                <w:sz w:val="18"/>
                <w:szCs w:val="18"/>
                <w:lang w:val="en-GB" w:eastAsia="hr-HR"/>
              </w:rPr>
              <w:t>Fiber</w:t>
            </w:r>
            <w:proofErr w:type="spellEnd"/>
            <w:r w:rsidRPr="00B71C44">
              <w:rPr>
                <w:rFonts w:ascii="Calibri" w:eastAsia="Times New Roman" w:hAnsi="Calibri" w:cs="Calibri"/>
                <w:sz w:val="18"/>
                <w:szCs w:val="18"/>
                <w:lang w:val="en-GB" w:eastAsia="hr-HR"/>
              </w:rPr>
              <w:t xml:space="preserve"> Reinforced Polymer) anchors, </w:t>
            </w:r>
            <w:proofErr w:type="spellStart"/>
            <w:r w:rsidRPr="00B71C44">
              <w:rPr>
                <w:rFonts w:ascii="Calibri" w:eastAsia="Times New Roman" w:hAnsi="Calibri" w:cs="Calibri"/>
                <w:sz w:val="18"/>
                <w:szCs w:val="18"/>
                <w:lang w:val="en-GB" w:eastAsia="hr-HR"/>
              </w:rPr>
              <w:t>shotcreting</w:t>
            </w:r>
            <w:proofErr w:type="spellEnd"/>
            <w:r w:rsidRPr="00B71C44">
              <w:rPr>
                <w:rFonts w:ascii="Calibri" w:eastAsia="Times New Roman" w:hAnsi="Calibri" w:cs="Calibri"/>
                <w:sz w:val="18"/>
                <w:szCs w:val="18"/>
                <w:lang w:val="en-GB" w:eastAsia="hr-HR"/>
              </w:rPr>
              <w:t>)</w:t>
            </w:r>
          </w:p>
          <w:p w14:paraId="215076F8"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reinforcement or construction of new floor structures and roofs with prescribed anchoring in the walls</w:t>
            </w:r>
          </w:p>
          <w:p w14:paraId="26F0D19A"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repair and / or construction of new stair treads and landings</w:t>
            </w:r>
          </w:p>
          <w:p w14:paraId="7FA5BBA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construction of new (additional) rigid load-bearing walls (in place of partitions or in new positions)</w:t>
            </w:r>
          </w:p>
          <w:p w14:paraId="141E385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foundation reinforcement</w:t>
            </w:r>
          </w:p>
          <w:p w14:paraId="66651123"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execution of new vertical and horizontal beams (complete indented into the load-bearing structure of the wall should be avoided)</w:t>
            </w:r>
          </w:p>
          <w:p w14:paraId="4E4F653F"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other interventions that strengthen the earthquake-damaged building structure, and are necessary to achieve mechanical </w:t>
            </w:r>
            <w:r w:rsidRPr="00B71C44">
              <w:rPr>
                <w:rFonts w:ascii="Calibri" w:eastAsia="Times New Roman" w:hAnsi="Calibri" w:cs="Calibri"/>
                <w:sz w:val="18"/>
                <w:szCs w:val="18"/>
                <w:lang w:val="en-GB" w:eastAsia="hr-HR"/>
              </w:rPr>
              <w:lastRenderedPageBreak/>
              <w:t>resistance and stability of the building to seismic performance for a comparative probability of exceeding 20% in 50 years (return period 225 years) for the limit state of significant damage.</w:t>
            </w:r>
          </w:p>
          <w:p w14:paraId="56EC138D"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9B6F71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implementation of the above interventions includes the execution of following construction works (if applicable):</w:t>
            </w:r>
          </w:p>
          <w:p w14:paraId="3B330D2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08C16B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from Level 1 and / or 2, to the extent and scope of appropriate reinforcement of the earthquake damaged building structure to achieve mechanical resistance and stability of the building to seismic performance for a comparative probability of exceeding 20% in 50 years (return period 225 years) for the limit state significant damage</w:t>
            </w:r>
          </w:p>
          <w:p w14:paraId="09502EE5"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other works required for the implementation of construction works provided for in Level 3.</w:t>
            </w:r>
          </w:p>
          <w:p w14:paraId="6423B472"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p>
          <w:p w14:paraId="48CE6E87" w14:textId="77777777" w:rsidR="00B71C44" w:rsidRPr="00B71C44" w:rsidRDefault="00B71C44" w:rsidP="00B71C44">
            <w:pPr>
              <w:suppressAutoHyphens w:val="0"/>
              <w:autoSpaceDN/>
              <w:spacing w:before="0" w:after="0" w:line="240" w:lineRule="auto"/>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The works from Level 3 assume that the works from Level 2 can be continued, although the building construction can be immediately strengthened to Level 3 with the stated interventions.</w:t>
            </w:r>
          </w:p>
        </w:tc>
        <w:tc>
          <w:tcPr>
            <w:tcW w:w="2613" w:type="dxa"/>
            <w:tcMar>
              <w:top w:w="96" w:type="dxa"/>
              <w:left w:w="96" w:type="dxa"/>
              <w:bottom w:w="120" w:type="dxa"/>
              <w:right w:w="96" w:type="dxa"/>
            </w:tcMar>
            <w:vAlign w:val="center"/>
            <w:hideMark/>
          </w:tcPr>
          <w:p w14:paraId="3273073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Buildings whose seismic resistance is important with regard to the consequences related to demolition (the class of importance of building - III according to the series HRN EN 1998).</w:t>
            </w:r>
          </w:p>
          <w:p w14:paraId="01E8781D"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4E54ADAD"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Residential buildings, residential-commercial buildings and commercial buildings and public buildings that were severely damaged in the earthquake.</w:t>
            </w:r>
          </w:p>
          <w:p w14:paraId="2197A815"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5217FD21"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example:</w:t>
            </w:r>
          </w:p>
          <w:p w14:paraId="7D56AA1C"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sports buildings, cinemas, </w:t>
            </w:r>
            <w:proofErr w:type="spellStart"/>
            <w:r w:rsidRPr="00B71C44">
              <w:rPr>
                <w:rFonts w:ascii="Calibri" w:eastAsia="Times New Roman" w:hAnsi="Calibri" w:cs="Calibri"/>
                <w:sz w:val="18"/>
                <w:szCs w:val="18"/>
                <w:lang w:val="en-GB" w:eastAsia="hr-HR"/>
              </w:rPr>
              <w:t>theaters</w:t>
            </w:r>
            <w:proofErr w:type="spellEnd"/>
            <w:r w:rsidRPr="00B71C44">
              <w:rPr>
                <w:rFonts w:ascii="Calibri" w:eastAsia="Times New Roman" w:hAnsi="Calibri" w:cs="Calibri"/>
                <w:sz w:val="18"/>
                <w:szCs w:val="18"/>
                <w:lang w:val="en-GB" w:eastAsia="hr-HR"/>
              </w:rPr>
              <w:t xml:space="preserve">, museums, churches, public administration buildings that are not vital for functioning after the earthquake, health facilities of minor importance (clinics, health </w:t>
            </w:r>
            <w:proofErr w:type="spellStart"/>
            <w:r w:rsidRPr="00B71C44">
              <w:rPr>
                <w:rFonts w:ascii="Calibri" w:eastAsia="Times New Roman" w:hAnsi="Calibri" w:cs="Calibri"/>
                <w:sz w:val="18"/>
                <w:szCs w:val="18"/>
                <w:lang w:val="en-GB" w:eastAsia="hr-HR"/>
              </w:rPr>
              <w:t>centers</w:t>
            </w:r>
            <w:proofErr w:type="spellEnd"/>
            <w:r w:rsidRPr="00B71C44">
              <w:rPr>
                <w:rFonts w:ascii="Calibri" w:eastAsia="Times New Roman" w:hAnsi="Calibri" w:cs="Calibri"/>
                <w:sz w:val="18"/>
                <w:szCs w:val="18"/>
                <w:lang w:val="en-GB" w:eastAsia="hr-HR"/>
              </w:rPr>
              <w:t xml:space="preserve">, etc.), pharmacies, </w:t>
            </w:r>
            <w:r w:rsidRPr="00B71C44">
              <w:rPr>
                <w:rFonts w:ascii="Calibri" w:eastAsia="Times New Roman" w:hAnsi="Calibri" w:cs="Calibri"/>
                <w:sz w:val="18"/>
                <w:szCs w:val="18"/>
                <w:lang w:val="en-GB" w:eastAsia="hr-HR"/>
              </w:rPr>
              <w:lastRenderedPageBreak/>
              <w:t>schools, kindergartens, colleges and buildings, facilities and supply and telecommunications equipment, if not classified in class of importance IV.</w:t>
            </w:r>
          </w:p>
        </w:tc>
      </w:tr>
      <w:tr w:rsidR="00B71C44" w:rsidRPr="00B71C44" w14:paraId="424784B7" w14:textId="77777777" w:rsidTr="002A4473">
        <w:tc>
          <w:tcPr>
            <w:tcW w:w="1389" w:type="dxa"/>
            <w:tcMar>
              <w:top w:w="96" w:type="dxa"/>
              <w:left w:w="96" w:type="dxa"/>
              <w:bottom w:w="120" w:type="dxa"/>
              <w:right w:w="96" w:type="dxa"/>
            </w:tcMar>
            <w:vAlign w:val="center"/>
            <w:hideMark/>
          </w:tcPr>
          <w:p w14:paraId="373FE50A"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b/>
                <w:bCs/>
                <w:sz w:val="18"/>
                <w:szCs w:val="18"/>
                <w:bdr w:val="none" w:sz="0" w:space="0" w:color="auto" w:frame="1"/>
                <w:lang w:val="en-GB" w:eastAsia="hr-HR"/>
              </w:rPr>
              <w:t>Level 4: Complete reconstruction</w:t>
            </w:r>
          </w:p>
        </w:tc>
        <w:tc>
          <w:tcPr>
            <w:tcW w:w="3142" w:type="dxa"/>
            <w:tcMar>
              <w:top w:w="96" w:type="dxa"/>
              <w:left w:w="96" w:type="dxa"/>
              <w:bottom w:w="120" w:type="dxa"/>
              <w:right w:w="96" w:type="dxa"/>
            </w:tcMar>
            <w:vAlign w:val="center"/>
            <w:hideMark/>
          </w:tcPr>
          <w:p w14:paraId="2942769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Achieving mechanical resistance and stability according to the corresponding standards of the series HRN EN 1998.</w:t>
            </w:r>
          </w:p>
          <w:p w14:paraId="75CD635C"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6369CA10"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Complete reconstruction (improvement, reconstruction) of earthquake-damaged building structure with the application of methods that achieve mechanical resistance and stability of the building in relation to </w:t>
            </w:r>
            <w:r w:rsidRPr="00B71C44">
              <w:rPr>
                <w:rFonts w:ascii="Calibri" w:eastAsia="Times New Roman" w:hAnsi="Calibri" w:cs="Calibri"/>
                <w:sz w:val="18"/>
                <w:szCs w:val="18"/>
                <w:lang w:val="en-GB" w:eastAsia="hr-HR"/>
              </w:rPr>
              <w:lastRenderedPageBreak/>
              <w:t>seismic performance for a comparative probability of exceeding 10% in 50 years (return period 475 years).</w:t>
            </w:r>
          </w:p>
        </w:tc>
        <w:tc>
          <w:tcPr>
            <w:tcW w:w="2977" w:type="dxa"/>
            <w:tcMar>
              <w:top w:w="96" w:type="dxa"/>
              <w:left w:w="96" w:type="dxa"/>
              <w:bottom w:w="120" w:type="dxa"/>
              <w:right w:w="96" w:type="dxa"/>
            </w:tcMar>
            <w:vAlign w:val="center"/>
            <w:hideMark/>
          </w:tcPr>
          <w:p w14:paraId="6C79BB9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xml:space="preserve">A construction project should be prepared - a project of complete reconstruction of the building structure, where the calculation of seismic performance is carried out by applying methods that achieve mechanical resistance and stability of the building in relation to seismic performance for a comparative </w:t>
            </w:r>
            <w:r w:rsidRPr="00B71C44">
              <w:rPr>
                <w:rFonts w:ascii="Calibri" w:eastAsia="Times New Roman" w:hAnsi="Calibri" w:cs="Calibri"/>
                <w:sz w:val="18"/>
                <w:szCs w:val="18"/>
                <w:lang w:val="en-GB" w:eastAsia="hr-HR"/>
              </w:rPr>
              <w:lastRenderedPageBreak/>
              <w:t xml:space="preserve">probability of exceeding 10% in 50 years (return period 475 years). </w:t>
            </w:r>
          </w:p>
          <w:p w14:paraId="151DE89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770E22A"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Within the assessment of the seismic resistance of the building, which is an integral part of the construction project, the ratio of the calculated seismic resistance of the structure and seismic resistance is expressed according to the series HRN EN 1998 and the corresponding national annexes.</w:t>
            </w:r>
          </w:p>
          <w:p w14:paraId="00A1420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456E8EB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the implementation of the complete reconstruction of the building structure damaged by the earthquake, it is necessary to make:</w:t>
            </w:r>
          </w:p>
          <w:p w14:paraId="3D65AE3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study on the assessment of the existing condition of the building structure with the implementation of a detailed inspection (visual inspection, collection of existing documentation and, if necessary, investigative works)</w:t>
            </w:r>
          </w:p>
          <w:p w14:paraId="00DA4277"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construction project - a project of complete renovation of the building structure, which includes proof of mechanical resistance and stability, which includes solutions for the implementation of the planned reinforcements with the development of details and technical elaboration of the solution</w:t>
            </w:r>
          </w:p>
          <w:p w14:paraId="50347CB6"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project controls in accordance with a special regulation which stipulates project control</w:t>
            </w:r>
          </w:p>
          <w:p w14:paraId="08A135C7"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development of the project by other specialists (if necessary).</w:t>
            </w:r>
          </w:p>
        </w:tc>
        <w:tc>
          <w:tcPr>
            <w:tcW w:w="3827" w:type="dxa"/>
            <w:tcMar>
              <w:top w:w="96" w:type="dxa"/>
              <w:left w:w="96" w:type="dxa"/>
              <w:bottom w:w="120" w:type="dxa"/>
              <w:right w:w="96" w:type="dxa"/>
            </w:tcMar>
            <w:vAlign w:val="center"/>
            <w:hideMark/>
          </w:tcPr>
          <w:p w14:paraId="2B98C233"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 xml:space="preserve">Complete renovation of the building structure includes the implementation of construction works by which the building structure is completely restored, and are necessary to achieve mechanical resistance and stability of the building according to the applicable standards of series HRN EN 1998 for the design of seismic resistance of the structure </w:t>
            </w:r>
          </w:p>
          <w:p w14:paraId="1E5EED21"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ABBD33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The implementation of the above interventions includes the execution of the following construction works (if applicable):</w:t>
            </w:r>
          </w:p>
          <w:p w14:paraId="52A2E914"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4ED48705"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from Levels 1, 2 and 3, to the extent and scope appropriate to the complete restoration of the earthquake-damaged building structure to achieve mechanical resistance and stability of the building in relation to seismic performance for a comparative probability of exceeding 10% in 50 years (return period 475 years)</w:t>
            </w:r>
          </w:p>
          <w:p w14:paraId="4A4CB417"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other works necessary for the complete renovation of the building structure.</w:t>
            </w:r>
          </w:p>
          <w:p w14:paraId="7BA5B80F"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1F931242"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All necessary construction works for the complete renovation of the building structure are determined by designer for structure.</w:t>
            </w:r>
          </w:p>
        </w:tc>
        <w:tc>
          <w:tcPr>
            <w:tcW w:w="2613" w:type="dxa"/>
            <w:tcMar>
              <w:top w:w="96" w:type="dxa"/>
              <w:left w:w="96" w:type="dxa"/>
              <w:bottom w:w="120" w:type="dxa"/>
              <w:right w:w="96" w:type="dxa"/>
            </w:tcMar>
            <w:vAlign w:val="center"/>
            <w:hideMark/>
          </w:tcPr>
          <w:p w14:paraId="68303CB9"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lastRenderedPageBreak/>
              <w:t>Buildings whose integrity during the earthquake is important for the wider community (the class of importance of building - IV according to the series HRN EN 1998).</w:t>
            </w:r>
          </w:p>
          <w:p w14:paraId="1D9681BE"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p>
          <w:p w14:paraId="31FC0528" w14:textId="77777777" w:rsidR="00B71C44" w:rsidRPr="00B71C44" w:rsidRDefault="00B71C44" w:rsidP="00B71C44">
            <w:pPr>
              <w:suppressAutoHyphens w:val="0"/>
              <w:autoSpaceDN/>
              <w:spacing w:before="0" w:after="0" w:line="240" w:lineRule="auto"/>
              <w:jc w:val="left"/>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For example:</w:t>
            </w:r>
          </w:p>
          <w:p w14:paraId="2C5E8CAD" w14:textId="77777777" w:rsidR="00B71C44" w:rsidRPr="00B71C44" w:rsidRDefault="00B71C44" w:rsidP="00BE60A0">
            <w:pPr>
              <w:numPr>
                <w:ilvl w:val="0"/>
                <w:numId w:val="73"/>
              </w:numPr>
              <w:suppressAutoHyphens w:val="0"/>
              <w:autoSpaceDN/>
              <w:spacing w:before="0" w:after="0" w:line="240" w:lineRule="auto"/>
              <w:ind w:left="291"/>
              <w:contextualSpacing/>
              <w:jc w:val="left"/>
              <w:textAlignment w:val="auto"/>
              <w:rPr>
                <w:rFonts w:ascii="Calibri" w:eastAsia="Times New Roman" w:hAnsi="Calibri" w:cs="Calibri"/>
                <w:sz w:val="18"/>
                <w:szCs w:val="18"/>
                <w:lang w:val="en-GB" w:eastAsia="hr-HR"/>
              </w:rPr>
            </w:pPr>
            <w:r w:rsidRPr="00B71C44">
              <w:rPr>
                <w:rFonts w:ascii="Calibri" w:eastAsia="Times New Roman" w:hAnsi="Calibri" w:cs="Calibri"/>
                <w:sz w:val="18"/>
                <w:szCs w:val="18"/>
                <w:lang w:val="en-GB" w:eastAsia="hr-HR"/>
              </w:rPr>
              <w:t xml:space="preserve">health care facilities of major importance (clinical teaching </w:t>
            </w:r>
            <w:r w:rsidRPr="00B71C44">
              <w:rPr>
                <w:rFonts w:ascii="Calibri" w:eastAsia="Times New Roman" w:hAnsi="Calibri" w:cs="Calibri"/>
                <w:sz w:val="18"/>
                <w:szCs w:val="18"/>
                <w:lang w:val="en-GB" w:eastAsia="hr-HR"/>
              </w:rPr>
              <w:lastRenderedPageBreak/>
              <w:t>hospital, etc.), emergency services buildings (fire, emergency care, public and national security, etc.), public administration buildings vital for functioning after the earthquake, buildings of vital importance for supply, telecommunications, energy buildings, buildings for storage of flammable liquids, gases and toxic materials.</w:t>
            </w:r>
          </w:p>
        </w:tc>
      </w:tr>
    </w:tbl>
    <w:p w14:paraId="1CF14381" w14:textId="5F37DE50" w:rsidR="007D4FEA" w:rsidRDefault="007D4FEA" w:rsidP="00201842">
      <w:pPr>
        <w:rPr>
          <w:lang w:val="en-US"/>
        </w:rPr>
      </w:pPr>
    </w:p>
    <w:p w14:paraId="7D5898EC" w14:textId="77777777" w:rsidR="007D4FEA" w:rsidRDefault="007D4FEA">
      <w:pPr>
        <w:suppressAutoHyphens w:val="0"/>
        <w:spacing w:before="0" w:after="160" w:line="256" w:lineRule="auto"/>
        <w:jc w:val="left"/>
        <w:rPr>
          <w:lang w:val="en-US"/>
        </w:rPr>
      </w:pPr>
      <w:r>
        <w:rPr>
          <w:lang w:val="en-US"/>
        </w:rPr>
        <w:br w:type="page"/>
      </w:r>
    </w:p>
    <w:p w14:paraId="028A6367" w14:textId="7C076CF6" w:rsidR="00710260" w:rsidRPr="00672ECC" w:rsidRDefault="007D4FEA" w:rsidP="007D4FEA">
      <w:pPr>
        <w:pStyle w:val="Heading1"/>
        <w:numPr>
          <w:ilvl w:val="0"/>
          <w:numId w:val="0"/>
        </w:numPr>
        <w:rPr>
          <w:lang w:val="en-GB"/>
        </w:rPr>
      </w:pPr>
      <w:bookmarkStart w:id="246" w:name="_Ref56949630"/>
      <w:bookmarkStart w:id="247" w:name="_Toc56952325"/>
      <w:bookmarkStart w:id="248" w:name="_Toc56954090"/>
      <w:r>
        <w:lastRenderedPageBreak/>
        <w:t xml:space="preserve">ANNEX </w:t>
      </w:r>
      <w:fldSimple w:instr=" SEQ ANNEX \* ROMAN ">
        <w:r w:rsidR="007D1E1B">
          <w:rPr>
            <w:noProof/>
          </w:rPr>
          <w:t>VII</w:t>
        </w:r>
      </w:fldSimple>
      <w:bookmarkEnd w:id="246"/>
      <w:r>
        <w:t xml:space="preserve"> - </w:t>
      </w:r>
      <w:r w:rsidR="00710260" w:rsidRPr="00AB54BF">
        <w:rPr>
          <w:lang w:val="en-GB"/>
        </w:rPr>
        <w:t>PROTECTION OF CULTURAL HERITAGE WITHIN BUILDING PERMITTING PROCESS ACCORDING TO ACT ON THE PROTECTION AND PRESERVATION OF CULTURAL PROPERTY (OG 69/99, 151/03, 157/03, 100/04, 87/09, 88/10, 61/11, 25/12, 136/12, 157/13, 152/14, 98/15, 44/17, 90/18, 32/20, 62/20)</w:t>
      </w:r>
      <w:bookmarkEnd w:id="247"/>
      <w:bookmarkEnd w:id="248"/>
    </w:p>
    <w:p w14:paraId="1214169A" w14:textId="77777777" w:rsidR="00710260" w:rsidRDefault="00710260" w:rsidP="00710260">
      <w:pPr>
        <w:tabs>
          <w:tab w:val="left" w:pos="0"/>
        </w:tabs>
        <w:ind w:hanging="851"/>
        <w:rPr>
          <w:lang w:val="en-GB"/>
        </w:rPr>
      </w:pPr>
      <w:r>
        <w:object w:dxaOrig="17595" w:dyaOrig="6316" w14:anchorId="1C3A4589">
          <v:shape id="_x0000_i1026" type="#_x0000_t75" style="width:785.9pt;height:335.55pt" o:ole="">
            <v:imagedata r:id="rId68" o:title=""/>
          </v:shape>
          <o:OLEObject Type="Embed" ProgID="Visio.Drawing.15" ShapeID="_x0000_i1026" DrawAspect="Content" ObjectID="_1670789493" r:id="rId69"/>
        </w:object>
      </w:r>
    </w:p>
    <w:p w14:paraId="27B3BD8F" w14:textId="77777777" w:rsidR="00710260" w:rsidRPr="00672ECC" w:rsidRDefault="00710260" w:rsidP="00710260">
      <w:pPr>
        <w:rPr>
          <w:lang w:val="en-GB"/>
        </w:rPr>
      </w:pPr>
    </w:p>
    <w:p w14:paraId="6EE6571C" w14:textId="77777777" w:rsidR="00710260" w:rsidRDefault="00710260" w:rsidP="00201842">
      <w:pPr>
        <w:rPr>
          <w:lang w:val="en-US"/>
        </w:rPr>
      </w:pPr>
    </w:p>
    <w:p w14:paraId="6EB77750" w14:textId="540C174A" w:rsidR="00710260" w:rsidRPr="00AB7D1E" w:rsidRDefault="00710260" w:rsidP="00201842">
      <w:pPr>
        <w:rPr>
          <w:lang w:val="en-US"/>
        </w:rPr>
        <w:sectPr w:rsidR="00710260" w:rsidRPr="00AB7D1E" w:rsidSect="00674F73">
          <w:pgSz w:w="16838" w:h="11906" w:orient="landscape"/>
          <w:pgMar w:top="1440" w:right="1440" w:bottom="1440" w:left="1440" w:header="720" w:footer="720" w:gutter="0"/>
          <w:cols w:space="720"/>
        </w:sectPr>
      </w:pPr>
    </w:p>
    <w:p w14:paraId="2748C131" w14:textId="5BDB8D22" w:rsidR="00EC1E07" w:rsidRDefault="007D1E1B" w:rsidP="007D1E1B">
      <w:pPr>
        <w:pStyle w:val="Heading1"/>
        <w:numPr>
          <w:ilvl w:val="0"/>
          <w:numId w:val="0"/>
        </w:numPr>
        <w:rPr>
          <w:lang w:val="en-US"/>
        </w:rPr>
      </w:pPr>
      <w:bookmarkStart w:id="249" w:name="_Hlk51756568"/>
      <w:bookmarkStart w:id="250" w:name="_Ref51776593"/>
      <w:bookmarkStart w:id="251" w:name="_Toc56952326"/>
      <w:bookmarkStart w:id="252" w:name="_Toc56954091"/>
      <w:bookmarkStart w:id="253" w:name="_Hlk51767357"/>
      <w:bookmarkStart w:id="254" w:name="_Ref48063652"/>
      <w:bookmarkStart w:id="255" w:name="_Ref48063655"/>
      <w:bookmarkStart w:id="256" w:name="_Ref48064252"/>
      <w:r>
        <w:lastRenderedPageBreak/>
        <w:t xml:space="preserve">ANNEX </w:t>
      </w:r>
      <w:fldSimple w:instr=" SEQ ANNEX \* ROMAN ">
        <w:r>
          <w:rPr>
            <w:noProof/>
          </w:rPr>
          <w:t>VIII</w:t>
        </w:r>
      </w:fldSimple>
      <w:r>
        <w:t xml:space="preserve"> - </w:t>
      </w:r>
      <w:r w:rsidR="00EC1E07" w:rsidRPr="00EC1E07">
        <w:rPr>
          <w:lang w:val="en-US"/>
        </w:rPr>
        <w:t>ENVIRONMENTAL AND SOCIAL SCREENING QUESTIONNAIRE</w:t>
      </w:r>
      <w:bookmarkEnd w:id="249"/>
      <w:r w:rsidR="00C4480C">
        <w:rPr>
          <w:lang w:val="en-US"/>
        </w:rPr>
        <w:t xml:space="preserve"> AND SCREENING REPORT</w:t>
      </w:r>
      <w:bookmarkEnd w:id="250"/>
      <w:bookmarkEnd w:id="251"/>
      <w:bookmarkEnd w:id="252"/>
    </w:p>
    <w:p w14:paraId="15B9FC1D" w14:textId="77777777" w:rsidR="00E27F35" w:rsidRPr="00E27F35" w:rsidRDefault="00E27F35" w:rsidP="00E27F35">
      <w:pPr>
        <w:suppressAutoHyphens w:val="0"/>
        <w:autoSpaceDN/>
        <w:spacing w:line="276" w:lineRule="auto"/>
        <w:textAlignment w:val="auto"/>
        <w:rPr>
          <w:rFonts w:ascii="Calibri" w:hAnsi="Calibri" w:cs="Calibri"/>
          <w:lang w:val="en-US"/>
        </w:rPr>
      </w:pPr>
      <w:bookmarkStart w:id="257" w:name="_Hlk51767385"/>
      <w:bookmarkEnd w:id="253"/>
      <w:r w:rsidRPr="00E27F35">
        <w:rPr>
          <w:rFonts w:ascii="Calibri" w:hAnsi="Calibri" w:cs="Calibri"/>
          <w:lang w:val="en-US"/>
        </w:rPr>
        <w:t>This</w:t>
      </w:r>
      <w:r w:rsidRPr="00E27F35">
        <w:rPr>
          <w:rFonts w:ascii="Calibri" w:hAnsi="Calibri" w:cs="Calibri"/>
          <w:spacing w:val="-7"/>
          <w:lang w:val="en-US"/>
        </w:rPr>
        <w:t xml:space="preserve"> </w:t>
      </w:r>
      <w:r w:rsidRPr="00E27F35">
        <w:rPr>
          <w:rFonts w:ascii="Calibri" w:hAnsi="Calibri" w:cs="Calibri"/>
          <w:spacing w:val="-3"/>
          <w:lang w:val="en-US"/>
        </w:rPr>
        <w:t>f</w:t>
      </w:r>
      <w:r w:rsidRPr="00E27F35">
        <w:rPr>
          <w:rFonts w:ascii="Calibri" w:hAnsi="Calibri" w:cs="Calibri"/>
          <w:spacing w:val="1"/>
          <w:lang w:val="en-US"/>
        </w:rPr>
        <w:t>o</w:t>
      </w:r>
      <w:r w:rsidRPr="00E27F35">
        <w:rPr>
          <w:rFonts w:ascii="Calibri" w:hAnsi="Calibri" w:cs="Calibri"/>
          <w:lang w:val="en-US"/>
        </w:rPr>
        <w:t>rm</w:t>
      </w:r>
      <w:r w:rsidRPr="00E27F35">
        <w:rPr>
          <w:rFonts w:ascii="Calibri" w:hAnsi="Calibri" w:cs="Calibri"/>
          <w:spacing w:val="-8"/>
          <w:lang w:val="en-US"/>
        </w:rPr>
        <w:t xml:space="preserve"> </w:t>
      </w:r>
      <w:r w:rsidRPr="00E27F35">
        <w:rPr>
          <w:rFonts w:ascii="Calibri" w:hAnsi="Calibri" w:cs="Calibri"/>
          <w:lang w:val="en-US"/>
        </w:rPr>
        <w:t>is</w:t>
      </w:r>
      <w:r w:rsidRPr="00E27F35">
        <w:rPr>
          <w:rFonts w:ascii="Calibri" w:hAnsi="Calibri" w:cs="Calibri"/>
          <w:spacing w:val="-9"/>
          <w:lang w:val="en-US"/>
        </w:rPr>
        <w:t xml:space="preserve"> </w:t>
      </w:r>
      <w:r w:rsidRPr="00E27F35">
        <w:rPr>
          <w:rFonts w:ascii="Calibri" w:hAnsi="Calibri" w:cs="Calibri"/>
          <w:spacing w:val="-2"/>
          <w:lang w:val="en-US"/>
        </w:rPr>
        <w:t>t</w:t>
      </w:r>
      <w:r w:rsidRPr="00E27F35">
        <w:rPr>
          <w:rFonts w:ascii="Calibri" w:hAnsi="Calibri" w:cs="Calibri"/>
          <w:lang w:val="en-US"/>
        </w:rPr>
        <w:t>o</w:t>
      </w:r>
      <w:r w:rsidRPr="00E27F35">
        <w:rPr>
          <w:rFonts w:ascii="Calibri" w:hAnsi="Calibri" w:cs="Calibri"/>
          <w:spacing w:val="-8"/>
          <w:lang w:val="en-US"/>
        </w:rPr>
        <w:t xml:space="preserve"> </w:t>
      </w:r>
      <w:r w:rsidRPr="00E27F35">
        <w:rPr>
          <w:rFonts w:ascii="Calibri" w:hAnsi="Calibri" w:cs="Calibri"/>
          <w:spacing w:val="-1"/>
          <w:lang w:val="en-US"/>
        </w:rPr>
        <w:t>b</w:t>
      </w:r>
      <w:r w:rsidRPr="00E27F35">
        <w:rPr>
          <w:rFonts w:ascii="Calibri" w:hAnsi="Calibri" w:cs="Calibri"/>
          <w:lang w:val="en-US"/>
        </w:rPr>
        <w:t>e</w:t>
      </w:r>
      <w:r w:rsidRPr="00E27F35">
        <w:rPr>
          <w:rFonts w:ascii="Calibri" w:hAnsi="Calibri" w:cs="Calibri"/>
          <w:spacing w:val="-6"/>
          <w:lang w:val="en-US"/>
        </w:rPr>
        <w:t xml:space="preserve"> </w:t>
      </w:r>
      <w:r w:rsidRPr="00E27F35">
        <w:rPr>
          <w:rFonts w:ascii="Calibri" w:hAnsi="Calibri" w:cs="Calibri"/>
          <w:spacing w:val="-1"/>
          <w:lang w:val="en-US"/>
        </w:rPr>
        <w:t>u</w:t>
      </w:r>
      <w:r w:rsidRPr="00E27F35">
        <w:rPr>
          <w:rFonts w:ascii="Calibri" w:hAnsi="Calibri" w:cs="Calibri"/>
          <w:spacing w:val="-2"/>
          <w:lang w:val="en-US"/>
        </w:rPr>
        <w:t>s</w:t>
      </w:r>
      <w:r w:rsidRPr="00E27F35">
        <w:rPr>
          <w:rFonts w:ascii="Calibri" w:hAnsi="Calibri" w:cs="Calibri"/>
          <w:lang w:val="en-US"/>
        </w:rPr>
        <w:t>ed</w:t>
      </w:r>
      <w:r w:rsidRPr="00E27F35">
        <w:rPr>
          <w:rFonts w:ascii="Calibri" w:hAnsi="Calibri" w:cs="Calibri"/>
          <w:spacing w:val="-7"/>
          <w:lang w:val="en-US"/>
        </w:rPr>
        <w:t xml:space="preserve"> </w:t>
      </w:r>
      <w:r w:rsidRPr="00E27F35">
        <w:rPr>
          <w:rFonts w:ascii="Calibri" w:hAnsi="Calibri" w:cs="Calibri"/>
          <w:spacing w:val="-3"/>
          <w:lang w:val="en-US"/>
        </w:rPr>
        <w:t>b</w:t>
      </w:r>
      <w:r w:rsidRPr="00E27F35">
        <w:rPr>
          <w:rFonts w:ascii="Calibri" w:hAnsi="Calibri" w:cs="Calibri"/>
          <w:lang w:val="en-US"/>
        </w:rPr>
        <w:t>y</w:t>
      </w:r>
      <w:r w:rsidRPr="00E27F35">
        <w:rPr>
          <w:rFonts w:ascii="Calibri" w:hAnsi="Calibri" w:cs="Calibri"/>
          <w:spacing w:val="-8"/>
          <w:lang w:val="en-US"/>
        </w:rPr>
        <w:t xml:space="preserve"> </w:t>
      </w:r>
      <w:r w:rsidRPr="00E27F35">
        <w:rPr>
          <w:rFonts w:ascii="Calibri" w:hAnsi="Calibri" w:cs="Calibri"/>
          <w:spacing w:val="-2"/>
          <w:lang w:val="en-US"/>
        </w:rPr>
        <w:t>t</w:t>
      </w:r>
      <w:r w:rsidRPr="00E27F35">
        <w:rPr>
          <w:rFonts w:ascii="Calibri" w:hAnsi="Calibri" w:cs="Calibri"/>
          <w:spacing w:val="-1"/>
          <w:lang w:val="en-US"/>
        </w:rPr>
        <w:t>h</w:t>
      </w:r>
      <w:r w:rsidRPr="00E27F35">
        <w:rPr>
          <w:rFonts w:ascii="Calibri" w:hAnsi="Calibri" w:cs="Calibri"/>
          <w:lang w:val="en-US"/>
        </w:rPr>
        <w:t>e</w:t>
      </w:r>
      <w:r w:rsidRPr="00E27F35">
        <w:rPr>
          <w:rFonts w:ascii="Calibri" w:hAnsi="Calibri" w:cs="Calibri"/>
          <w:spacing w:val="-8"/>
          <w:lang w:val="en-US"/>
        </w:rPr>
        <w:t xml:space="preserve"> </w:t>
      </w:r>
      <w:r w:rsidRPr="00E27F35">
        <w:rPr>
          <w:rFonts w:ascii="Calibri" w:hAnsi="Calibri" w:cs="Calibri"/>
          <w:spacing w:val="-2"/>
          <w:lang w:val="en-US"/>
        </w:rPr>
        <w:t>P</w:t>
      </w:r>
      <w:r w:rsidRPr="00E27F35">
        <w:rPr>
          <w:rFonts w:ascii="Calibri" w:hAnsi="Calibri" w:cs="Calibri"/>
          <w:spacing w:val="1"/>
          <w:lang w:val="en-US"/>
        </w:rPr>
        <w:t>I</w:t>
      </w:r>
      <w:r w:rsidRPr="00E27F35">
        <w:rPr>
          <w:rFonts w:ascii="Calibri" w:hAnsi="Calibri" w:cs="Calibri"/>
          <w:lang w:val="en-US"/>
        </w:rPr>
        <w:t>Us</w:t>
      </w:r>
      <w:r w:rsidRPr="00E27F35">
        <w:rPr>
          <w:rFonts w:ascii="Calibri" w:hAnsi="Calibri" w:cs="Calibri"/>
          <w:spacing w:val="-9"/>
          <w:lang w:val="en-US"/>
        </w:rPr>
        <w:t xml:space="preserve"> </w:t>
      </w:r>
      <w:r w:rsidRPr="00E27F35">
        <w:rPr>
          <w:rFonts w:ascii="Calibri" w:hAnsi="Calibri" w:cs="Calibri"/>
          <w:lang w:val="en-US"/>
        </w:rPr>
        <w:t>to</w:t>
      </w:r>
      <w:r w:rsidRPr="00E27F35">
        <w:rPr>
          <w:rFonts w:ascii="Calibri" w:hAnsi="Calibri" w:cs="Calibri"/>
          <w:spacing w:val="-7"/>
          <w:lang w:val="en-US"/>
        </w:rPr>
        <w:t xml:space="preserve"> </w:t>
      </w:r>
      <w:r w:rsidRPr="00E27F35">
        <w:rPr>
          <w:rFonts w:ascii="Calibri" w:hAnsi="Calibri" w:cs="Calibri"/>
          <w:lang w:val="en-US"/>
        </w:rPr>
        <w:t>s</w:t>
      </w:r>
      <w:r w:rsidRPr="00E27F35">
        <w:rPr>
          <w:rFonts w:ascii="Calibri" w:hAnsi="Calibri" w:cs="Calibri"/>
          <w:spacing w:val="-2"/>
          <w:lang w:val="en-US"/>
        </w:rPr>
        <w:t>c</w:t>
      </w:r>
      <w:r w:rsidRPr="00E27F35">
        <w:rPr>
          <w:rFonts w:ascii="Calibri" w:hAnsi="Calibri" w:cs="Calibri"/>
          <w:lang w:val="en-US"/>
        </w:rPr>
        <w:t>reen</w:t>
      </w:r>
      <w:r w:rsidRPr="00E27F35">
        <w:rPr>
          <w:rFonts w:ascii="Calibri" w:hAnsi="Calibri" w:cs="Calibri"/>
          <w:spacing w:val="-9"/>
          <w:lang w:val="en-US"/>
        </w:rPr>
        <w:t xml:space="preserve"> </w:t>
      </w:r>
      <w:r w:rsidRPr="00E27F35">
        <w:rPr>
          <w:rFonts w:ascii="Calibri" w:hAnsi="Calibri" w:cs="Calibri"/>
          <w:spacing w:val="-3"/>
          <w:lang w:val="en-US"/>
        </w:rPr>
        <w:t>f</w:t>
      </w:r>
      <w:r w:rsidRPr="00E27F35">
        <w:rPr>
          <w:rFonts w:ascii="Calibri" w:hAnsi="Calibri" w:cs="Calibri"/>
          <w:spacing w:val="1"/>
          <w:lang w:val="en-US"/>
        </w:rPr>
        <w:t>o</w:t>
      </w:r>
      <w:r w:rsidRPr="00E27F35">
        <w:rPr>
          <w:rFonts w:ascii="Calibri" w:hAnsi="Calibri" w:cs="Calibri"/>
          <w:lang w:val="en-US"/>
        </w:rPr>
        <w:t>r</w:t>
      </w:r>
      <w:r w:rsidRPr="00E27F35">
        <w:rPr>
          <w:rFonts w:ascii="Calibri" w:hAnsi="Calibri" w:cs="Calibri"/>
          <w:spacing w:val="-9"/>
          <w:lang w:val="en-US"/>
        </w:rPr>
        <w:t xml:space="preserve"> </w:t>
      </w:r>
      <w:r w:rsidRPr="00E27F35">
        <w:rPr>
          <w:rFonts w:ascii="Calibri" w:hAnsi="Calibri" w:cs="Calibri"/>
          <w:lang w:val="en-US"/>
        </w:rPr>
        <w:t>the</w:t>
      </w:r>
      <w:r w:rsidRPr="00E27F35">
        <w:rPr>
          <w:rFonts w:ascii="Calibri" w:hAnsi="Calibri" w:cs="Calibri"/>
          <w:spacing w:val="-6"/>
          <w:lang w:val="en-US"/>
        </w:rPr>
        <w:t xml:space="preserve"> </w:t>
      </w:r>
      <w:r w:rsidRPr="00E27F35">
        <w:rPr>
          <w:rFonts w:ascii="Calibri" w:hAnsi="Calibri" w:cs="Calibri"/>
          <w:spacing w:val="-3"/>
          <w:lang w:val="en-US"/>
        </w:rPr>
        <w:t>p</w:t>
      </w:r>
      <w:r w:rsidRPr="00E27F35">
        <w:rPr>
          <w:rFonts w:ascii="Calibri" w:hAnsi="Calibri" w:cs="Calibri"/>
          <w:spacing w:val="1"/>
          <w:lang w:val="en-US"/>
        </w:rPr>
        <w:t>o</w:t>
      </w:r>
      <w:r w:rsidRPr="00E27F35">
        <w:rPr>
          <w:rFonts w:ascii="Calibri" w:hAnsi="Calibri" w:cs="Calibri"/>
          <w:lang w:val="en-US"/>
        </w:rPr>
        <w:t>t</w:t>
      </w:r>
      <w:r w:rsidRPr="00E27F35">
        <w:rPr>
          <w:rFonts w:ascii="Calibri" w:hAnsi="Calibri" w:cs="Calibri"/>
          <w:spacing w:val="1"/>
          <w:lang w:val="en-US"/>
        </w:rPr>
        <w:t>e</w:t>
      </w:r>
      <w:r w:rsidRPr="00E27F35">
        <w:rPr>
          <w:rFonts w:ascii="Calibri" w:hAnsi="Calibri" w:cs="Calibri"/>
          <w:spacing w:val="-1"/>
          <w:lang w:val="en-US"/>
        </w:rPr>
        <w:t>n</w:t>
      </w:r>
      <w:r w:rsidRPr="00E27F35">
        <w:rPr>
          <w:rFonts w:ascii="Calibri" w:hAnsi="Calibri" w:cs="Calibri"/>
          <w:lang w:val="en-US"/>
        </w:rPr>
        <w:t>t</w:t>
      </w:r>
      <w:r w:rsidRPr="00E27F35">
        <w:rPr>
          <w:rFonts w:ascii="Calibri" w:hAnsi="Calibri" w:cs="Calibri"/>
          <w:spacing w:val="-2"/>
          <w:lang w:val="en-US"/>
        </w:rPr>
        <w:t>i</w:t>
      </w:r>
      <w:r w:rsidRPr="00E27F35">
        <w:rPr>
          <w:rFonts w:ascii="Calibri" w:hAnsi="Calibri" w:cs="Calibri"/>
          <w:lang w:val="en-US"/>
        </w:rPr>
        <w:t>al</w:t>
      </w:r>
      <w:r w:rsidRPr="00E27F35">
        <w:rPr>
          <w:rFonts w:ascii="Calibri" w:hAnsi="Calibri" w:cs="Calibri"/>
          <w:spacing w:val="-8"/>
          <w:lang w:val="en-US"/>
        </w:rPr>
        <w:t xml:space="preserve"> </w:t>
      </w:r>
      <w:r w:rsidRPr="00E27F35">
        <w:rPr>
          <w:rFonts w:ascii="Calibri" w:hAnsi="Calibri" w:cs="Calibri"/>
          <w:lang w:val="en-US"/>
        </w:rPr>
        <w:t>en</w:t>
      </w:r>
      <w:r w:rsidRPr="00E27F35">
        <w:rPr>
          <w:rFonts w:ascii="Calibri" w:hAnsi="Calibri" w:cs="Calibri"/>
          <w:spacing w:val="1"/>
          <w:lang w:val="en-US"/>
        </w:rPr>
        <w:t>v</w:t>
      </w:r>
      <w:r w:rsidRPr="00E27F35">
        <w:rPr>
          <w:rFonts w:ascii="Calibri" w:hAnsi="Calibri" w:cs="Calibri"/>
          <w:lang w:val="en-US"/>
        </w:rPr>
        <w:t>i</w:t>
      </w:r>
      <w:r w:rsidRPr="00E27F35">
        <w:rPr>
          <w:rFonts w:ascii="Calibri" w:hAnsi="Calibri" w:cs="Calibri"/>
          <w:spacing w:val="-3"/>
          <w:lang w:val="en-US"/>
        </w:rPr>
        <w:t>r</w:t>
      </w:r>
      <w:r w:rsidRPr="00E27F35">
        <w:rPr>
          <w:rFonts w:ascii="Calibri" w:hAnsi="Calibri" w:cs="Calibri"/>
          <w:spacing w:val="1"/>
          <w:lang w:val="en-US"/>
        </w:rPr>
        <w:t>o</w:t>
      </w:r>
      <w:r w:rsidRPr="00E27F35">
        <w:rPr>
          <w:rFonts w:ascii="Calibri" w:hAnsi="Calibri" w:cs="Calibri"/>
          <w:spacing w:val="-1"/>
          <w:lang w:val="en-US"/>
        </w:rPr>
        <w:t>nm</w:t>
      </w:r>
      <w:r w:rsidRPr="00E27F35">
        <w:rPr>
          <w:rFonts w:ascii="Calibri" w:hAnsi="Calibri" w:cs="Calibri"/>
          <w:lang w:val="en-US"/>
        </w:rPr>
        <w:t>ental a</w:t>
      </w:r>
      <w:r w:rsidRPr="00E27F35">
        <w:rPr>
          <w:rFonts w:ascii="Calibri" w:hAnsi="Calibri" w:cs="Calibri"/>
          <w:spacing w:val="-1"/>
          <w:lang w:val="en-US"/>
        </w:rPr>
        <w:t>n</w:t>
      </w:r>
      <w:r w:rsidRPr="00E27F35">
        <w:rPr>
          <w:rFonts w:ascii="Calibri" w:hAnsi="Calibri" w:cs="Calibri"/>
          <w:lang w:val="en-US"/>
        </w:rPr>
        <w:t>d s</w:t>
      </w:r>
      <w:r w:rsidRPr="00E27F35">
        <w:rPr>
          <w:rFonts w:ascii="Calibri" w:hAnsi="Calibri" w:cs="Calibri"/>
          <w:spacing w:val="1"/>
          <w:lang w:val="en-US"/>
        </w:rPr>
        <w:t>o</w:t>
      </w:r>
      <w:r w:rsidRPr="00E27F35">
        <w:rPr>
          <w:rFonts w:ascii="Calibri" w:hAnsi="Calibri" w:cs="Calibri"/>
          <w:lang w:val="en-US"/>
        </w:rPr>
        <w:t>cial ris</w:t>
      </w:r>
      <w:r w:rsidRPr="00E27F35">
        <w:rPr>
          <w:rFonts w:ascii="Calibri" w:hAnsi="Calibri" w:cs="Calibri"/>
          <w:spacing w:val="-2"/>
          <w:lang w:val="en-US"/>
        </w:rPr>
        <w:t>k</w:t>
      </w:r>
      <w:r w:rsidRPr="00E27F35">
        <w:rPr>
          <w:rFonts w:ascii="Calibri" w:hAnsi="Calibri" w:cs="Calibri"/>
          <w:lang w:val="en-US"/>
        </w:rPr>
        <w:t>s</w:t>
      </w:r>
      <w:r w:rsidRPr="00E27F35">
        <w:rPr>
          <w:rFonts w:ascii="Calibri" w:hAnsi="Calibri" w:cs="Calibri"/>
          <w:spacing w:val="1"/>
          <w:lang w:val="en-US"/>
        </w:rPr>
        <w:t xml:space="preserve"> </w:t>
      </w:r>
      <w:r w:rsidRPr="00E27F35">
        <w:rPr>
          <w:rFonts w:ascii="Calibri" w:hAnsi="Calibri" w:cs="Calibri"/>
          <w:lang w:val="en-US"/>
        </w:rPr>
        <w:t>a</w:t>
      </w:r>
      <w:r w:rsidRPr="00E27F35">
        <w:rPr>
          <w:rFonts w:ascii="Calibri" w:hAnsi="Calibri" w:cs="Calibri"/>
          <w:spacing w:val="-1"/>
          <w:lang w:val="en-US"/>
        </w:rPr>
        <w:t>n</w:t>
      </w:r>
      <w:r w:rsidRPr="00E27F35">
        <w:rPr>
          <w:rFonts w:ascii="Calibri" w:hAnsi="Calibri" w:cs="Calibri"/>
          <w:lang w:val="en-US"/>
        </w:rPr>
        <w:t>d i</w:t>
      </w:r>
      <w:r w:rsidRPr="00E27F35">
        <w:rPr>
          <w:rFonts w:ascii="Calibri" w:hAnsi="Calibri" w:cs="Calibri"/>
          <w:spacing w:val="1"/>
          <w:lang w:val="en-US"/>
        </w:rPr>
        <w:t>m</w:t>
      </w:r>
      <w:r w:rsidRPr="00E27F35">
        <w:rPr>
          <w:rFonts w:ascii="Calibri" w:hAnsi="Calibri" w:cs="Calibri"/>
          <w:spacing w:val="-1"/>
          <w:lang w:val="en-US"/>
        </w:rPr>
        <w:t>p</w:t>
      </w:r>
      <w:r w:rsidRPr="00E27F35">
        <w:rPr>
          <w:rFonts w:ascii="Calibri" w:hAnsi="Calibri" w:cs="Calibri"/>
          <w:lang w:val="en-US"/>
        </w:rPr>
        <w:t>a</w:t>
      </w:r>
      <w:r w:rsidRPr="00E27F35">
        <w:rPr>
          <w:rFonts w:ascii="Calibri" w:hAnsi="Calibri" w:cs="Calibri"/>
          <w:spacing w:val="-2"/>
          <w:lang w:val="en-US"/>
        </w:rPr>
        <w:t>ct</w:t>
      </w:r>
      <w:r w:rsidRPr="00E27F35">
        <w:rPr>
          <w:rFonts w:ascii="Calibri" w:hAnsi="Calibri" w:cs="Calibri"/>
          <w:lang w:val="en-US"/>
        </w:rPr>
        <w:t>s</w:t>
      </w:r>
      <w:r w:rsidRPr="00E27F35">
        <w:rPr>
          <w:rFonts w:ascii="Calibri" w:hAnsi="Calibri" w:cs="Calibri"/>
          <w:spacing w:val="2"/>
          <w:lang w:val="en-US"/>
        </w:rPr>
        <w:t xml:space="preserve"> </w:t>
      </w:r>
      <w:r w:rsidRPr="00E27F35">
        <w:rPr>
          <w:rFonts w:ascii="Calibri" w:hAnsi="Calibri" w:cs="Calibri"/>
          <w:spacing w:val="1"/>
          <w:lang w:val="en-US"/>
        </w:rPr>
        <w:t>o</w:t>
      </w:r>
      <w:r w:rsidRPr="00E27F35">
        <w:rPr>
          <w:rFonts w:ascii="Calibri" w:hAnsi="Calibri" w:cs="Calibri"/>
          <w:lang w:val="en-US"/>
        </w:rPr>
        <w:t>f</w:t>
      </w:r>
      <w:r w:rsidRPr="00E27F35">
        <w:rPr>
          <w:rFonts w:ascii="Calibri" w:hAnsi="Calibri" w:cs="Calibri"/>
          <w:spacing w:val="1"/>
          <w:lang w:val="en-US"/>
        </w:rPr>
        <w:t xml:space="preserve"> </w:t>
      </w:r>
      <w:r w:rsidRPr="00E27F35">
        <w:rPr>
          <w:rFonts w:ascii="Calibri" w:hAnsi="Calibri" w:cs="Calibri"/>
          <w:lang w:val="en-US"/>
        </w:rPr>
        <w:t>a</w:t>
      </w:r>
      <w:r w:rsidRPr="00E27F35">
        <w:rPr>
          <w:rFonts w:ascii="Calibri" w:hAnsi="Calibri" w:cs="Calibri"/>
          <w:spacing w:val="1"/>
          <w:lang w:val="en-US"/>
        </w:rPr>
        <w:t xml:space="preserve"> </w:t>
      </w:r>
      <w:r w:rsidRPr="00E27F35">
        <w:rPr>
          <w:rFonts w:ascii="Calibri" w:hAnsi="Calibri" w:cs="Calibri"/>
          <w:spacing w:val="-1"/>
          <w:lang w:val="en-US"/>
        </w:rPr>
        <w:t>p</w:t>
      </w:r>
      <w:r w:rsidRPr="00E27F35">
        <w:rPr>
          <w:rFonts w:ascii="Calibri" w:hAnsi="Calibri" w:cs="Calibri"/>
          <w:spacing w:val="-3"/>
          <w:lang w:val="en-US"/>
        </w:rPr>
        <w:t>r</w:t>
      </w:r>
      <w:r w:rsidRPr="00E27F35">
        <w:rPr>
          <w:rFonts w:ascii="Calibri" w:hAnsi="Calibri" w:cs="Calibri"/>
          <w:spacing w:val="1"/>
          <w:lang w:val="en-US"/>
        </w:rPr>
        <w:t>o</w:t>
      </w:r>
      <w:r w:rsidRPr="00E27F35">
        <w:rPr>
          <w:rFonts w:ascii="Calibri" w:hAnsi="Calibri" w:cs="Calibri"/>
          <w:spacing w:val="-1"/>
          <w:lang w:val="en-US"/>
        </w:rPr>
        <w:t>p</w:t>
      </w:r>
      <w:r w:rsidRPr="00E27F35">
        <w:rPr>
          <w:rFonts w:ascii="Calibri" w:hAnsi="Calibri" w:cs="Calibri"/>
          <w:spacing w:val="1"/>
          <w:lang w:val="en-US"/>
        </w:rPr>
        <w:t>o</w:t>
      </w:r>
      <w:r w:rsidRPr="00E27F35">
        <w:rPr>
          <w:rFonts w:ascii="Calibri" w:hAnsi="Calibri" w:cs="Calibri"/>
          <w:spacing w:val="-2"/>
          <w:lang w:val="en-US"/>
        </w:rPr>
        <w:t>s</w:t>
      </w:r>
      <w:r w:rsidRPr="00E27F35">
        <w:rPr>
          <w:rFonts w:ascii="Calibri" w:hAnsi="Calibri" w:cs="Calibri"/>
          <w:lang w:val="en-US"/>
        </w:rPr>
        <w:t>ed</w:t>
      </w:r>
      <w:r w:rsidRPr="00E27F35">
        <w:rPr>
          <w:rFonts w:ascii="Calibri" w:hAnsi="Calibri" w:cs="Calibri"/>
          <w:spacing w:val="1"/>
          <w:lang w:val="en-US"/>
        </w:rPr>
        <w:t xml:space="preserve"> </w:t>
      </w:r>
      <w:r w:rsidRPr="00E27F35">
        <w:rPr>
          <w:rFonts w:ascii="Calibri" w:hAnsi="Calibri" w:cs="Calibri"/>
          <w:lang w:val="en-US"/>
        </w:rPr>
        <w:t>su</w:t>
      </w:r>
      <w:r w:rsidRPr="00E27F35">
        <w:rPr>
          <w:rFonts w:ascii="Calibri" w:hAnsi="Calibri" w:cs="Calibri"/>
          <w:spacing w:val="-2"/>
          <w:lang w:val="en-US"/>
        </w:rPr>
        <w:t>b-</w:t>
      </w:r>
      <w:r w:rsidRPr="00E27F35">
        <w:rPr>
          <w:rFonts w:ascii="Calibri" w:hAnsi="Calibri" w:cs="Calibri"/>
          <w:spacing w:val="-1"/>
          <w:lang w:val="en-US"/>
        </w:rPr>
        <w:t>p</w:t>
      </w:r>
      <w:r w:rsidRPr="00E27F35">
        <w:rPr>
          <w:rFonts w:ascii="Calibri" w:hAnsi="Calibri" w:cs="Calibri"/>
          <w:lang w:val="en-US"/>
        </w:rPr>
        <w:t>r</w:t>
      </w:r>
      <w:r w:rsidRPr="00E27F35">
        <w:rPr>
          <w:rFonts w:ascii="Calibri" w:hAnsi="Calibri" w:cs="Calibri"/>
          <w:spacing w:val="1"/>
          <w:lang w:val="en-US"/>
        </w:rPr>
        <w:t>o</w:t>
      </w:r>
      <w:r w:rsidRPr="00E27F35">
        <w:rPr>
          <w:rFonts w:ascii="Calibri" w:hAnsi="Calibri" w:cs="Calibri"/>
          <w:lang w:val="en-US"/>
        </w:rPr>
        <w:t>j</w:t>
      </w:r>
      <w:r w:rsidRPr="00E27F35">
        <w:rPr>
          <w:rFonts w:ascii="Calibri" w:hAnsi="Calibri" w:cs="Calibri"/>
          <w:spacing w:val="-2"/>
          <w:lang w:val="en-US"/>
        </w:rPr>
        <w:t>e</w:t>
      </w:r>
      <w:r w:rsidRPr="00E27F35">
        <w:rPr>
          <w:rFonts w:ascii="Calibri" w:hAnsi="Calibri" w:cs="Calibri"/>
          <w:lang w:val="en-US"/>
        </w:rPr>
        <w:t>c</w:t>
      </w:r>
      <w:r w:rsidRPr="00E27F35">
        <w:rPr>
          <w:rFonts w:ascii="Calibri" w:hAnsi="Calibri" w:cs="Calibri"/>
          <w:spacing w:val="-1"/>
          <w:lang w:val="en-US"/>
        </w:rPr>
        <w:t>t</w:t>
      </w:r>
      <w:r w:rsidRPr="00E27F35">
        <w:rPr>
          <w:rFonts w:ascii="Calibri" w:hAnsi="Calibri" w:cs="Calibri"/>
          <w:lang w:val="en-US"/>
        </w:rPr>
        <w:t>. It</w:t>
      </w:r>
      <w:r w:rsidRPr="00E27F35">
        <w:rPr>
          <w:rFonts w:ascii="Calibri" w:hAnsi="Calibri" w:cs="Calibri"/>
          <w:spacing w:val="1"/>
          <w:lang w:val="en-US"/>
        </w:rPr>
        <w:t xml:space="preserve"> </w:t>
      </w:r>
      <w:r w:rsidRPr="00E27F35">
        <w:rPr>
          <w:rFonts w:ascii="Calibri" w:hAnsi="Calibri" w:cs="Calibri"/>
          <w:lang w:val="en-US"/>
        </w:rPr>
        <w:t>will</w:t>
      </w:r>
      <w:r w:rsidRPr="00E27F35">
        <w:rPr>
          <w:rFonts w:ascii="Calibri" w:hAnsi="Calibri" w:cs="Calibri"/>
          <w:spacing w:val="1"/>
          <w:lang w:val="en-US"/>
        </w:rPr>
        <w:t xml:space="preserve"> </w:t>
      </w:r>
      <w:r w:rsidRPr="00E27F35">
        <w:rPr>
          <w:rFonts w:ascii="Calibri" w:hAnsi="Calibri" w:cs="Calibri"/>
          <w:spacing w:val="-1"/>
          <w:lang w:val="en-US"/>
        </w:rPr>
        <w:t>h</w:t>
      </w:r>
      <w:r w:rsidRPr="00E27F35">
        <w:rPr>
          <w:rFonts w:ascii="Calibri" w:hAnsi="Calibri" w:cs="Calibri"/>
          <w:lang w:val="en-US"/>
        </w:rPr>
        <w:t xml:space="preserve">elp the </w:t>
      </w:r>
      <w:r w:rsidRPr="00E27F35">
        <w:rPr>
          <w:rFonts w:ascii="Calibri" w:hAnsi="Calibri" w:cs="Calibri"/>
          <w:spacing w:val="1"/>
          <w:lang w:val="en-US"/>
        </w:rPr>
        <w:t>P</w:t>
      </w:r>
      <w:r w:rsidRPr="00E27F35">
        <w:rPr>
          <w:rFonts w:ascii="Calibri" w:hAnsi="Calibri" w:cs="Calibri"/>
          <w:spacing w:val="-2"/>
          <w:lang w:val="en-US"/>
        </w:rPr>
        <w:t>I</w:t>
      </w:r>
      <w:r w:rsidRPr="00E27F35">
        <w:rPr>
          <w:rFonts w:ascii="Calibri" w:hAnsi="Calibri" w:cs="Calibri"/>
          <w:lang w:val="en-US"/>
        </w:rPr>
        <w:t>U</w:t>
      </w:r>
      <w:r w:rsidRPr="00E27F35">
        <w:rPr>
          <w:rFonts w:ascii="Calibri" w:hAnsi="Calibri" w:cs="Calibri"/>
          <w:spacing w:val="1"/>
          <w:lang w:val="en-US"/>
        </w:rPr>
        <w:t xml:space="preserve"> </w:t>
      </w:r>
      <w:r w:rsidRPr="00E27F35">
        <w:rPr>
          <w:rFonts w:ascii="Calibri" w:hAnsi="Calibri" w:cs="Calibri"/>
          <w:lang w:val="en-US"/>
        </w:rPr>
        <w:t xml:space="preserve">in </w:t>
      </w:r>
      <w:r w:rsidRPr="00E27F35">
        <w:rPr>
          <w:rFonts w:ascii="Calibri" w:hAnsi="Calibri" w:cs="Calibri"/>
          <w:spacing w:val="-2"/>
          <w:lang w:val="en-US"/>
        </w:rPr>
        <w:t>e</w:t>
      </w:r>
      <w:r w:rsidRPr="00E27F35">
        <w:rPr>
          <w:rFonts w:ascii="Calibri" w:hAnsi="Calibri" w:cs="Calibri"/>
          <w:lang w:val="en-US"/>
        </w:rPr>
        <w:t>stab</w:t>
      </w:r>
      <w:r w:rsidRPr="00E27F35">
        <w:rPr>
          <w:rFonts w:ascii="Calibri" w:hAnsi="Calibri" w:cs="Calibri"/>
          <w:spacing w:val="-1"/>
          <w:lang w:val="en-US"/>
        </w:rPr>
        <w:t>l</w:t>
      </w:r>
      <w:r w:rsidRPr="00E27F35">
        <w:rPr>
          <w:rFonts w:ascii="Calibri" w:hAnsi="Calibri" w:cs="Calibri"/>
          <w:lang w:val="en-US"/>
        </w:rPr>
        <w:t>i</w:t>
      </w:r>
      <w:r w:rsidRPr="00E27F35">
        <w:rPr>
          <w:rFonts w:ascii="Calibri" w:hAnsi="Calibri" w:cs="Calibri"/>
          <w:spacing w:val="-3"/>
          <w:lang w:val="en-US"/>
        </w:rPr>
        <w:t>s</w:t>
      </w:r>
      <w:r w:rsidRPr="00E27F35">
        <w:rPr>
          <w:rFonts w:ascii="Calibri" w:hAnsi="Calibri" w:cs="Calibri"/>
          <w:spacing w:val="-1"/>
          <w:lang w:val="en-US"/>
        </w:rPr>
        <w:t>h</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g</w:t>
      </w:r>
      <w:r w:rsidRPr="00E27F35">
        <w:rPr>
          <w:rFonts w:ascii="Calibri" w:hAnsi="Calibri" w:cs="Calibri"/>
          <w:spacing w:val="1"/>
          <w:lang w:val="en-US"/>
        </w:rPr>
        <w:t xml:space="preserve"> </w:t>
      </w:r>
      <w:r w:rsidRPr="00E27F35">
        <w:rPr>
          <w:rFonts w:ascii="Calibri" w:hAnsi="Calibri" w:cs="Calibri"/>
          <w:lang w:val="en-US"/>
        </w:rPr>
        <w:t>an</w:t>
      </w:r>
      <w:r w:rsidRPr="00E27F35">
        <w:rPr>
          <w:rFonts w:ascii="Calibri" w:hAnsi="Calibri" w:cs="Calibri"/>
          <w:spacing w:val="1"/>
          <w:lang w:val="en-US"/>
        </w:rPr>
        <w:t xml:space="preserve"> </w:t>
      </w:r>
      <w:r w:rsidRPr="00E27F35">
        <w:rPr>
          <w:rFonts w:ascii="Calibri" w:hAnsi="Calibri" w:cs="Calibri"/>
          <w:lang w:val="en-US"/>
        </w:rPr>
        <w:t>a</w:t>
      </w:r>
      <w:r w:rsidRPr="00E27F35">
        <w:rPr>
          <w:rFonts w:ascii="Calibri" w:hAnsi="Calibri" w:cs="Calibri"/>
          <w:spacing w:val="-1"/>
          <w:lang w:val="en-US"/>
        </w:rPr>
        <w:t>pp</w:t>
      </w:r>
      <w:r w:rsidRPr="00E27F35">
        <w:rPr>
          <w:rFonts w:ascii="Calibri" w:hAnsi="Calibri" w:cs="Calibri"/>
          <w:lang w:val="en-US"/>
        </w:rPr>
        <w:t>r</w:t>
      </w:r>
      <w:r w:rsidRPr="00E27F35">
        <w:rPr>
          <w:rFonts w:ascii="Calibri" w:hAnsi="Calibri" w:cs="Calibri"/>
          <w:spacing w:val="1"/>
          <w:lang w:val="en-US"/>
        </w:rPr>
        <w:t>o</w:t>
      </w:r>
      <w:r w:rsidRPr="00E27F35">
        <w:rPr>
          <w:rFonts w:ascii="Calibri" w:hAnsi="Calibri" w:cs="Calibri"/>
          <w:spacing w:val="-1"/>
          <w:lang w:val="en-US"/>
        </w:rPr>
        <w:t>p</w:t>
      </w:r>
      <w:r w:rsidRPr="00E27F35">
        <w:rPr>
          <w:rFonts w:ascii="Calibri" w:hAnsi="Calibri" w:cs="Calibri"/>
          <w:lang w:val="en-US"/>
        </w:rPr>
        <w:t>ri</w:t>
      </w:r>
      <w:r w:rsidRPr="00E27F35">
        <w:rPr>
          <w:rFonts w:ascii="Calibri" w:hAnsi="Calibri" w:cs="Calibri"/>
          <w:spacing w:val="-1"/>
          <w:lang w:val="en-US"/>
        </w:rPr>
        <w:t>a</w:t>
      </w:r>
      <w:r w:rsidRPr="00E27F35">
        <w:rPr>
          <w:rFonts w:ascii="Calibri" w:hAnsi="Calibri" w:cs="Calibri"/>
          <w:lang w:val="en-US"/>
        </w:rPr>
        <w:t>te</w:t>
      </w:r>
      <w:r w:rsidRPr="00E27F35">
        <w:rPr>
          <w:rFonts w:ascii="Calibri" w:hAnsi="Calibri" w:cs="Calibri"/>
          <w:spacing w:val="2"/>
          <w:lang w:val="en-US"/>
        </w:rPr>
        <w:t xml:space="preserve"> </w:t>
      </w:r>
      <w:r w:rsidRPr="00E27F35">
        <w:rPr>
          <w:rFonts w:ascii="Calibri" w:hAnsi="Calibri" w:cs="Calibri"/>
          <w:spacing w:val="-2"/>
          <w:lang w:val="en-US"/>
        </w:rPr>
        <w:t>E</w:t>
      </w:r>
      <w:r w:rsidRPr="00E27F35">
        <w:rPr>
          <w:rFonts w:ascii="Calibri" w:hAnsi="Calibri" w:cs="Calibri"/>
          <w:lang w:val="en-US"/>
        </w:rPr>
        <w:t>&amp;S</w:t>
      </w:r>
      <w:r w:rsidRPr="00E27F35">
        <w:rPr>
          <w:rFonts w:ascii="Calibri" w:hAnsi="Calibri" w:cs="Calibri"/>
          <w:spacing w:val="2"/>
          <w:lang w:val="en-US"/>
        </w:rPr>
        <w:t xml:space="preserve"> </w:t>
      </w:r>
      <w:r w:rsidRPr="00E27F35">
        <w:rPr>
          <w:rFonts w:ascii="Calibri" w:hAnsi="Calibri" w:cs="Calibri"/>
          <w:lang w:val="en-US"/>
        </w:rPr>
        <w:t>risk</w:t>
      </w:r>
      <w:r w:rsidRPr="00E27F35">
        <w:rPr>
          <w:rFonts w:ascii="Calibri" w:hAnsi="Calibri" w:cs="Calibri"/>
          <w:spacing w:val="3"/>
          <w:lang w:val="en-US"/>
        </w:rPr>
        <w:t xml:space="preserve"> </w:t>
      </w:r>
      <w:r w:rsidRPr="00E27F35">
        <w:rPr>
          <w:rFonts w:ascii="Calibri" w:hAnsi="Calibri" w:cs="Calibri"/>
          <w:spacing w:val="-3"/>
          <w:lang w:val="en-US"/>
        </w:rPr>
        <w:t>r</w:t>
      </w:r>
      <w:r w:rsidRPr="00E27F35">
        <w:rPr>
          <w:rFonts w:ascii="Calibri" w:hAnsi="Calibri" w:cs="Calibri"/>
          <w:lang w:val="en-US"/>
        </w:rPr>
        <w:t>ati</w:t>
      </w:r>
      <w:r w:rsidRPr="00E27F35">
        <w:rPr>
          <w:rFonts w:ascii="Calibri" w:hAnsi="Calibri" w:cs="Calibri"/>
          <w:spacing w:val="-1"/>
          <w:lang w:val="en-US"/>
        </w:rPr>
        <w:t>n</w:t>
      </w:r>
      <w:r w:rsidRPr="00E27F35">
        <w:rPr>
          <w:rFonts w:ascii="Calibri" w:hAnsi="Calibri" w:cs="Calibri"/>
          <w:lang w:val="en-US"/>
        </w:rPr>
        <w:t>g</w:t>
      </w:r>
      <w:r w:rsidRPr="00E27F35">
        <w:rPr>
          <w:rFonts w:ascii="Calibri" w:hAnsi="Calibri" w:cs="Calibri"/>
          <w:spacing w:val="1"/>
          <w:lang w:val="en-US"/>
        </w:rPr>
        <w:t xml:space="preserve"> </w:t>
      </w:r>
      <w:r w:rsidRPr="00E27F35">
        <w:rPr>
          <w:rFonts w:ascii="Calibri" w:hAnsi="Calibri" w:cs="Calibri"/>
          <w:spacing w:val="-2"/>
          <w:lang w:val="en-US"/>
        </w:rPr>
        <w:t>f</w:t>
      </w:r>
      <w:r w:rsidRPr="00E27F35">
        <w:rPr>
          <w:rFonts w:ascii="Calibri" w:hAnsi="Calibri" w:cs="Calibri"/>
          <w:spacing w:val="1"/>
          <w:lang w:val="en-US"/>
        </w:rPr>
        <w:t>o</w:t>
      </w:r>
      <w:r w:rsidRPr="00E27F35">
        <w:rPr>
          <w:rFonts w:ascii="Calibri" w:hAnsi="Calibri" w:cs="Calibri"/>
          <w:lang w:val="en-US"/>
        </w:rPr>
        <w:t>r</w:t>
      </w:r>
      <w:r w:rsidRPr="00E27F35">
        <w:rPr>
          <w:rFonts w:ascii="Calibri" w:hAnsi="Calibri" w:cs="Calibri"/>
          <w:spacing w:val="2"/>
          <w:lang w:val="en-US"/>
        </w:rPr>
        <w:t xml:space="preserve"> </w:t>
      </w:r>
      <w:r w:rsidRPr="00E27F35">
        <w:rPr>
          <w:rFonts w:ascii="Calibri" w:hAnsi="Calibri" w:cs="Calibri"/>
          <w:lang w:val="en-US"/>
        </w:rPr>
        <w:t>t</w:t>
      </w:r>
      <w:r w:rsidRPr="00E27F35">
        <w:rPr>
          <w:rFonts w:ascii="Calibri" w:hAnsi="Calibri" w:cs="Calibri"/>
          <w:spacing w:val="-3"/>
          <w:lang w:val="en-US"/>
        </w:rPr>
        <w:t>h</w:t>
      </w:r>
      <w:r w:rsidRPr="00E27F35">
        <w:rPr>
          <w:rFonts w:ascii="Calibri" w:hAnsi="Calibri" w:cs="Calibri"/>
          <w:lang w:val="en-US"/>
        </w:rPr>
        <w:t>ese su</w:t>
      </w:r>
      <w:r w:rsidRPr="00E27F35">
        <w:rPr>
          <w:rFonts w:ascii="Calibri" w:hAnsi="Calibri" w:cs="Calibri"/>
          <w:spacing w:val="-2"/>
          <w:lang w:val="en-US"/>
        </w:rPr>
        <w:t>b-</w:t>
      </w:r>
      <w:r w:rsidRPr="00E27F35">
        <w:rPr>
          <w:rFonts w:ascii="Calibri" w:hAnsi="Calibri" w:cs="Calibri"/>
          <w:spacing w:val="-1"/>
          <w:lang w:val="en-US"/>
        </w:rPr>
        <w:t>p</w:t>
      </w:r>
      <w:r w:rsidRPr="00E27F35">
        <w:rPr>
          <w:rFonts w:ascii="Calibri" w:hAnsi="Calibri" w:cs="Calibri"/>
          <w:lang w:val="en-US"/>
        </w:rPr>
        <w:t>r</w:t>
      </w:r>
      <w:r w:rsidRPr="00E27F35">
        <w:rPr>
          <w:rFonts w:ascii="Calibri" w:hAnsi="Calibri" w:cs="Calibri"/>
          <w:spacing w:val="1"/>
          <w:lang w:val="en-US"/>
        </w:rPr>
        <w:t>o</w:t>
      </w:r>
      <w:r w:rsidRPr="00E27F35">
        <w:rPr>
          <w:rFonts w:ascii="Calibri" w:hAnsi="Calibri" w:cs="Calibri"/>
          <w:lang w:val="en-US"/>
        </w:rPr>
        <w:t>je</w:t>
      </w:r>
      <w:r w:rsidRPr="00E27F35">
        <w:rPr>
          <w:rFonts w:ascii="Calibri" w:hAnsi="Calibri" w:cs="Calibri"/>
          <w:spacing w:val="1"/>
          <w:lang w:val="en-US"/>
        </w:rPr>
        <w:t>c</w:t>
      </w:r>
      <w:r w:rsidRPr="00E27F35">
        <w:rPr>
          <w:rFonts w:ascii="Calibri" w:hAnsi="Calibri" w:cs="Calibri"/>
          <w:lang w:val="en-US"/>
        </w:rPr>
        <w:t>ts</w:t>
      </w:r>
      <w:r w:rsidRPr="00E27F35">
        <w:rPr>
          <w:rFonts w:ascii="Calibri" w:hAnsi="Calibri" w:cs="Calibri"/>
          <w:spacing w:val="1"/>
          <w:lang w:val="en-US"/>
        </w:rPr>
        <w:t xml:space="preserve"> </w:t>
      </w:r>
      <w:r w:rsidRPr="00E27F35">
        <w:rPr>
          <w:rFonts w:ascii="Calibri" w:hAnsi="Calibri" w:cs="Calibri"/>
          <w:lang w:val="en-US"/>
        </w:rPr>
        <w:t>a</w:t>
      </w:r>
      <w:r w:rsidRPr="00E27F35">
        <w:rPr>
          <w:rFonts w:ascii="Calibri" w:hAnsi="Calibri" w:cs="Calibri"/>
          <w:spacing w:val="-1"/>
          <w:lang w:val="en-US"/>
        </w:rPr>
        <w:t>n</w:t>
      </w:r>
      <w:r w:rsidRPr="00E27F35">
        <w:rPr>
          <w:rFonts w:ascii="Calibri" w:hAnsi="Calibri" w:cs="Calibri"/>
          <w:lang w:val="en-US"/>
        </w:rPr>
        <w:t>d</w:t>
      </w:r>
      <w:r w:rsidRPr="00E27F35">
        <w:rPr>
          <w:rFonts w:ascii="Calibri" w:hAnsi="Calibri" w:cs="Calibri"/>
          <w:spacing w:val="-1"/>
          <w:lang w:val="en-US"/>
        </w:rPr>
        <w:t xml:space="preserve"> </w:t>
      </w:r>
      <w:r w:rsidRPr="00E27F35">
        <w:rPr>
          <w:rFonts w:ascii="Calibri" w:hAnsi="Calibri" w:cs="Calibri"/>
          <w:lang w:val="en-US"/>
        </w:rPr>
        <w:t>specif</w:t>
      </w:r>
      <w:r w:rsidRPr="00E27F35">
        <w:rPr>
          <w:rFonts w:ascii="Calibri" w:hAnsi="Calibri" w:cs="Calibri"/>
          <w:spacing w:val="1"/>
          <w:lang w:val="en-US"/>
        </w:rPr>
        <w:t>y</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g</w:t>
      </w:r>
      <w:r w:rsidRPr="00E27F35">
        <w:rPr>
          <w:rFonts w:ascii="Calibri" w:hAnsi="Calibri" w:cs="Calibri"/>
          <w:spacing w:val="-3"/>
          <w:lang w:val="en-US"/>
        </w:rPr>
        <w:t xml:space="preserve"> </w:t>
      </w:r>
      <w:r w:rsidRPr="00E27F35">
        <w:rPr>
          <w:rFonts w:ascii="Calibri" w:hAnsi="Calibri" w:cs="Calibri"/>
          <w:spacing w:val="1"/>
          <w:lang w:val="en-US"/>
        </w:rPr>
        <w:t>t</w:t>
      </w:r>
      <w:r w:rsidRPr="00E27F35">
        <w:rPr>
          <w:rFonts w:ascii="Calibri" w:hAnsi="Calibri" w:cs="Calibri"/>
          <w:spacing w:val="-1"/>
          <w:lang w:val="en-US"/>
        </w:rPr>
        <w:t>h</w:t>
      </w:r>
      <w:r w:rsidRPr="00E27F35">
        <w:rPr>
          <w:rFonts w:ascii="Calibri" w:hAnsi="Calibri" w:cs="Calibri"/>
          <w:lang w:val="en-US"/>
        </w:rPr>
        <w:t>e</w:t>
      </w:r>
      <w:r w:rsidRPr="00E27F35">
        <w:rPr>
          <w:rFonts w:ascii="Calibri" w:hAnsi="Calibri" w:cs="Calibri"/>
          <w:spacing w:val="3"/>
          <w:lang w:val="en-US"/>
        </w:rPr>
        <w:t xml:space="preserve"> </w:t>
      </w:r>
      <w:r w:rsidRPr="00E27F35">
        <w:rPr>
          <w:rFonts w:ascii="Calibri" w:hAnsi="Calibri" w:cs="Calibri"/>
          <w:spacing w:val="-2"/>
          <w:lang w:val="en-US"/>
        </w:rPr>
        <w:t>t</w:t>
      </w:r>
      <w:r w:rsidRPr="00E27F35">
        <w:rPr>
          <w:rFonts w:ascii="Calibri" w:hAnsi="Calibri" w:cs="Calibri"/>
          <w:spacing w:val="1"/>
          <w:lang w:val="en-US"/>
        </w:rPr>
        <w:t>y</w:t>
      </w:r>
      <w:r w:rsidRPr="00E27F35">
        <w:rPr>
          <w:rFonts w:ascii="Calibri" w:hAnsi="Calibri" w:cs="Calibri"/>
          <w:spacing w:val="-1"/>
          <w:lang w:val="en-US"/>
        </w:rPr>
        <w:t>p</w:t>
      </w:r>
      <w:r w:rsidRPr="00E27F35">
        <w:rPr>
          <w:rFonts w:ascii="Calibri" w:hAnsi="Calibri" w:cs="Calibri"/>
          <w:lang w:val="en-US"/>
        </w:rPr>
        <w:t>e</w:t>
      </w:r>
      <w:r w:rsidRPr="00E27F35">
        <w:rPr>
          <w:rFonts w:ascii="Calibri" w:hAnsi="Calibri" w:cs="Calibri"/>
          <w:spacing w:val="1"/>
          <w:lang w:val="en-US"/>
        </w:rPr>
        <w:t xml:space="preserve"> o</w:t>
      </w:r>
      <w:r w:rsidRPr="00E27F35">
        <w:rPr>
          <w:rFonts w:ascii="Calibri" w:hAnsi="Calibri" w:cs="Calibri"/>
          <w:lang w:val="en-US"/>
        </w:rPr>
        <w:t>f e</w:t>
      </w:r>
      <w:r w:rsidRPr="00E27F35">
        <w:rPr>
          <w:rFonts w:ascii="Calibri" w:hAnsi="Calibri" w:cs="Calibri"/>
          <w:spacing w:val="-3"/>
          <w:lang w:val="en-US"/>
        </w:rPr>
        <w:t>n</w:t>
      </w:r>
      <w:r w:rsidRPr="00E27F35">
        <w:rPr>
          <w:rFonts w:ascii="Calibri" w:hAnsi="Calibri" w:cs="Calibri"/>
          <w:spacing w:val="1"/>
          <w:lang w:val="en-US"/>
        </w:rPr>
        <w:t>v</w:t>
      </w:r>
      <w:r w:rsidRPr="00E27F35">
        <w:rPr>
          <w:rFonts w:ascii="Calibri" w:hAnsi="Calibri" w:cs="Calibri"/>
          <w:lang w:val="en-US"/>
        </w:rPr>
        <w:t>iro</w:t>
      </w:r>
      <w:r w:rsidRPr="00E27F35">
        <w:rPr>
          <w:rFonts w:ascii="Calibri" w:hAnsi="Calibri" w:cs="Calibri"/>
          <w:spacing w:val="-2"/>
          <w:lang w:val="en-US"/>
        </w:rPr>
        <w:t>n</w:t>
      </w:r>
      <w:r w:rsidRPr="00E27F35">
        <w:rPr>
          <w:rFonts w:ascii="Calibri" w:hAnsi="Calibri" w:cs="Calibri"/>
          <w:spacing w:val="1"/>
          <w:lang w:val="en-US"/>
        </w:rPr>
        <w:t>m</w:t>
      </w:r>
      <w:r w:rsidRPr="00E27F35">
        <w:rPr>
          <w:rFonts w:ascii="Calibri" w:hAnsi="Calibri" w:cs="Calibri"/>
          <w:lang w:val="en-US"/>
        </w:rPr>
        <w:t>e</w:t>
      </w:r>
      <w:r w:rsidRPr="00E27F35">
        <w:rPr>
          <w:rFonts w:ascii="Calibri" w:hAnsi="Calibri" w:cs="Calibri"/>
          <w:spacing w:val="-3"/>
          <w:lang w:val="en-US"/>
        </w:rPr>
        <w:t>n</w:t>
      </w:r>
      <w:r w:rsidRPr="00E27F35">
        <w:rPr>
          <w:rFonts w:ascii="Calibri" w:hAnsi="Calibri" w:cs="Calibri"/>
          <w:lang w:val="en-US"/>
        </w:rPr>
        <w:t>tal and</w:t>
      </w:r>
      <w:r w:rsidRPr="00E27F35">
        <w:rPr>
          <w:rFonts w:ascii="Calibri" w:hAnsi="Calibri" w:cs="Calibri"/>
          <w:spacing w:val="1"/>
          <w:lang w:val="en-US"/>
        </w:rPr>
        <w:t xml:space="preserve"> </w:t>
      </w:r>
      <w:r w:rsidRPr="00E27F35">
        <w:rPr>
          <w:rFonts w:ascii="Calibri" w:hAnsi="Calibri" w:cs="Calibri"/>
          <w:lang w:val="en-US"/>
        </w:rPr>
        <w:t>s</w:t>
      </w:r>
      <w:r w:rsidRPr="00E27F35">
        <w:rPr>
          <w:rFonts w:ascii="Calibri" w:hAnsi="Calibri" w:cs="Calibri"/>
          <w:spacing w:val="1"/>
          <w:lang w:val="en-US"/>
        </w:rPr>
        <w:t>o</w:t>
      </w:r>
      <w:r w:rsidRPr="00E27F35">
        <w:rPr>
          <w:rFonts w:ascii="Calibri" w:hAnsi="Calibri" w:cs="Calibri"/>
          <w:lang w:val="en-US"/>
        </w:rPr>
        <w:t>cial as</w:t>
      </w:r>
      <w:r w:rsidRPr="00E27F35">
        <w:rPr>
          <w:rFonts w:ascii="Calibri" w:hAnsi="Calibri" w:cs="Calibri"/>
          <w:spacing w:val="-2"/>
          <w:lang w:val="en-US"/>
        </w:rPr>
        <w:t>s</w:t>
      </w:r>
      <w:r w:rsidRPr="00E27F35">
        <w:rPr>
          <w:rFonts w:ascii="Calibri" w:hAnsi="Calibri" w:cs="Calibri"/>
          <w:lang w:val="en-US"/>
        </w:rPr>
        <w:t>es</w:t>
      </w:r>
      <w:r w:rsidRPr="00E27F35">
        <w:rPr>
          <w:rFonts w:ascii="Calibri" w:hAnsi="Calibri" w:cs="Calibri"/>
          <w:spacing w:val="-2"/>
          <w:lang w:val="en-US"/>
        </w:rPr>
        <w:t>s</w:t>
      </w:r>
      <w:r w:rsidRPr="00E27F35">
        <w:rPr>
          <w:rFonts w:ascii="Calibri" w:hAnsi="Calibri" w:cs="Calibri"/>
          <w:spacing w:val="1"/>
          <w:lang w:val="en-US"/>
        </w:rPr>
        <w:t>m</w:t>
      </w:r>
      <w:r w:rsidRPr="00E27F35">
        <w:rPr>
          <w:rFonts w:ascii="Calibri" w:hAnsi="Calibri" w:cs="Calibri"/>
          <w:lang w:val="en-US"/>
        </w:rPr>
        <w:t>ent</w:t>
      </w:r>
      <w:r w:rsidRPr="00E27F35">
        <w:rPr>
          <w:rFonts w:ascii="Calibri" w:hAnsi="Calibri" w:cs="Calibri"/>
          <w:spacing w:val="1"/>
          <w:lang w:val="en-US"/>
        </w:rPr>
        <w:t xml:space="preserve"> </w:t>
      </w:r>
      <w:r w:rsidRPr="00E27F35">
        <w:rPr>
          <w:rFonts w:ascii="Calibri" w:hAnsi="Calibri" w:cs="Calibri"/>
          <w:lang w:val="en-US"/>
        </w:rPr>
        <w:t>req</w:t>
      </w:r>
      <w:r w:rsidRPr="00E27F35">
        <w:rPr>
          <w:rFonts w:ascii="Calibri" w:hAnsi="Calibri" w:cs="Calibri"/>
          <w:spacing w:val="-4"/>
          <w:lang w:val="en-US"/>
        </w:rPr>
        <w:t>u</w:t>
      </w:r>
      <w:r w:rsidRPr="00E27F35">
        <w:rPr>
          <w:rFonts w:ascii="Calibri" w:hAnsi="Calibri" w:cs="Calibri"/>
          <w:lang w:val="en-US"/>
        </w:rPr>
        <w:t>ire</w:t>
      </w:r>
      <w:r w:rsidRPr="00E27F35">
        <w:rPr>
          <w:rFonts w:ascii="Calibri" w:hAnsi="Calibri" w:cs="Calibri"/>
          <w:spacing w:val="-1"/>
          <w:lang w:val="en-US"/>
        </w:rPr>
        <w:t>d</w:t>
      </w:r>
      <w:r w:rsidRPr="00E27F35">
        <w:rPr>
          <w:rFonts w:ascii="Calibri" w:hAnsi="Calibri" w:cs="Calibri"/>
          <w:lang w:val="en-US"/>
        </w:rPr>
        <w:t>,</w:t>
      </w:r>
      <w:r w:rsidRPr="00E27F35">
        <w:rPr>
          <w:rFonts w:ascii="Calibri" w:hAnsi="Calibri" w:cs="Calibri"/>
          <w:spacing w:val="3"/>
          <w:lang w:val="en-US"/>
        </w:rPr>
        <w:t xml:space="preserve"> </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cl</w:t>
      </w:r>
      <w:r w:rsidRPr="00E27F35">
        <w:rPr>
          <w:rFonts w:ascii="Calibri" w:hAnsi="Calibri" w:cs="Calibri"/>
          <w:spacing w:val="-1"/>
          <w:lang w:val="en-US"/>
        </w:rPr>
        <w:t>ud</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g</w:t>
      </w:r>
      <w:r w:rsidRPr="00E27F35">
        <w:rPr>
          <w:rFonts w:ascii="Calibri" w:hAnsi="Calibri" w:cs="Calibri"/>
          <w:spacing w:val="2"/>
          <w:lang w:val="en-US"/>
        </w:rPr>
        <w:t xml:space="preserve"> </w:t>
      </w:r>
      <w:r w:rsidRPr="00E27F35">
        <w:rPr>
          <w:rFonts w:ascii="Calibri" w:hAnsi="Calibri" w:cs="Calibri"/>
          <w:lang w:val="en-US"/>
        </w:rPr>
        <w:t>specif</w:t>
      </w:r>
      <w:r w:rsidRPr="00E27F35">
        <w:rPr>
          <w:rFonts w:ascii="Calibri" w:hAnsi="Calibri" w:cs="Calibri"/>
          <w:spacing w:val="-3"/>
          <w:lang w:val="en-US"/>
        </w:rPr>
        <w:t>i</w:t>
      </w:r>
      <w:r w:rsidRPr="00E27F35">
        <w:rPr>
          <w:rFonts w:ascii="Calibri" w:hAnsi="Calibri" w:cs="Calibri"/>
          <w:lang w:val="en-US"/>
        </w:rPr>
        <w:t>c i</w:t>
      </w:r>
      <w:r w:rsidRPr="00E27F35">
        <w:rPr>
          <w:rFonts w:ascii="Calibri" w:hAnsi="Calibri" w:cs="Calibri"/>
          <w:spacing w:val="-1"/>
          <w:lang w:val="en-US"/>
        </w:rPr>
        <w:t>n</w:t>
      </w:r>
      <w:r w:rsidRPr="00E27F35">
        <w:rPr>
          <w:rFonts w:ascii="Calibri" w:hAnsi="Calibri" w:cs="Calibri"/>
          <w:lang w:val="en-US"/>
        </w:rPr>
        <w:t>strumen</w:t>
      </w:r>
      <w:r w:rsidRPr="00E27F35">
        <w:rPr>
          <w:rFonts w:ascii="Calibri" w:hAnsi="Calibri" w:cs="Calibri"/>
          <w:spacing w:val="-2"/>
          <w:lang w:val="en-US"/>
        </w:rPr>
        <w:t>t</w:t>
      </w:r>
      <w:r w:rsidRPr="00E27F35">
        <w:rPr>
          <w:rFonts w:ascii="Calibri" w:hAnsi="Calibri" w:cs="Calibri"/>
          <w:lang w:val="en-US"/>
        </w:rPr>
        <w:t>s</w:t>
      </w:r>
      <w:r w:rsidRPr="00E27F35">
        <w:rPr>
          <w:rFonts w:ascii="Calibri" w:hAnsi="Calibri" w:cs="Calibri"/>
          <w:spacing w:val="1"/>
          <w:lang w:val="en-US"/>
        </w:rPr>
        <w:t>/</w:t>
      </w:r>
      <w:r w:rsidRPr="00E27F35">
        <w:rPr>
          <w:rFonts w:ascii="Calibri" w:hAnsi="Calibri" w:cs="Calibri"/>
          <w:spacing w:val="-1"/>
          <w:lang w:val="en-US"/>
        </w:rPr>
        <w:t>p</w:t>
      </w:r>
      <w:r w:rsidRPr="00E27F35">
        <w:rPr>
          <w:rFonts w:ascii="Calibri" w:hAnsi="Calibri" w:cs="Calibri"/>
          <w:lang w:val="en-US"/>
        </w:rPr>
        <w:t>la</w:t>
      </w:r>
      <w:r w:rsidRPr="00E27F35">
        <w:rPr>
          <w:rFonts w:ascii="Calibri" w:hAnsi="Calibri" w:cs="Calibri"/>
          <w:spacing w:val="-1"/>
          <w:lang w:val="en-US"/>
        </w:rPr>
        <w:t>n</w:t>
      </w:r>
      <w:r w:rsidRPr="00E27F35">
        <w:rPr>
          <w:rFonts w:ascii="Calibri" w:hAnsi="Calibri" w:cs="Calibri"/>
          <w:lang w:val="en-US"/>
        </w:rPr>
        <w:t>s.</w:t>
      </w:r>
      <w:r w:rsidRPr="00E27F35">
        <w:rPr>
          <w:rFonts w:ascii="Calibri" w:hAnsi="Calibri" w:cs="Calibri"/>
          <w:spacing w:val="3"/>
          <w:lang w:val="en-US"/>
        </w:rPr>
        <w:t xml:space="preserve"> </w:t>
      </w:r>
      <w:r w:rsidRPr="00E27F35">
        <w:rPr>
          <w:rFonts w:ascii="Calibri" w:hAnsi="Calibri" w:cs="Calibri"/>
          <w:lang w:val="en-US"/>
        </w:rPr>
        <w:t>Use</w:t>
      </w:r>
      <w:r w:rsidRPr="00E27F35">
        <w:rPr>
          <w:rFonts w:ascii="Calibri" w:hAnsi="Calibri" w:cs="Calibri"/>
          <w:spacing w:val="1"/>
          <w:lang w:val="en-US"/>
        </w:rPr>
        <w:t xml:space="preserve"> o</w:t>
      </w:r>
      <w:r w:rsidRPr="00E27F35">
        <w:rPr>
          <w:rFonts w:ascii="Calibri" w:hAnsi="Calibri" w:cs="Calibri"/>
          <w:lang w:val="en-US"/>
        </w:rPr>
        <w:t>f</w:t>
      </w:r>
      <w:r w:rsidRPr="00E27F35">
        <w:rPr>
          <w:rFonts w:ascii="Calibri" w:hAnsi="Calibri" w:cs="Calibri"/>
          <w:spacing w:val="3"/>
          <w:lang w:val="en-US"/>
        </w:rPr>
        <w:t xml:space="preserve"> </w:t>
      </w:r>
      <w:r w:rsidRPr="00E27F35">
        <w:rPr>
          <w:rFonts w:ascii="Calibri" w:hAnsi="Calibri" w:cs="Calibri"/>
          <w:spacing w:val="-2"/>
          <w:lang w:val="en-US"/>
        </w:rPr>
        <w:t>t</w:t>
      </w:r>
      <w:r w:rsidRPr="00E27F35">
        <w:rPr>
          <w:rFonts w:ascii="Calibri" w:hAnsi="Calibri" w:cs="Calibri"/>
          <w:spacing w:val="-1"/>
          <w:lang w:val="en-US"/>
        </w:rPr>
        <w:t>h</w:t>
      </w:r>
      <w:r w:rsidRPr="00E27F35">
        <w:rPr>
          <w:rFonts w:ascii="Calibri" w:hAnsi="Calibri" w:cs="Calibri"/>
          <w:lang w:val="en-US"/>
        </w:rPr>
        <w:t>is</w:t>
      </w:r>
      <w:r w:rsidRPr="00E27F35">
        <w:rPr>
          <w:rFonts w:ascii="Calibri" w:hAnsi="Calibri" w:cs="Calibri"/>
          <w:spacing w:val="4"/>
          <w:lang w:val="en-US"/>
        </w:rPr>
        <w:t xml:space="preserve"> </w:t>
      </w:r>
      <w:r w:rsidRPr="00E27F35">
        <w:rPr>
          <w:rFonts w:ascii="Calibri" w:hAnsi="Calibri" w:cs="Calibri"/>
          <w:lang w:val="en-US"/>
        </w:rPr>
        <w:t>f</w:t>
      </w:r>
      <w:r w:rsidRPr="00E27F35">
        <w:rPr>
          <w:rFonts w:ascii="Calibri" w:hAnsi="Calibri" w:cs="Calibri"/>
          <w:spacing w:val="1"/>
          <w:lang w:val="en-US"/>
        </w:rPr>
        <w:t>o</w:t>
      </w:r>
      <w:r w:rsidRPr="00E27F35">
        <w:rPr>
          <w:rFonts w:ascii="Calibri" w:hAnsi="Calibri" w:cs="Calibri"/>
          <w:lang w:val="en-US"/>
        </w:rPr>
        <w:t>rm</w:t>
      </w:r>
      <w:r w:rsidRPr="00E27F35">
        <w:rPr>
          <w:rFonts w:ascii="Calibri" w:hAnsi="Calibri" w:cs="Calibri"/>
          <w:spacing w:val="4"/>
          <w:lang w:val="en-US"/>
        </w:rPr>
        <w:t xml:space="preserve"> </w:t>
      </w:r>
      <w:r w:rsidRPr="00E27F35">
        <w:rPr>
          <w:rFonts w:ascii="Calibri" w:hAnsi="Calibri" w:cs="Calibri"/>
          <w:lang w:val="en-US"/>
        </w:rPr>
        <w:t>will</w:t>
      </w:r>
      <w:r w:rsidRPr="00E27F35">
        <w:rPr>
          <w:rFonts w:ascii="Calibri" w:hAnsi="Calibri" w:cs="Calibri"/>
          <w:spacing w:val="3"/>
          <w:lang w:val="en-US"/>
        </w:rPr>
        <w:t xml:space="preserve"> </w:t>
      </w:r>
      <w:r w:rsidRPr="00E27F35">
        <w:rPr>
          <w:rFonts w:ascii="Calibri" w:hAnsi="Calibri" w:cs="Calibri"/>
          <w:lang w:val="en-US"/>
        </w:rPr>
        <w:t>al</w:t>
      </w:r>
      <w:r w:rsidRPr="00E27F35">
        <w:rPr>
          <w:rFonts w:ascii="Calibri" w:hAnsi="Calibri" w:cs="Calibri"/>
          <w:spacing w:val="-3"/>
          <w:lang w:val="en-US"/>
        </w:rPr>
        <w:t>l</w:t>
      </w:r>
      <w:r w:rsidRPr="00E27F35">
        <w:rPr>
          <w:rFonts w:ascii="Calibri" w:hAnsi="Calibri" w:cs="Calibri"/>
          <w:spacing w:val="1"/>
          <w:lang w:val="en-US"/>
        </w:rPr>
        <w:t>o</w:t>
      </w:r>
      <w:r w:rsidRPr="00E27F35">
        <w:rPr>
          <w:rFonts w:ascii="Calibri" w:hAnsi="Calibri" w:cs="Calibri"/>
          <w:lang w:val="en-US"/>
        </w:rPr>
        <w:t>w</w:t>
      </w:r>
      <w:r w:rsidRPr="00E27F35">
        <w:rPr>
          <w:rFonts w:ascii="Calibri" w:hAnsi="Calibri" w:cs="Calibri"/>
          <w:spacing w:val="4"/>
          <w:lang w:val="en-US"/>
        </w:rPr>
        <w:t xml:space="preserve"> </w:t>
      </w:r>
      <w:r w:rsidRPr="00E27F35">
        <w:rPr>
          <w:rFonts w:ascii="Calibri" w:hAnsi="Calibri" w:cs="Calibri"/>
          <w:lang w:val="en-US"/>
        </w:rPr>
        <w:t>t</w:t>
      </w:r>
      <w:r w:rsidRPr="00E27F35">
        <w:rPr>
          <w:rFonts w:ascii="Calibri" w:hAnsi="Calibri" w:cs="Calibri"/>
          <w:spacing w:val="-3"/>
          <w:lang w:val="en-US"/>
        </w:rPr>
        <w:t>h</w:t>
      </w:r>
      <w:r w:rsidRPr="00E27F35">
        <w:rPr>
          <w:rFonts w:ascii="Calibri" w:hAnsi="Calibri" w:cs="Calibri"/>
          <w:lang w:val="en-US"/>
        </w:rPr>
        <w:t>e</w:t>
      </w:r>
      <w:r w:rsidRPr="00E27F35">
        <w:rPr>
          <w:rFonts w:ascii="Calibri" w:hAnsi="Calibri" w:cs="Calibri"/>
          <w:spacing w:val="4"/>
          <w:lang w:val="en-US"/>
        </w:rPr>
        <w:t xml:space="preserve"> </w:t>
      </w:r>
      <w:r w:rsidRPr="00E27F35">
        <w:rPr>
          <w:rFonts w:ascii="Calibri" w:hAnsi="Calibri" w:cs="Calibri"/>
          <w:spacing w:val="-1"/>
          <w:lang w:val="en-US"/>
        </w:rPr>
        <w:t>P</w:t>
      </w:r>
      <w:r w:rsidRPr="00E27F35">
        <w:rPr>
          <w:rFonts w:ascii="Calibri" w:hAnsi="Calibri" w:cs="Calibri"/>
          <w:spacing w:val="-2"/>
          <w:lang w:val="en-US"/>
        </w:rPr>
        <w:t>I</w:t>
      </w:r>
      <w:r w:rsidRPr="00E27F35">
        <w:rPr>
          <w:rFonts w:ascii="Calibri" w:hAnsi="Calibri" w:cs="Calibri"/>
          <w:lang w:val="en-US"/>
        </w:rPr>
        <w:t>U</w:t>
      </w:r>
      <w:r w:rsidRPr="00E27F35">
        <w:rPr>
          <w:rFonts w:ascii="Calibri" w:hAnsi="Calibri" w:cs="Calibri"/>
          <w:spacing w:val="3"/>
          <w:lang w:val="en-US"/>
        </w:rPr>
        <w:t xml:space="preserve"> </w:t>
      </w:r>
      <w:r w:rsidRPr="00E27F35">
        <w:rPr>
          <w:rFonts w:ascii="Calibri" w:hAnsi="Calibri" w:cs="Calibri"/>
          <w:lang w:val="en-US"/>
        </w:rPr>
        <w:t>to</w:t>
      </w:r>
      <w:r w:rsidRPr="00E27F35">
        <w:rPr>
          <w:rFonts w:ascii="Calibri" w:hAnsi="Calibri" w:cs="Calibri"/>
          <w:spacing w:val="4"/>
          <w:lang w:val="en-US"/>
        </w:rPr>
        <w:t xml:space="preserve"> </w:t>
      </w:r>
      <w:r w:rsidRPr="00E27F35">
        <w:rPr>
          <w:rFonts w:ascii="Calibri" w:hAnsi="Calibri" w:cs="Calibri"/>
          <w:lang w:val="en-US"/>
        </w:rPr>
        <w:t>f</w:t>
      </w:r>
      <w:r w:rsidRPr="00E27F35">
        <w:rPr>
          <w:rFonts w:ascii="Calibri" w:hAnsi="Calibri" w:cs="Calibri"/>
          <w:spacing w:val="1"/>
          <w:lang w:val="en-US"/>
        </w:rPr>
        <w:t>o</w:t>
      </w:r>
      <w:r w:rsidRPr="00E27F35">
        <w:rPr>
          <w:rFonts w:ascii="Calibri" w:hAnsi="Calibri" w:cs="Calibri"/>
          <w:spacing w:val="-3"/>
          <w:lang w:val="en-US"/>
        </w:rPr>
        <w:t>r</w:t>
      </w:r>
      <w:r w:rsidRPr="00E27F35">
        <w:rPr>
          <w:rFonts w:ascii="Calibri" w:hAnsi="Calibri" w:cs="Calibri"/>
          <w:lang w:val="en-US"/>
        </w:rPr>
        <w:t>m</w:t>
      </w:r>
      <w:r w:rsidRPr="00E27F35">
        <w:rPr>
          <w:rFonts w:ascii="Calibri" w:hAnsi="Calibri" w:cs="Calibri"/>
          <w:spacing w:val="5"/>
          <w:lang w:val="en-US"/>
        </w:rPr>
        <w:t xml:space="preserve"> </w:t>
      </w:r>
      <w:r w:rsidRPr="00E27F35">
        <w:rPr>
          <w:rFonts w:ascii="Calibri" w:hAnsi="Calibri" w:cs="Calibri"/>
          <w:lang w:val="en-US"/>
        </w:rPr>
        <w:t>an</w:t>
      </w:r>
      <w:r w:rsidRPr="00E27F35">
        <w:rPr>
          <w:rFonts w:ascii="Calibri" w:hAnsi="Calibri" w:cs="Calibri"/>
          <w:spacing w:val="2"/>
          <w:lang w:val="en-US"/>
        </w:rPr>
        <w:t xml:space="preserve"> </w:t>
      </w:r>
      <w:r w:rsidRPr="00E27F35">
        <w:rPr>
          <w:rFonts w:ascii="Calibri" w:hAnsi="Calibri" w:cs="Calibri"/>
          <w:lang w:val="en-US"/>
        </w:rPr>
        <w:t>i</w:t>
      </w:r>
      <w:r w:rsidRPr="00E27F35">
        <w:rPr>
          <w:rFonts w:ascii="Calibri" w:hAnsi="Calibri" w:cs="Calibri"/>
          <w:spacing w:val="-1"/>
          <w:lang w:val="en-US"/>
        </w:rPr>
        <w:t>n</w:t>
      </w:r>
      <w:r w:rsidRPr="00E27F35">
        <w:rPr>
          <w:rFonts w:ascii="Calibri" w:hAnsi="Calibri" w:cs="Calibri"/>
          <w:lang w:val="en-US"/>
        </w:rPr>
        <w:t>itial</w:t>
      </w:r>
      <w:r w:rsidRPr="00E27F35">
        <w:rPr>
          <w:rFonts w:ascii="Calibri" w:hAnsi="Calibri" w:cs="Calibri"/>
          <w:spacing w:val="2"/>
          <w:lang w:val="en-US"/>
        </w:rPr>
        <w:t xml:space="preserve"> </w:t>
      </w:r>
      <w:r w:rsidRPr="00E27F35">
        <w:rPr>
          <w:rFonts w:ascii="Calibri" w:hAnsi="Calibri" w:cs="Calibri"/>
          <w:spacing w:val="1"/>
          <w:lang w:val="en-US"/>
        </w:rPr>
        <w:t>v</w:t>
      </w:r>
      <w:r w:rsidRPr="00E27F35">
        <w:rPr>
          <w:rFonts w:ascii="Calibri" w:hAnsi="Calibri" w:cs="Calibri"/>
          <w:spacing w:val="-3"/>
          <w:lang w:val="en-US"/>
        </w:rPr>
        <w:t>i</w:t>
      </w:r>
      <w:r w:rsidRPr="00E27F35">
        <w:rPr>
          <w:rFonts w:ascii="Calibri" w:hAnsi="Calibri" w:cs="Calibri"/>
          <w:lang w:val="en-US"/>
        </w:rPr>
        <w:t>ew</w:t>
      </w:r>
      <w:r w:rsidRPr="00E27F35">
        <w:rPr>
          <w:rFonts w:ascii="Calibri" w:hAnsi="Calibri" w:cs="Calibri"/>
          <w:spacing w:val="4"/>
          <w:lang w:val="en-US"/>
        </w:rPr>
        <w:t xml:space="preserve"> </w:t>
      </w:r>
      <w:r w:rsidRPr="00E27F35">
        <w:rPr>
          <w:rFonts w:ascii="Calibri" w:hAnsi="Calibri" w:cs="Calibri"/>
          <w:spacing w:val="1"/>
          <w:lang w:val="en-US"/>
        </w:rPr>
        <w:t>o</w:t>
      </w:r>
      <w:r w:rsidRPr="00E27F35">
        <w:rPr>
          <w:rFonts w:ascii="Calibri" w:hAnsi="Calibri" w:cs="Calibri"/>
          <w:lang w:val="en-US"/>
        </w:rPr>
        <w:t>f the</w:t>
      </w:r>
      <w:r w:rsidRPr="00E27F35">
        <w:rPr>
          <w:rFonts w:ascii="Calibri" w:hAnsi="Calibri" w:cs="Calibri"/>
          <w:spacing w:val="3"/>
          <w:lang w:val="en-US"/>
        </w:rPr>
        <w:t xml:space="preserve"> </w:t>
      </w:r>
      <w:r w:rsidRPr="00E27F35">
        <w:rPr>
          <w:rFonts w:ascii="Calibri" w:hAnsi="Calibri" w:cs="Calibri"/>
          <w:spacing w:val="-1"/>
          <w:lang w:val="en-US"/>
        </w:rPr>
        <w:t>p</w:t>
      </w:r>
      <w:r w:rsidRPr="00E27F35">
        <w:rPr>
          <w:rFonts w:ascii="Calibri" w:hAnsi="Calibri" w:cs="Calibri"/>
          <w:spacing w:val="1"/>
          <w:lang w:val="en-US"/>
        </w:rPr>
        <w:t>o</w:t>
      </w:r>
      <w:r w:rsidRPr="00E27F35">
        <w:rPr>
          <w:rFonts w:ascii="Calibri" w:hAnsi="Calibri" w:cs="Calibri"/>
          <w:lang w:val="en-US"/>
        </w:rPr>
        <w:t>t</w:t>
      </w:r>
      <w:r w:rsidRPr="00E27F35">
        <w:rPr>
          <w:rFonts w:ascii="Calibri" w:hAnsi="Calibri" w:cs="Calibri"/>
          <w:spacing w:val="1"/>
          <w:lang w:val="en-US"/>
        </w:rPr>
        <w:t>e</w:t>
      </w:r>
      <w:r w:rsidRPr="00E27F35">
        <w:rPr>
          <w:rFonts w:ascii="Calibri" w:hAnsi="Calibri" w:cs="Calibri"/>
          <w:spacing w:val="-1"/>
          <w:lang w:val="en-US"/>
        </w:rPr>
        <w:t>n</w:t>
      </w:r>
      <w:r w:rsidRPr="00E27F35">
        <w:rPr>
          <w:rFonts w:ascii="Calibri" w:hAnsi="Calibri" w:cs="Calibri"/>
          <w:lang w:val="en-US"/>
        </w:rPr>
        <w:t>tial</w:t>
      </w:r>
      <w:r w:rsidRPr="00E27F35">
        <w:rPr>
          <w:rFonts w:ascii="Calibri" w:hAnsi="Calibri" w:cs="Calibri"/>
          <w:spacing w:val="3"/>
          <w:lang w:val="en-US"/>
        </w:rPr>
        <w:t xml:space="preserve"> </w:t>
      </w:r>
      <w:r w:rsidRPr="00E27F35">
        <w:rPr>
          <w:rFonts w:ascii="Calibri" w:hAnsi="Calibri" w:cs="Calibri"/>
          <w:lang w:val="en-US"/>
        </w:rPr>
        <w:t>ri</w:t>
      </w:r>
      <w:r w:rsidRPr="00E27F35">
        <w:rPr>
          <w:rFonts w:ascii="Calibri" w:hAnsi="Calibri" w:cs="Calibri"/>
          <w:spacing w:val="-3"/>
          <w:lang w:val="en-US"/>
        </w:rPr>
        <w:t>s</w:t>
      </w:r>
      <w:r w:rsidRPr="00E27F35">
        <w:rPr>
          <w:rFonts w:ascii="Calibri" w:hAnsi="Calibri" w:cs="Calibri"/>
          <w:lang w:val="en-US"/>
        </w:rPr>
        <w:t>ks</w:t>
      </w:r>
      <w:r w:rsidRPr="00E27F35">
        <w:rPr>
          <w:rFonts w:ascii="Calibri" w:hAnsi="Calibri" w:cs="Calibri"/>
          <w:spacing w:val="3"/>
          <w:lang w:val="en-US"/>
        </w:rPr>
        <w:t xml:space="preserve"> </w:t>
      </w:r>
      <w:r w:rsidRPr="00E27F35">
        <w:rPr>
          <w:rFonts w:ascii="Calibri" w:hAnsi="Calibri" w:cs="Calibri"/>
          <w:lang w:val="en-US"/>
        </w:rPr>
        <w:t>a</w:t>
      </w:r>
      <w:r w:rsidRPr="00E27F35">
        <w:rPr>
          <w:rFonts w:ascii="Calibri" w:hAnsi="Calibri" w:cs="Calibri"/>
          <w:spacing w:val="-1"/>
          <w:lang w:val="en-US"/>
        </w:rPr>
        <w:t>n</w:t>
      </w:r>
      <w:r w:rsidRPr="00E27F35">
        <w:rPr>
          <w:rFonts w:ascii="Calibri" w:hAnsi="Calibri" w:cs="Calibri"/>
          <w:lang w:val="en-US"/>
        </w:rPr>
        <w:t>d i</w:t>
      </w:r>
      <w:r w:rsidRPr="00E27F35">
        <w:rPr>
          <w:rFonts w:ascii="Calibri" w:hAnsi="Calibri" w:cs="Calibri"/>
          <w:spacing w:val="1"/>
          <w:lang w:val="en-US"/>
        </w:rPr>
        <w:t>m</w:t>
      </w:r>
      <w:r w:rsidRPr="00E27F35">
        <w:rPr>
          <w:rFonts w:ascii="Calibri" w:hAnsi="Calibri" w:cs="Calibri"/>
          <w:spacing w:val="-1"/>
          <w:lang w:val="en-US"/>
        </w:rPr>
        <w:t>p</w:t>
      </w:r>
      <w:r w:rsidRPr="00E27F35">
        <w:rPr>
          <w:rFonts w:ascii="Calibri" w:hAnsi="Calibri" w:cs="Calibri"/>
          <w:lang w:val="en-US"/>
        </w:rPr>
        <w:t>acts</w:t>
      </w:r>
      <w:r w:rsidRPr="00E27F35">
        <w:rPr>
          <w:rFonts w:ascii="Calibri" w:hAnsi="Calibri" w:cs="Calibri"/>
          <w:spacing w:val="-6"/>
          <w:lang w:val="en-US"/>
        </w:rPr>
        <w:t xml:space="preserve"> </w:t>
      </w:r>
      <w:r w:rsidRPr="00E27F35">
        <w:rPr>
          <w:rFonts w:ascii="Calibri" w:hAnsi="Calibri" w:cs="Calibri"/>
          <w:spacing w:val="1"/>
          <w:lang w:val="en-US"/>
        </w:rPr>
        <w:t>o</w:t>
      </w:r>
      <w:r w:rsidRPr="00E27F35">
        <w:rPr>
          <w:rFonts w:ascii="Calibri" w:hAnsi="Calibri" w:cs="Calibri"/>
          <w:lang w:val="en-US"/>
        </w:rPr>
        <w:t>f</w:t>
      </w:r>
      <w:r w:rsidRPr="00E27F35">
        <w:rPr>
          <w:rFonts w:ascii="Calibri" w:hAnsi="Calibri" w:cs="Calibri"/>
          <w:spacing w:val="-4"/>
          <w:lang w:val="en-US"/>
        </w:rPr>
        <w:t xml:space="preserve"> </w:t>
      </w:r>
      <w:r w:rsidRPr="00E27F35">
        <w:rPr>
          <w:rFonts w:ascii="Calibri" w:hAnsi="Calibri" w:cs="Calibri"/>
          <w:lang w:val="en-US"/>
        </w:rPr>
        <w:t>a</w:t>
      </w:r>
      <w:r w:rsidRPr="00E27F35">
        <w:rPr>
          <w:rFonts w:ascii="Calibri" w:hAnsi="Calibri" w:cs="Calibri"/>
          <w:spacing w:val="-7"/>
          <w:lang w:val="en-US"/>
        </w:rPr>
        <w:t xml:space="preserve"> </w:t>
      </w:r>
      <w:r w:rsidRPr="00E27F35">
        <w:rPr>
          <w:rFonts w:ascii="Calibri" w:hAnsi="Calibri" w:cs="Calibri"/>
          <w:lang w:val="en-US"/>
        </w:rPr>
        <w:t>su</w:t>
      </w:r>
      <w:r w:rsidRPr="00E27F35">
        <w:rPr>
          <w:rFonts w:ascii="Calibri" w:hAnsi="Calibri" w:cs="Calibri"/>
          <w:spacing w:val="-2"/>
          <w:lang w:val="en-US"/>
        </w:rPr>
        <w:t>b-</w:t>
      </w:r>
      <w:r w:rsidRPr="00E27F35">
        <w:rPr>
          <w:rFonts w:ascii="Calibri" w:hAnsi="Calibri" w:cs="Calibri"/>
          <w:spacing w:val="-1"/>
          <w:lang w:val="en-US"/>
        </w:rPr>
        <w:t>p</w:t>
      </w:r>
      <w:r w:rsidRPr="00E27F35">
        <w:rPr>
          <w:rFonts w:ascii="Calibri" w:hAnsi="Calibri" w:cs="Calibri"/>
          <w:lang w:val="en-US"/>
        </w:rPr>
        <w:t>r</w:t>
      </w:r>
      <w:r w:rsidRPr="00E27F35">
        <w:rPr>
          <w:rFonts w:ascii="Calibri" w:hAnsi="Calibri" w:cs="Calibri"/>
          <w:spacing w:val="1"/>
          <w:lang w:val="en-US"/>
        </w:rPr>
        <w:t>o</w:t>
      </w:r>
      <w:r w:rsidRPr="00E27F35">
        <w:rPr>
          <w:rFonts w:ascii="Calibri" w:hAnsi="Calibri" w:cs="Calibri"/>
          <w:lang w:val="en-US"/>
        </w:rPr>
        <w:t>j</w:t>
      </w:r>
      <w:r w:rsidRPr="00E27F35">
        <w:rPr>
          <w:rFonts w:ascii="Calibri" w:hAnsi="Calibri" w:cs="Calibri"/>
          <w:spacing w:val="-2"/>
          <w:lang w:val="en-US"/>
        </w:rPr>
        <w:t>e</w:t>
      </w:r>
      <w:r w:rsidRPr="00E27F35">
        <w:rPr>
          <w:rFonts w:ascii="Calibri" w:hAnsi="Calibri" w:cs="Calibri"/>
          <w:lang w:val="en-US"/>
        </w:rPr>
        <w:t>c</w:t>
      </w:r>
      <w:r w:rsidRPr="00E27F35">
        <w:rPr>
          <w:rFonts w:ascii="Calibri" w:hAnsi="Calibri" w:cs="Calibri"/>
          <w:spacing w:val="-1"/>
          <w:lang w:val="en-US"/>
        </w:rPr>
        <w:t>t</w:t>
      </w:r>
      <w:r w:rsidRPr="00E27F35">
        <w:rPr>
          <w:rFonts w:ascii="Calibri" w:hAnsi="Calibri" w:cs="Calibri"/>
          <w:b/>
          <w:bCs/>
          <w:i/>
          <w:lang w:val="en-US"/>
        </w:rPr>
        <w:t>.</w:t>
      </w:r>
      <w:r w:rsidRPr="00E27F35">
        <w:rPr>
          <w:rFonts w:ascii="Calibri" w:hAnsi="Calibri" w:cs="Calibri"/>
          <w:b/>
          <w:bCs/>
          <w:i/>
          <w:spacing w:val="-3"/>
          <w:lang w:val="en-US"/>
        </w:rPr>
        <w:t xml:space="preserve"> </w:t>
      </w:r>
      <w:r w:rsidRPr="00E27F35">
        <w:rPr>
          <w:rFonts w:ascii="Calibri" w:hAnsi="Calibri" w:cs="Calibri"/>
          <w:b/>
          <w:bCs/>
          <w:i/>
          <w:spacing w:val="-1"/>
          <w:lang w:val="en-US"/>
        </w:rPr>
        <w:t>I</w:t>
      </w:r>
      <w:r w:rsidRPr="00E27F35">
        <w:rPr>
          <w:rFonts w:ascii="Calibri" w:hAnsi="Calibri" w:cs="Calibri"/>
          <w:b/>
          <w:bCs/>
          <w:i/>
          <w:lang w:val="en-US"/>
        </w:rPr>
        <w:t>t</w:t>
      </w:r>
      <w:r w:rsidRPr="00E27F35">
        <w:rPr>
          <w:rFonts w:ascii="Calibri" w:hAnsi="Calibri" w:cs="Calibri"/>
          <w:b/>
          <w:bCs/>
          <w:i/>
          <w:spacing w:val="-4"/>
          <w:lang w:val="en-US"/>
        </w:rPr>
        <w:t xml:space="preserve"> </w:t>
      </w:r>
      <w:r w:rsidRPr="00E27F35">
        <w:rPr>
          <w:rFonts w:ascii="Calibri" w:hAnsi="Calibri" w:cs="Calibri"/>
          <w:b/>
          <w:bCs/>
          <w:i/>
          <w:spacing w:val="-1"/>
          <w:lang w:val="en-US"/>
        </w:rPr>
        <w:t>i</w:t>
      </w:r>
      <w:r w:rsidRPr="00E27F35">
        <w:rPr>
          <w:rFonts w:ascii="Calibri" w:hAnsi="Calibri" w:cs="Calibri"/>
          <w:b/>
          <w:bCs/>
          <w:i/>
          <w:lang w:val="en-US"/>
        </w:rPr>
        <w:t>s</w:t>
      </w:r>
      <w:r w:rsidRPr="00E27F35">
        <w:rPr>
          <w:rFonts w:ascii="Calibri" w:hAnsi="Calibri" w:cs="Calibri"/>
          <w:b/>
          <w:bCs/>
          <w:i/>
          <w:spacing w:val="-5"/>
          <w:lang w:val="en-US"/>
        </w:rPr>
        <w:t xml:space="preserve"> </w:t>
      </w:r>
      <w:r w:rsidRPr="00E27F35">
        <w:rPr>
          <w:rFonts w:ascii="Calibri" w:hAnsi="Calibri" w:cs="Calibri"/>
          <w:b/>
          <w:bCs/>
          <w:i/>
          <w:spacing w:val="1"/>
          <w:lang w:val="en-US"/>
        </w:rPr>
        <w:t>n</w:t>
      </w:r>
      <w:r w:rsidRPr="00E27F35">
        <w:rPr>
          <w:rFonts w:ascii="Calibri" w:hAnsi="Calibri" w:cs="Calibri"/>
          <w:b/>
          <w:bCs/>
          <w:i/>
          <w:spacing w:val="-1"/>
          <w:lang w:val="en-US"/>
        </w:rPr>
        <w:t>o</w:t>
      </w:r>
      <w:r w:rsidRPr="00E27F35">
        <w:rPr>
          <w:rFonts w:ascii="Calibri" w:hAnsi="Calibri" w:cs="Calibri"/>
          <w:b/>
          <w:bCs/>
          <w:i/>
          <w:lang w:val="en-US"/>
        </w:rPr>
        <w:t>t</w:t>
      </w:r>
      <w:r w:rsidRPr="00E27F35">
        <w:rPr>
          <w:rFonts w:ascii="Calibri" w:hAnsi="Calibri" w:cs="Calibri"/>
          <w:b/>
          <w:bCs/>
          <w:i/>
          <w:spacing w:val="-4"/>
          <w:lang w:val="en-US"/>
        </w:rPr>
        <w:t xml:space="preserve"> </w:t>
      </w:r>
      <w:r w:rsidRPr="00E27F35">
        <w:rPr>
          <w:rFonts w:ascii="Calibri" w:hAnsi="Calibri" w:cs="Calibri"/>
          <w:b/>
          <w:bCs/>
          <w:i/>
          <w:lang w:val="en-US"/>
        </w:rPr>
        <w:t>a</w:t>
      </w:r>
      <w:r w:rsidRPr="00E27F35">
        <w:rPr>
          <w:rFonts w:ascii="Calibri" w:hAnsi="Calibri" w:cs="Calibri"/>
          <w:b/>
          <w:bCs/>
          <w:i/>
          <w:spacing w:val="-5"/>
          <w:lang w:val="en-US"/>
        </w:rPr>
        <w:t xml:space="preserve"> </w:t>
      </w:r>
      <w:r w:rsidRPr="00E27F35">
        <w:rPr>
          <w:rFonts w:ascii="Calibri" w:hAnsi="Calibri" w:cs="Calibri"/>
          <w:b/>
          <w:bCs/>
          <w:i/>
          <w:lang w:val="en-US"/>
        </w:rPr>
        <w:t>s</w:t>
      </w:r>
      <w:r w:rsidRPr="00E27F35">
        <w:rPr>
          <w:rFonts w:ascii="Calibri" w:hAnsi="Calibri" w:cs="Calibri"/>
          <w:b/>
          <w:bCs/>
          <w:i/>
          <w:spacing w:val="-2"/>
          <w:lang w:val="en-US"/>
        </w:rPr>
        <w:t>u</w:t>
      </w:r>
      <w:r w:rsidRPr="00E27F35">
        <w:rPr>
          <w:rFonts w:ascii="Calibri" w:hAnsi="Calibri" w:cs="Calibri"/>
          <w:b/>
          <w:bCs/>
          <w:i/>
          <w:spacing w:val="1"/>
          <w:lang w:val="en-US"/>
        </w:rPr>
        <w:t>b</w:t>
      </w:r>
      <w:r w:rsidRPr="00E27F35">
        <w:rPr>
          <w:rFonts w:ascii="Calibri" w:hAnsi="Calibri" w:cs="Calibri"/>
          <w:b/>
          <w:bCs/>
          <w:i/>
          <w:lang w:val="en-US"/>
        </w:rPr>
        <w:t>st</w:t>
      </w:r>
      <w:r w:rsidRPr="00E27F35">
        <w:rPr>
          <w:rFonts w:ascii="Calibri" w:hAnsi="Calibri" w:cs="Calibri"/>
          <w:b/>
          <w:bCs/>
          <w:i/>
          <w:spacing w:val="-2"/>
          <w:lang w:val="en-US"/>
        </w:rPr>
        <w:t>i</w:t>
      </w:r>
      <w:r w:rsidRPr="00E27F35">
        <w:rPr>
          <w:rFonts w:ascii="Calibri" w:hAnsi="Calibri" w:cs="Calibri"/>
          <w:b/>
          <w:bCs/>
          <w:i/>
          <w:lang w:val="en-US"/>
        </w:rPr>
        <w:t>t</w:t>
      </w:r>
      <w:r w:rsidRPr="00E27F35">
        <w:rPr>
          <w:rFonts w:ascii="Calibri" w:hAnsi="Calibri" w:cs="Calibri"/>
          <w:b/>
          <w:bCs/>
          <w:i/>
          <w:spacing w:val="1"/>
          <w:lang w:val="en-US"/>
        </w:rPr>
        <w:t>u</w:t>
      </w:r>
      <w:r w:rsidRPr="00E27F35">
        <w:rPr>
          <w:rFonts w:ascii="Calibri" w:hAnsi="Calibri" w:cs="Calibri"/>
          <w:b/>
          <w:bCs/>
          <w:i/>
          <w:lang w:val="en-US"/>
        </w:rPr>
        <w:t>te</w:t>
      </w:r>
      <w:r w:rsidRPr="00E27F35">
        <w:rPr>
          <w:rFonts w:ascii="Calibri" w:hAnsi="Calibri" w:cs="Calibri"/>
          <w:b/>
          <w:bCs/>
          <w:i/>
          <w:spacing w:val="-7"/>
          <w:lang w:val="en-US"/>
        </w:rPr>
        <w:t xml:space="preserve"> </w:t>
      </w:r>
      <w:r w:rsidRPr="00E27F35">
        <w:rPr>
          <w:rFonts w:ascii="Calibri" w:hAnsi="Calibri" w:cs="Calibri"/>
          <w:b/>
          <w:bCs/>
          <w:i/>
          <w:lang w:val="en-US"/>
        </w:rPr>
        <w:t>f</w:t>
      </w:r>
      <w:r w:rsidRPr="00E27F35">
        <w:rPr>
          <w:rFonts w:ascii="Calibri" w:hAnsi="Calibri" w:cs="Calibri"/>
          <w:b/>
          <w:bCs/>
          <w:i/>
          <w:spacing w:val="1"/>
          <w:lang w:val="en-US"/>
        </w:rPr>
        <w:t>o</w:t>
      </w:r>
      <w:r w:rsidRPr="00E27F35">
        <w:rPr>
          <w:rFonts w:ascii="Calibri" w:hAnsi="Calibri" w:cs="Calibri"/>
          <w:b/>
          <w:bCs/>
          <w:i/>
          <w:lang w:val="en-US"/>
        </w:rPr>
        <w:t>r</w:t>
      </w:r>
      <w:r w:rsidRPr="00E27F35">
        <w:rPr>
          <w:rFonts w:ascii="Calibri" w:hAnsi="Calibri" w:cs="Calibri"/>
          <w:b/>
          <w:bCs/>
          <w:i/>
          <w:spacing w:val="-7"/>
          <w:lang w:val="en-US"/>
        </w:rPr>
        <w:t xml:space="preserve"> </w:t>
      </w:r>
      <w:r w:rsidRPr="00E27F35">
        <w:rPr>
          <w:rFonts w:ascii="Calibri" w:hAnsi="Calibri" w:cs="Calibri"/>
          <w:b/>
          <w:bCs/>
          <w:i/>
          <w:spacing w:val="1"/>
          <w:lang w:val="en-US"/>
        </w:rPr>
        <w:t>p</w:t>
      </w:r>
      <w:r w:rsidRPr="00E27F35">
        <w:rPr>
          <w:rFonts w:ascii="Calibri" w:hAnsi="Calibri" w:cs="Calibri"/>
          <w:b/>
          <w:bCs/>
          <w:i/>
          <w:spacing w:val="-1"/>
          <w:lang w:val="en-US"/>
        </w:rPr>
        <w:t>ro</w:t>
      </w:r>
      <w:r w:rsidRPr="00E27F35">
        <w:rPr>
          <w:rFonts w:ascii="Calibri" w:hAnsi="Calibri" w:cs="Calibri"/>
          <w:b/>
          <w:bCs/>
          <w:i/>
          <w:spacing w:val="1"/>
          <w:lang w:val="en-US"/>
        </w:rPr>
        <w:t>j</w:t>
      </w:r>
      <w:r w:rsidRPr="00E27F35">
        <w:rPr>
          <w:rFonts w:ascii="Calibri" w:hAnsi="Calibri" w:cs="Calibri"/>
          <w:b/>
          <w:bCs/>
          <w:i/>
          <w:spacing w:val="-3"/>
          <w:lang w:val="en-US"/>
        </w:rPr>
        <w:t>e</w:t>
      </w:r>
      <w:r w:rsidRPr="00E27F35">
        <w:rPr>
          <w:rFonts w:ascii="Calibri" w:hAnsi="Calibri" w:cs="Calibri"/>
          <w:b/>
          <w:bCs/>
          <w:i/>
          <w:lang w:val="en-US"/>
        </w:rPr>
        <w:t>c</w:t>
      </w:r>
      <w:r w:rsidRPr="00E27F35">
        <w:rPr>
          <w:rFonts w:ascii="Calibri" w:hAnsi="Calibri" w:cs="Calibri"/>
          <w:b/>
          <w:bCs/>
          <w:i/>
          <w:spacing w:val="2"/>
          <w:lang w:val="en-US"/>
        </w:rPr>
        <w:t>t</w:t>
      </w:r>
      <w:r w:rsidRPr="00E27F35">
        <w:rPr>
          <w:rFonts w:ascii="Calibri" w:hAnsi="Calibri" w:cs="Calibri"/>
          <w:b/>
          <w:bCs/>
          <w:i/>
          <w:lang w:val="en-US"/>
        </w:rPr>
        <w:t>-spe</w:t>
      </w:r>
      <w:r w:rsidRPr="00E27F35">
        <w:rPr>
          <w:rFonts w:ascii="Calibri" w:hAnsi="Calibri" w:cs="Calibri"/>
          <w:b/>
          <w:bCs/>
          <w:i/>
          <w:spacing w:val="-2"/>
          <w:lang w:val="en-US"/>
        </w:rPr>
        <w:t>c</w:t>
      </w:r>
      <w:r w:rsidRPr="00E27F35">
        <w:rPr>
          <w:rFonts w:ascii="Calibri" w:hAnsi="Calibri" w:cs="Calibri"/>
          <w:b/>
          <w:bCs/>
          <w:i/>
          <w:spacing w:val="1"/>
          <w:lang w:val="en-US"/>
        </w:rPr>
        <w:t>i</w:t>
      </w:r>
      <w:r w:rsidRPr="00E27F35">
        <w:rPr>
          <w:rFonts w:ascii="Calibri" w:hAnsi="Calibri" w:cs="Calibri"/>
          <w:b/>
          <w:bCs/>
          <w:i/>
          <w:lang w:val="en-US"/>
        </w:rPr>
        <w:t>fic</w:t>
      </w:r>
      <w:r w:rsidRPr="00E27F35">
        <w:rPr>
          <w:rFonts w:ascii="Calibri" w:hAnsi="Calibri" w:cs="Calibri"/>
          <w:b/>
          <w:bCs/>
          <w:i/>
          <w:spacing w:val="-5"/>
          <w:lang w:val="en-US"/>
        </w:rPr>
        <w:t xml:space="preserve"> </w:t>
      </w:r>
      <w:r w:rsidRPr="00E27F35">
        <w:rPr>
          <w:rFonts w:ascii="Calibri" w:hAnsi="Calibri" w:cs="Calibri"/>
          <w:b/>
          <w:bCs/>
          <w:i/>
          <w:lang w:val="en-US"/>
        </w:rPr>
        <w:t>E</w:t>
      </w:r>
      <w:r w:rsidRPr="00E27F35">
        <w:rPr>
          <w:rFonts w:ascii="Calibri" w:hAnsi="Calibri" w:cs="Calibri"/>
          <w:b/>
          <w:bCs/>
          <w:i/>
          <w:spacing w:val="-2"/>
          <w:lang w:val="en-US"/>
        </w:rPr>
        <w:t>&amp;</w:t>
      </w:r>
      <w:r w:rsidRPr="00E27F35">
        <w:rPr>
          <w:rFonts w:ascii="Calibri" w:hAnsi="Calibri" w:cs="Calibri"/>
          <w:b/>
          <w:bCs/>
          <w:i/>
          <w:lang w:val="en-US"/>
        </w:rPr>
        <w:t>S</w:t>
      </w:r>
      <w:r w:rsidRPr="00E27F35">
        <w:rPr>
          <w:rFonts w:ascii="Calibri" w:hAnsi="Calibri" w:cs="Calibri"/>
          <w:b/>
          <w:bCs/>
          <w:i/>
          <w:spacing w:val="-4"/>
          <w:lang w:val="en-US"/>
        </w:rPr>
        <w:t xml:space="preserve"> </w:t>
      </w:r>
      <w:r w:rsidRPr="00E27F35">
        <w:rPr>
          <w:rFonts w:ascii="Calibri" w:hAnsi="Calibri" w:cs="Calibri"/>
          <w:b/>
          <w:bCs/>
          <w:i/>
          <w:spacing w:val="1"/>
          <w:lang w:val="en-US"/>
        </w:rPr>
        <w:t>a</w:t>
      </w:r>
      <w:r w:rsidRPr="00E27F35">
        <w:rPr>
          <w:rFonts w:ascii="Calibri" w:hAnsi="Calibri" w:cs="Calibri"/>
          <w:b/>
          <w:bCs/>
          <w:i/>
          <w:lang w:val="en-US"/>
        </w:rPr>
        <w:t>s</w:t>
      </w:r>
      <w:r w:rsidRPr="00E27F35">
        <w:rPr>
          <w:rFonts w:ascii="Calibri" w:hAnsi="Calibri" w:cs="Calibri"/>
          <w:b/>
          <w:bCs/>
          <w:i/>
          <w:spacing w:val="-1"/>
          <w:lang w:val="en-US"/>
        </w:rPr>
        <w:t>s</w:t>
      </w:r>
      <w:r w:rsidRPr="00E27F35">
        <w:rPr>
          <w:rFonts w:ascii="Calibri" w:hAnsi="Calibri" w:cs="Calibri"/>
          <w:b/>
          <w:bCs/>
          <w:i/>
          <w:lang w:val="en-US"/>
        </w:rPr>
        <w:t>e</w:t>
      </w:r>
      <w:r w:rsidRPr="00E27F35">
        <w:rPr>
          <w:rFonts w:ascii="Calibri" w:hAnsi="Calibri" w:cs="Calibri"/>
          <w:b/>
          <w:bCs/>
          <w:i/>
          <w:spacing w:val="-1"/>
          <w:lang w:val="en-US"/>
        </w:rPr>
        <w:t>s</w:t>
      </w:r>
      <w:r w:rsidRPr="00E27F35">
        <w:rPr>
          <w:rFonts w:ascii="Calibri" w:hAnsi="Calibri" w:cs="Calibri"/>
          <w:b/>
          <w:bCs/>
          <w:i/>
          <w:lang w:val="en-US"/>
        </w:rPr>
        <w:t>sm</w:t>
      </w:r>
      <w:r w:rsidRPr="00E27F35">
        <w:rPr>
          <w:rFonts w:ascii="Calibri" w:hAnsi="Calibri" w:cs="Calibri"/>
          <w:b/>
          <w:bCs/>
          <w:i/>
          <w:spacing w:val="-3"/>
          <w:lang w:val="en-US"/>
        </w:rPr>
        <w:t>e</w:t>
      </w:r>
      <w:r w:rsidRPr="00E27F35">
        <w:rPr>
          <w:rFonts w:ascii="Calibri" w:hAnsi="Calibri" w:cs="Calibri"/>
          <w:b/>
          <w:bCs/>
          <w:i/>
          <w:spacing w:val="1"/>
          <w:lang w:val="en-US"/>
        </w:rPr>
        <w:t>n</w:t>
      </w:r>
      <w:r w:rsidRPr="00E27F35">
        <w:rPr>
          <w:rFonts w:ascii="Calibri" w:hAnsi="Calibri" w:cs="Calibri"/>
          <w:b/>
          <w:bCs/>
          <w:i/>
          <w:spacing w:val="-2"/>
          <w:lang w:val="en-US"/>
        </w:rPr>
        <w:t>t</w:t>
      </w:r>
      <w:r w:rsidRPr="00E27F35">
        <w:rPr>
          <w:rFonts w:ascii="Calibri" w:hAnsi="Calibri" w:cs="Calibri"/>
          <w:b/>
          <w:bCs/>
          <w:i/>
          <w:lang w:val="en-US"/>
        </w:rPr>
        <w:t>s</w:t>
      </w:r>
      <w:r w:rsidRPr="00E27F35">
        <w:rPr>
          <w:rFonts w:ascii="Calibri" w:hAnsi="Calibri" w:cs="Calibri"/>
          <w:b/>
          <w:bCs/>
          <w:i/>
          <w:spacing w:val="-5"/>
          <w:lang w:val="en-US"/>
        </w:rPr>
        <w:t xml:space="preserve"> </w:t>
      </w:r>
      <w:r w:rsidRPr="00E27F35">
        <w:rPr>
          <w:rFonts w:ascii="Calibri" w:hAnsi="Calibri" w:cs="Calibri"/>
          <w:b/>
          <w:bCs/>
          <w:i/>
          <w:spacing w:val="1"/>
          <w:lang w:val="en-US"/>
        </w:rPr>
        <w:t>o</w:t>
      </w:r>
      <w:r w:rsidRPr="00E27F35">
        <w:rPr>
          <w:rFonts w:ascii="Calibri" w:hAnsi="Calibri" w:cs="Calibri"/>
          <w:b/>
          <w:bCs/>
          <w:i/>
          <w:lang w:val="en-US"/>
        </w:rPr>
        <w:t>r</w:t>
      </w:r>
      <w:r w:rsidRPr="00E27F35">
        <w:rPr>
          <w:rFonts w:ascii="Calibri" w:hAnsi="Calibri" w:cs="Calibri"/>
          <w:b/>
          <w:bCs/>
          <w:i/>
          <w:spacing w:val="-5"/>
          <w:lang w:val="en-US"/>
        </w:rPr>
        <w:t xml:space="preserve"> </w:t>
      </w:r>
      <w:r w:rsidRPr="00E27F35">
        <w:rPr>
          <w:rFonts w:ascii="Calibri" w:hAnsi="Calibri" w:cs="Calibri"/>
          <w:b/>
          <w:bCs/>
          <w:i/>
          <w:lang w:val="en-US"/>
        </w:rPr>
        <w:t>spe</w:t>
      </w:r>
      <w:r w:rsidRPr="00E27F35">
        <w:rPr>
          <w:rFonts w:ascii="Calibri" w:hAnsi="Calibri" w:cs="Calibri"/>
          <w:b/>
          <w:bCs/>
          <w:i/>
          <w:spacing w:val="-2"/>
          <w:lang w:val="en-US"/>
        </w:rPr>
        <w:t>c</w:t>
      </w:r>
      <w:r w:rsidRPr="00E27F35">
        <w:rPr>
          <w:rFonts w:ascii="Calibri" w:hAnsi="Calibri" w:cs="Calibri"/>
          <w:b/>
          <w:bCs/>
          <w:i/>
          <w:spacing w:val="1"/>
          <w:lang w:val="en-US"/>
        </w:rPr>
        <w:t>i</w:t>
      </w:r>
      <w:r w:rsidRPr="00E27F35">
        <w:rPr>
          <w:rFonts w:ascii="Calibri" w:hAnsi="Calibri" w:cs="Calibri"/>
          <w:b/>
          <w:bCs/>
          <w:i/>
          <w:lang w:val="en-US"/>
        </w:rPr>
        <w:t>f</w:t>
      </w:r>
      <w:r w:rsidRPr="00E27F35">
        <w:rPr>
          <w:rFonts w:ascii="Calibri" w:hAnsi="Calibri" w:cs="Calibri"/>
          <w:b/>
          <w:bCs/>
          <w:i/>
          <w:spacing w:val="-2"/>
          <w:lang w:val="en-US"/>
        </w:rPr>
        <w:t>i</w:t>
      </w:r>
      <w:r w:rsidRPr="00E27F35">
        <w:rPr>
          <w:rFonts w:ascii="Calibri" w:hAnsi="Calibri" w:cs="Calibri"/>
          <w:b/>
          <w:bCs/>
          <w:i/>
          <w:lang w:val="en-US"/>
        </w:rPr>
        <w:t>c</w:t>
      </w:r>
      <w:r w:rsidRPr="00E27F35">
        <w:rPr>
          <w:rFonts w:ascii="Calibri" w:hAnsi="Calibri" w:cs="Calibri"/>
          <w:b/>
          <w:bCs/>
          <w:i/>
          <w:spacing w:val="-4"/>
          <w:lang w:val="en-US"/>
        </w:rPr>
        <w:t xml:space="preserve"> </w:t>
      </w:r>
      <w:r w:rsidRPr="00E27F35">
        <w:rPr>
          <w:rFonts w:ascii="Calibri" w:hAnsi="Calibri" w:cs="Calibri"/>
          <w:b/>
          <w:bCs/>
          <w:i/>
          <w:spacing w:val="-2"/>
          <w:lang w:val="en-US"/>
        </w:rPr>
        <w:t>m</w:t>
      </w:r>
      <w:r w:rsidRPr="00E27F35">
        <w:rPr>
          <w:rFonts w:ascii="Calibri" w:hAnsi="Calibri" w:cs="Calibri"/>
          <w:b/>
          <w:bCs/>
          <w:i/>
          <w:spacing w:val="1"/>
          <w:lang w:val="en-US"/>
        </w:rPr>
        <w:t>i</w:t>
      </w:r>
      <w:r w:rsidRPr="00E27F35">
        <w:rPr>
          <w:rFonts w:ascii="Calibri" w:hAnsi="Calibri" w:cs="Calibri"/>
          <w:b/>
          <w:bCs/>
          <w:i/>
          <w:lang w:val="en-US"/>
        </w:rPr>
        <w:t>t</w:t>
      </w:r>
      <w:r w:rsidRPr="00E27F35">
        <w:rPr>
          <w:rFonts w:ascii="Calibri" w:hAnsi="Calibri" w:cs="Calibri"/>
          <w:b/>
          <w:bCs/>
          <w:i/>
          <w:spacing w:val="-1"/>
          <w:lang w:val="en-US"/>
        </w:rPr>
        <w:t>ig</w:t>
      </w:r>
      <w:r w:rsidRPr="00E27F35">
        <w:rPr>
          <w:rFonts w:ascii="Calibri" w:hAnsi="Calibri" w:cs="Calibri"/>
          <w:b/>
          <w:bCs/>
          <w:i/>
          <w:spacing w:val="1"/>
          <w:lang w:val="en-US"/>
        </w:rPr>
        <w:t>a</w:t>
      </w:r>
      <w:r w:rsidRPr="00E27F35">
        <w:rPr>
          <w:rFonts w:ascii="Calibri" w:hAnsi="Calibri" w:cs="Calibri"/>
          <w:b/>
          <w:bCs/>
          <w:i/>
          <w:lang w:val="en-US"/>
        </w:rPr>
        <w:t>t</w:t>
      </w:r>
      <w:r w:rsidRPr="00E27F35">
        <w:rPr>
          <w:rFonts w:ascii="Calibri" w:hAnsi="Calibri" w:cs="Calibri"/>
          <w:b/>
          <w:bCs/>
          <w:i/>
          <w:spacing w:val="-1"/>
          <w:lang w:val="en-US"/>
        </w:rPr>
        <w:t>io</w:t>
      </w:r>
      <w:r w:rsidRPr="00E27F35">
        <w:rPr>
          <w:rFonts w:ascii="Calibri" w:hAnsi="Calibri" w:cs="Calibri"/>
          <w:b/>
          <w:bCs/>
          <w:i/>
          <w:lang w:val="en-US"/>
        </w:rPr>
        <w:t xml:space="preserve">n </w:t>
      </w:r>
      <w:r w:rsidRPr="00E27F35">
        <w:rPr>
          <w:rFonts w:ascii="Calibri" w:hAnsi="Calibri" w:cs="Calibri"/>
          <w:b/>
          <w:bCs/>
          <w:i/>
          <w:spacing w:val="1"/>
          <w:lang w:val="en-US"/>
        </w:rPr>
        <w:t>p</w:t>
      </w:r>
      <w:r w:rsidRPr="00E27F35">
        <w:rPr>
          <w:rFonts w:ascii="Calibri" w:hAnsi="Calibri" w:cs="Calibri"/>
          <w:b/>
          <w:bCs/>
          <w:i/>
          <w:spacing w:val="-1"/>
          <w:lang w:val="en-US"/>
        </w:rPr>
        <w:t>l</w:t>
      </w:r>
      <w:r w:rsidRPr="00E27F35">
        <w:rPr>
          <w:rFonts w:ascii="Calibri" w:hAnsi="Calibri" w:cs="Calibri"/>
          <w:b/>
          <w:bCs/>
          <w:i/>
          <w:spacing w:val="1"/>
          <w:lang w:val="en-US"/>
        </w:rPr>
        <w:t>an</w:t>
      </w:r>
      <w:r w:rsidRPr="00E27F35">
        <w:rPr>
          <w:rFonts w:ascii="Calibri" w:hAnsi="Calibri" w:cs="Calibri"/>
          <w:b/>
          <w:bCs/>
          <w:i/>
          <w:spacing w:val="-3"/>
          <w:lang w:val="en-US"/>
        </w:rPr>
        <w:t>s</w:t>
      </w:r>
      <w:r w:rsidRPr="00E27F35">
        <w:rPr>
          <w:rFonts w:ascii="Calibri" w:hAnsi="Calibri" w:cs="Calibri"/>
          <w:b/>
          <w:bCs/>
          <w:i/>
          <w:lang w:val="en-US"/>
        </w:rPr>
        <w:t>.</w:t>
      </w:r>
    </w:p>
    <w:p w14:paraId="1B099FCE" w14:textId="6186A6C3" w:rsidR="00E27F35" w:rsidRPr="00E27F35" w:rsidRDefault="00763BA9" w:rsidP="00763BA9">
      <w:pPr>
        <w:pStyle w:val="Caption"/>
        <w:rPr>
          <w:rFonts w:ascii="Calibri" w:hAnsi="Calibri" w:cs="Calibri"/>
          <w:lang w:val="en-US"/>
        </w:rPr>
      </w:pPr>
      <w:bookmarkStart w:id="258" w:name="_Toc56952724"/>
      <w:bookmarkEnd w:id="257"/>
      <w:r>
        <w:t xml:space="preserve">Table </w:t>
      </w:r>
      <w:fldSimple w:instr=" SEQ Table \* ARABIC ">
        <w:r w:rsidR="007D1E1B">
          <w:rPr>
            <w:noProof/>
          </w:rPr>
          <w:t>24</w:t>
        </w:r>
      </w:fldSimple>
      <w:r>
        <w:t xml:space="preserve">. </w:t>
      </w:r>
      <w:proofErr w:type="spellStart"/>
      <w:r w:rsidRPr="00763BA9">
        <w:t>Environmental</w:t>
      </w:r>
      <w:proofErr w:type="spellEnd"/>
      <w:r w:rsidRPr="00763BA9">
        <w:t xml:space="preserve"> </w:t>
      </w:r>
      <w:proofErr w:type="spellStart"/>
      <w:r w:rsidRPr="00763BA9">
        <w:t>and</w:t>
      </w:r>
      <w:proofErr w:type="spellEnd"/>
      <w:r w:rsidRPr="00763BA9">
        <w:t xml:space="preserve"> </w:t>
      </w:r>
      <w:proofErr w:type="spellStart"/>
      <w:r w:rsidRPr="00763BA9">
        <w:t>social</w:t>
      </w:r>
      <w:proofErr w:type="spellEnd"/>
      <w:r w:rsidRPr="00763BA9">
        <w:t xml:space="preserve"> </w:t>
      </w:r>
      <w:proofErr w:type="spellStart"/>
      <w:r w:rsidRPr="00763BA9">
        <w:t>screening</w:t>
      </w:r>
      <w:proofErr w:type="spellEnd"/>
      <w:r w:rsidRPr="00763BA9">
        <w:t xml:space="preserve"> </w:t>
      </w:r>
      <w:proofErr w:type="spellStart"/>
      <w:r w:rsidRPr="00763BA9">
        <w:t>questionnaire</w:t>
      </w:r>
      <w:bookmarkEnd w:id="258"/>
      <w:proofErr w:type="spellEnd"/>
    </w:p>
    <w:tbl>
      <w:tblPr>
        <w:tblW w:w="5000" w:type="pct"/>
        <w:tblCellMar>
          <w:left w:w="0" w:type="dxa"/>
          <w:right w:w="0" w:type="dxa"/>
        </w:tblCellMar>
        <w:tblLook w:val="0000" w:firstRow="0" w:lastRow="0" w:firstColumn="0" w:lastColumn="0" w:noHBand="0" w:noVBand="0"/>
      </w:tblPr>
      <w:tblGrid>
        <w:gridCol w:w="3413"/>
        <w:gridCol w:w="5603"/>
      </w:tblGrid>
      <w:tr w:rsidR="00E27F35" w:rsidRPr="00E27F35" w14:paraId="219920C0" w14:textId="77777777" w:rsidTr="00366303">
        <w:trPr>
          <w:trHeight w:val="20"/>
        </w:trPr>
        <w:tc>
          <w:tcPr>
            <w:tcW w:w="1893" w:type="pct"/>
            <w:tcBorders>
              <w:top w:val="single" w:sz="4" w:space="0" w:color="000000"/>
              <w:left w:val="single" w:sz="4" w:space="0" w:color="000000"/>
              <w:bottom w:val="single" w:sz="4" w:space="0" w:color="000000"/>
              <w:right w:val="single" w:sz="4" w:space="0" w:color="000000"/>
            </w:tcBorders>
            <w:shd w:val="clear" w:color="auto" w:fill="CEDBE6" w:themeFill="background2"/>
            <w:tcMar>
              <w:right w:w="113" w:type="dxa"/>
            </w:tcMar>
          </w:tcPr>
          <w:p w14:paraId="5B446F4F"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r w:rsidRPr="00E27F35">
              <w:rPr>
                <w:rFonts w:ascii="Calibri" w:hAnsi="Calibri" w:cs="Calibri"/>
                <w:b/>
                <w:bCs/>
                <w:sz w:val="20"/>
                <w:szCs w:val="20"/>
                <w:lang w:val="en-US"/>
              </w:rPr>
              <w:t>Name of the project</w:t>
            </w:r>
          </w:p>
        </w:tc>
        <w:tc>
          <w:tcPr>
            <w:tcW w:w="3107" w:type="pct"/>
            <w:tcBorders>
              <w:top w:val="single" w:sz="4" w:space="0" w:color="000000"/>
              <w:left w:val="single" w:sz="4" w:space="0" w:color="000000"/>
              <w:bottom w:val="single" w:sz="4" w:space="0" w:color="000000"/>
              <w:right w:val="single" w:sz="4" w:space="0" w:color="000000"/>
            </w:tcBorders>
          </w:tcPr>
          <w:p w14:paraId="6B6F22DB"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r w:rsidR="00E27F35" w:rsidRPr="00E27F35" w14:paraId="79426099" w14:textId="77777777" w:rsidTr="00366303">
        <w:trPr>
          <w:trHeight w:val="20"/>
        </w:trPr>
        <w:tc>
          <w:tcPr>
            <w:tcW w:w="1893" w:type="pct"/>
            <w:tcBorders>
              <w:top w:val="single" w:sz="4" w:space="0" w:color="000000"/>
              <w:left w:val="single" w:sz="4" w:space="0" w:color="000000"/>
              <w:bottom w:val="single" w:sz="4" w:space="0" w:color="000000"/>
              <w:right w:val="single" w:sz="4" w:space="0" w:color="000000"/>
            </w:tcBorders>
            <w:shd w:val="clear" w:color="auto" w:fill="CEDBE6" w:themeFill="background2"/>
            <w:tcMar>
              <w:right w:w="113" w:type="dxa"/>
            </w:tcMar>
          </w:tcPr>
          <w:p w14:paraId="0A8A1C87"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sz w:val="20"/>
                <w:szCs w:val="20"/>
                <w:lang w:val="en-US"/>
              </w:rPr>
            </w:pPr>
            <w:r w:rsidRPr="00E27F35">
              <w:rPr>
                <w:rFonts w:ascii="Calibri" w:hAnsi="Calibri" w:cs="Calibri"/>
                <w:b/>
                <w:bCs/>
                <w:sz w:val="20"/>
                <w:szCs w:val="20"/>
                <w:lang w:val="en-US"/>
              </w:rPr>
              <w:t>Na</w:t>
            </w:r>
            <w:r w:rsidRPr="00E27F35">
              <w:rPr>
                <w:rFonts w:ascii="Calibri" w:hAnsi="Calibri" w:cs="Calibri"/>
                <w:b/>
                <w:bCs/>
                <w:spacing w:val="1"/>
                <w:sz w:val="20"/>
                <w:szCs w:val="20"/>
                <w:lang w:val="en-US"/>
              </w:rPr>
              <w:t>m</w:t>
            </w:r>
            <w:r w:rsidRPr="00E27F35">
              <w:rPr>
                <w:rFonts w:ascii="Calibri" w:hAnsi="Calibri" w:cs="Calibri"/>
                <w:b/>
                <w:bCs/>
                <w:sz w:val="20"/>
                <w:szCs w:val="20"/>
                <w:lang w:val="en-US"/>
              </w:rPr>
              <w:t>e</w:t>
            </w:r>
            <w:r w:rsidRPr="00E27F35">
              <w:rPr>
                <w:rFonts w:ascii="Calibri" w:hAnsi="Calibri" w:cs="Calibri"/>
                <w:b/>
                <w:bCs/>
                <w:spacing w:val="1"/>
                <w:sz w:val="20"/>
                <w:szCs w:val="20"/>
                <w:lang w:val="en-US"/>
              </w:rPr>
              <w:t xml:space="preserve"> o</w:t>
            </w:r>
            <w:r w:rsidRPr="00E27F35">
              <w:rPr>
                <w:rFonts w:ascii="Calibri" w:hAnsi="Calibri" w:cs="Calibri"/>
                <w:b/>
                <w:bCs/>
                <w:sz w:val="20"/>
                <w:szCs w:val="20"/>
                <w:lang w:val="en-US"/>
              </w:rPr>
              <w:t>f t</w:t>
            </w:r>
            <w:r w:rsidRPr="00E27F35">
              <w:rPr>
                <w:rFonts w:ascii="Calibri" w:hAnsi="Calibri" w:cs="Calibri"/>
                <w:b/>
                <w:bCs/>
                <w:spacing w:val="-1"/>
                <w:sz w:val="20"/>
                <w:szCs w:val="20"/>
                <w:lang w:val="en-US"/>
              </w:rPr>
              <w:t>h</w:t>
            </w:r>
            <w:r w:rsidRPr="00E27F35">
              <w:rPr>
                <w:rFonts w:ascii="Calibri" w:hAnsi="Calibri" w:cs="Calibri"/>
                <w:b/>
                <w:bCs/>
                <w:sz w:val="20"/>
                <w:szCs w:val="20"/>
                <w:lang w:val="en-US"/>
              </w:rPr>
              <w:t>e</w:t>
            </w:r>
            <w:r w:rsidRPr="00E27F35">
              <w:rPr>
                <w:rFonts w:ascii="Calibri" w:hAnsi="Calibri" w:cs="Calibri"/>
                <w:b/>
                <w:bCs/>
                <w:spacing w:val="2"/>
                <w:sz w:val="20"/>
                <w:szCs w:val="20"/>
                <w:lang w:val="en-US"/>
              </w:rPr>
              <w:t xml:space="preserve"> s</w:t>
            </w:r>
            <w:r w:rsidRPr="00E27F35">
              <w:rPr>
                <w:rFonts w:ascii="Calibri" w:hAnsi="Calibri" w:cs="Calibri"/>
                <w:b/>
                <w:bCs/>
                <w:sz w:val="20"/>
                <w:szCs w:val="20"/>
                <w:lang w:val="en-US"/>
              </w:rPr>
              <w:t>u</w:t>
            </w:r>
            <w:r w:rsidRPr="00E27F35">
              <w:rPr>
                <w:rFonts w:ascii="Calibri" w:hAnsi="Calibri" w:cs="Calibri"/>
                <w:b/>
                <w:bCs/>
                <w:spacing w:val="1"/>
                <w:sz w:val="20"/>
                <w:szCs w:val="20"/>
                <w:lang w:val="en-US"/>
              </w:rPr>
              <w:t>b-p</w:t>
            </w:r>
            <w:r w:rsidRPr="00E27F35">
              <w:rPr>
                <w:rFonts w:ascii="Calibri" w:hAnsi="Calibri" w:cs="Calibri"/>
                <w:b/>
                <w:bCs/>
                <w:sz w:val="20"/>
                <w:szCs w:val="20"/>
                <w:lang w:val="en-US"/>
              </w:rPr>
              <w:t>ro</w:t>
            </w:r>
            <w:r w:rsidRPr="00E27F35">
              <w:rPr>
                <w:rFonts w:ascii="Calibri" w:hAnsi="Calibri" w:cs="Calibri"/>
                <w:b/>
                <w:bCs/>
                <w:spacing w:val="-2"/>
                <w:sz w:val="20"/>
                <w:szCs w:val="20"/>
                <w:lang w:val="en-US"/>
              </w:rPr>
              <w:t>j</w:t>
            </w:r>
            <w:r w:rsidRPr="00E27F35">
              <w:rPr>
                <w:rFonts w:ascii="Calibri" w:hAnsi="Calibri" w:cs="Calibri"/>
                <w:b/>
                <w:bCs/>
                <w:spacing w:val="1"/>
                <w:sz w:val="20"/>
                <w:szCs w:val="20"/>
                <w:lang w:val="en-US"/>
              </w:rPr>
              <w:t>ect</w:t>
            </w:r>
            <w:r w:rsidRPr="00E27F35">
              <w:rPr>
                <w:rFonts w:ascii="Calibri" w:hAnsi="Calibri" w:cs="Calibri"/>
                <w:b/>
                <w:bCs/>
                <w:sz w:val="20"/>
                <w:szCs w:val="20"/>
                <w:lang w:val="en-US"/>
              </w:rPr>
              <w:t>:</w:t>
            </w:r>
          </w:p>
        </w:tc>
        <w:tc>
          <w:tcPr>
            <w:tcW w:w="3107" w:type="pct"/>
            <w:tcBorders>
              <w:top w:val="single" w:sz="4" w:space="0" w:color="000000"/>
              <w:left w:val="single" w:sz="4" w:space="0" w:color="000000"/>
              <w:bottom w:val="single" w:sz="4" w:space="0" w:color="000000"/>
              <w:right w:val="single" w:sz="4" w:space="0" w:color="000000"/>
            </w:tcBorders>
          </w:tcPr>
          <w:p w14:paraId="6F75120D"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r w:rsidR="00E27F35" w:rsidRPr="00E27F35" w14:paraId="4904B159" w14:textId="77777777" w:rsidTr="00366303">
        <w:trPr>
          <w:trHeight w:val="20"/>
        </w:trPr>
        <w:tc>
          <w:tcPr>
            <w:tcW w:w="1893" w:type="pct"/>
            <w:tcBorders>
              <w:top w:val="single" w:sz="4" w:space="0" w:color="000000"/>
              <w:left w:val="single" w:sz="4" w:space="0" w:color="000000"/>
              <w:bottom w:val="single" w:sz="4" w:space="0" w:color="000000"/>
              <w:right w:val="single" w:sz="4" w:space="0" w:color="000000"/>
            </w:tcBorders>
            <w:shd w:val="clear" w:color="auto" w:fill="CEDBE6" w:themeFill="background2"/>
            <w:tcMar>
              <w:right w:w="113" w:type="dxa"/>
            </w:tcMar>
          </w:tcPr>
          <w:p w14:paraId="0280D2BC"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r w:rsidRPr="00E27F35">
              <w:rPr>
                <w:rFonts w:ascii="Calibri" w:hAnsi="Calibri" w:cs="Calibri"/>
                <w:b/>
                <w:bCs/>
                <w:sz w:val="20"/>
                <w:szCs w:val="20"/>
                <w:lang w:val="en-US"/>
              </w:rPr>
              <w:t>Estimated Investment:</w:t>
            </w:r>
          </w:p>
        </w:tc>
        <w:tc>
          <w:tcPr>
            <w:tcW w:w="3107" w:type="pct"/>
            <w:tcBorders>
              <w:top w:val="single" w:sz="4" w:space="0" w:color="000000"/>
              <w:left w:val="single" w:sz="4" w:space="0" w:color="000000"/>
              <w:bottom w:val="single" w:sz="4" w:space="0" w:color="000000"/>
              <w:right w:val="single" w:sz="4" w:space="0" w:color="000000"/>
            </w:tcBorders>
          </w:tcPr>
          <w:p w14:paraId="2321213C"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r w:rsidR="00E27F35" w:rsidRPr="00E27F35" w14:paraId="1CC727B8" w14:textId="77777777" w:rsidTr="00366303">
        <w:trPr>
          <w:trHeight w:val="20"/>
        </w:trPr>
        <w:tc>
          <w:tcPr>
            <w:tcW w:w="1893" w:type="pct"/>
            <w:tcBorders>
              <w:top w:val="single" w:sz="4" w:space="0" w:color="000000"/>
              <w:left w:val="single" w:sz="4" w:space="0" w:color="000000"/>
              <w:bottom w:val="single" w:sz="4" w:space="0" w:color="000000"/>
              <w:right w:val="single" w:sz="4" w:space="0" w:color="000000"/>
            </w:tcBorders>
            <w:shd w:val="clear" w:color="auto" w:fill="CEDBE6" w:themeFill="background2"/>
            <w:tcMar>
              <w:right w:w="113" w:type="dxa"/>
            </w:tcMar>
          </w:tcPr>
          <w:p w14:paraId="541476CD"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r w:rsidRPr="00E27F35">
              <w:rPr>
                <w:rFonts w:ascii="Calibri" w:hAnsi="Calibri" w:cs="Calibri"/>
                <w:b/>
                <w:bCs/>
                <w:sz w:val="20"/>
                <w:szCs w:val="20"/>
                <w:lang w:val="en-US"/>
              </w:rPr>
              <w:t>Start/Completion Date</w:t>
            </w:r>
          </w:p>
        </w:tc>
        <w:tc>
          <w:tcPr>
            <w:tcW w:w="3107" w:type="pct"/>
            <w:tcBorders>
              <w:top w:val="single" w:sz="4" w:space="0" w:color="000000"/>
              <w:left w:val="single" w:sz="4" w:space="0" w:color="000000"/>
              <w:bottom w:val="single" w:sz="4" w:space="0" w:color="000000"/>
              <w:right w:val="single" w:sz="4" w:space="0" w:color="000000"/>
            </w:tcBorders>
          </w:tcPr>
          <w:p w14:paraId="301E7DA6"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r w:rsidR="00E27F35" w:rsidRPr="00E27F35" w14:paraId="480A9B8D" w14:textId="77777777" w:rsidTr="00366303">
        <w:trPr>
          <w:trHeight w:val="20"/>
        </w:trPr>
        <w:tc>
          <w:tcPr>
            <w:tcW w:w="1893" w:type="pct"/>
            <w:tcBorders>
              <w:top w:val="single" w:sz="4" w:space="0" w:color="000000"/>
              <w:left w:val="single" w:sz="4" w:space="0" w:color="000000"/>
              <w:right w:val="single" w:sz="4" w:space="0" w:color="000000"/>
            </w:tcBorders>
            <w:shd w:val="clear" w:color="auto" w:fill="CEDBE6" w:themeFill="background2"/>
            <w:tcMar>
              <w:top w:w="28" w:type="dxa"/>
              <w:left w:w="28" w:type="dxa"/>
              <w:bottom w:w="28" w:type="dxa"/>
              <w:right w:w="113" w:type="dxa"/>
            </w:tcMar>
          </w:tcPr>
          <w:p w14:paraId="1F4B6C3A"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r w:rsidRPr="00E27F35">
              <w:rPr>
                <w:rFonts w:ascii="Calibri" w:hAnsi="Calibri" w:cs="Calibri"/>
                <w:b/>
                <w:bCs/>
                <w:sz w:val="20"/>
                <w:szCs w:val="20"/>
                <w:lang w:val="en-US"/>
              </w:rPr>
              <w:t>Brief description of the sub-project activities (describe main project features and location of work execution):</w:t>
            </w:r>
          </w:p>
          <w:p w14:paraId="2B83B142"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i/>
                <w:iCs/>
                <w:sz w:val="20"/>
                <w:szCs w:val="20"/>
                <w:lang w:val="en-US"/>
              </w:rPr>
            </w:pPr>
            <w:r w:rsidRPr="00E27F35">
              <w:rPr>
                <w:rFonts w:ascii="Calibri" w:hAnsi="Calibri" w:cs="Calibri"/>
                <w:i/>
                <w:iCs/>
                <w:sz w:val="20"/>
                <w:szCs w:val="20"/>
                <w:lang w:val="en-US"/>
              </w:rPr>
              <w:t>Annexes for all additional information can be supplemented if necessary (e.g.) maps with the geographical location of the project</w:t>
            </w:r>
          </w:p>
          <w:p w14:paraId="7633EFB0" w14:textId="77777777" w:rsidR="00E27F35" w:rsidRPr="00E27F35" w:rsidRDefault="00E27F35" w:rsidP="00E27F35">
            <w:pPr>
              <w:widowControl w:val="0"/>
              <w:suppressAutoHyphens w:val="0"/>
              <w:autoSpaceDE w:val="0"/>
              <w:adjustRightInd w:val="0"/>
              <w:spacing w:line="240" w:lineRule="auto"/>
              <w:ind w:left="102" w:right="-20"/>
              <w:jc w:val="left"/>
              <w:textAlignment w:val="auto"/>
              <w:rPr>
                <w:rFonts w:ascii="Calibri" w:hAnsi="Calibri" w:cs="Calibri"/>
                <w:b/>
                <w:bCs/>
                <w:sz w:val="20"/>
                <w:szCs w:val="20"/>
                <w:lang w:val="en-US"/>
              </w:rPr>
            </w:pPr>
          </w:p>
        </w:tc>
        <w:tc>
          <w:tcPr>
            <w:tcW w:w="3107" w:type="pct"/>
            <w:tcBorders>
              <w:top w:val="single" w:sz="4" w:space="0" w:color="000000"/>
              <w:left w:val="single" w:sz="4" w:space="0" w:color="000000"/>
              <w:bottom w:val="single" w:sz="4" w:space="0" w:color="000000"/>
              <w:right w:val="single" w:sz="4" w:space="0" w:color="000000"/>
            </w:tcBorders>
          </w:tcPr>
          <w:p w14:paraId="417F346A" w14:textId="77777777" w:rsidR="00E27F35" w:rsidRPr="00E27F35" w:rsidRDefault="00E27F35" w:rsidP="00E27F35">
            <w:pPr>
              <w:widowControl w:val="0"/>
              <w:suppressAutoHyphens w:val="0"/>
              <w:autoSpaceDE w:val="0"/>
              <w:adjustRightInd w:val="0"/>
              <w:spacing w:line="240" w:lineRule="auto"/>
              <w:textAlignment w:val="auto"/>
              <w:rPr>
                <w:rFonts w:ascii="Calibri" w:hAnsi="Calibri" w:cs="Calibri"/>
                <w:sz w:val="20"/>
                <w:szCs w:val="20"/>
                <w:lang w:val="en-US"/>
              </w:rPr>
            </w:pPr>
          </w:p>
        </w:tc>
      </w:tr>
    </w:tbl>
    <w:p w14:paraId="59FE504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b/>
          <w:lang w:val="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024"/>
        <w:gridCol w:w="716"/>
        <w:gridCol w:w="692"/>
        <w:gridCol w:w="867"/>
        <w:gridCol w:w="1113"/>
        <w:gridCol w:w="1971"/>
      </w:tblGrid>
      <w:tr w:rsidR="00E27F35" w:rsidRPr="00E27F35" w14:paraId="2B2359B5" w14:textId="77777777" w:rsidTr="00366303">
        <w:trPr>
          <w:trHeight w:val="816"/>
          <w:tblHeader/>
        </w:trPr>
        <w:tc>
          <w:tcPr>
            <w:tcW w:w="351" w:type="pct"/>
            <w:shd w:val="clear" w:color="auto" w:fill="CEDBE6" w:themeFill="background2"/>
            <w:vAlign w:val="center"/>
          </w:tcPr>
          <w:p w14:paraId="0C5AAEC1"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No.</w:t>
            </w:r>
          </w:p>
        </w:tc>
        <w:tc>
          <w:tcPr>
            <w:tcW w:w="1677" w:type="pct"/>
            <w:shd w:val="clear" w:color="auto" w:fill="CEDBE6" w:themeFill="background2"/>
            <w:vAlign w:val="center"/>
          </w:tcPr>
          <w:p w14:paraId="0DEED85D"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Screening Questionnaire</w:t>
            </w:r>
          </w:p>
        </w:tc>
        <w:tc>
          <w:tcPr>
            <w:tcW w:w="397" w:type="pct"/>
            <w:shd w:val="clear" w:color="auto" w:fill="CEDBE6" w:themeFill="background2"/>
            <w:vAlign w:val="center"/>
          </w:tcPr>
          <w:p w14:paraId="1EEF2EBF"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Yes</w:t>
            </w:r>
          </w:p>
        </w:tc>
        <w:tc>
          <w:tcPr>
            <w:tcW w:w="384" w:type="pct"/>
            <w:shd w:val="clear" w:color="auto" w:fill="CEDBE6" w:themeFill="background2"/>
            <w:vAlign w:val="center"/>
          </w:tcPr>
          <w:p w14:paraId="58E10963"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No</w:t>
            </w:r>
          </w:p>
        </w:tc>
        <w:tc>
          <w:tcPr>
            <w:tcW w:w="481" w:type="pct"/>
            <w:shd w:val="clear" w:color="auto" w:fill="CEDBE6" w:themeFill="background2"/>
            <w:vAlign w:val="center"/>
          </w:tcPr>
          <w:p w14:paraId="4C31F70D"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Not known</w:t>
            </w:r>
          </w:p>
        </w:tc>
        <w:tc>
          <w:tcPr>
            <w:tcW w:w="617" w:type="pct"/>
            <w:shd w:val="clear" w:color="auto" w:fill="CEDBE6" w:themeFill="background2"/>
            <w:vAlign w:val="center"/>
          </w:tcPr>
          <w:p w14:paraId="33DF90A1"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Not applicable</w:t>
            </w:r>
          </w:p>
        </w:tc>
        <w:tc>
          <w:tcPr>
            <w:tcW w:w="1095" w:type="pct"/>
            <w:shd w:val="clear" w:color="auto" w:fill="CEDBE6" w:themeFill="background2"/>
            <w:vAlign w:val="center"/>
          </w:tcPr>
          <w:p w14:paraId="22BC4157" w14:textId="77777777" w:rsidR="00E27F35" w:rsidRPr="00E27F35" w:rsidRDefault="00E27F35" w:rsidP="00E27F35">
            <w:pPr>
              <w:suppressAutoHyphens w:val="0"/>
              <w:autoSpaceDN/>
              <w:spacing w:before="0" w:after="0" w:line="240" w:lineRule="auto"/>
              <w:jc w:val="center"/>
              <w:textAlignment w:val="auto"/>
              <w:rPr>
                <w:rFonts w:ascii="Calibri" w:eastAsia="Times New Roman" w:hAnsi="Calibri" w:cs="Calibri"/>
                <w:b/>
                <w:sz w:val="20"/>
                <w:szCs w:val="20"/>
                <w:lang w:val="en-US"/>
              </w:rPr>
            </w:pPr>
            <w:r w:rsidRPr="00E27F35">
              <w:rPr>
                <w:rFonts w:ascii="Calibri" w:eastAsia="Times New Roman" w:hAnsi="Calibri" w:cs="Calibri"/>
                <w:b/>
                <w:sz w:val="20"/>
                <w:szCs w:val="20"/>
                <w:lang w:val="en-US"/>
              </w:rPr>
              <w:t>Additional Clarifications</w:t>
            </w:r>
          </w:p>
        </w:tc>
      </w:tr>
      <w:tr w:rsidR="00E27F35" w:rsidRPr="00E27F35" w14:paraId="4C5D470C" w14:textId="77777777" w:rsidTr="004C1235">
        <w:tc>
          <w:tcPr>
            <w:tcW w:w="351" w:type="pct"/>
            <w:shd w:val="clear" w:color="auto" w:fill="auto"/>
          </w:tcPr>
          <w:p w14:paraId="063549F4"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4562B6E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Is it sub-project listed in the WB exclusion list?</w:t>
            </w:r>
          </w:p>
        </w:tc>
        <w:tc>
          <w:tcPr>
            <w:tcW w:w="397" w:type="pct"/>
            <w:shd w:val="clear" w:color="auto" w:fill="auto"/>
          </w:tcPr>
          <w:p w14:paraId="770FD4F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56B180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6884781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CFEE34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19617F4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01C2748" w14:textId="77777777" w:rsidTr="004C1235">
        <w:tc>
          <w:tcPr>
            <w:tcW w:w="351" w:type="pct"/>
            <w:shd w:val="clear" w:color="auto" w:fill="auto"/>
          </w:tcPr>
          <w:p w14:paraId="317B794B"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8E8F53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 xml:space="preserve">Will the sub-project include civil works? </w:t>
            </w:r>
          </w:p>
        </w:tc>
        <w:tc>
          <w:tcPr>
            <w:tcW w:w="397" w:type="pct"/>
            <w:shd w:val="clear" w:color="auto" w:fill="auto"/>
          </w:tcPr>
          <w:p w14:paraId="4C14C11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53411F7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4621A3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2936F1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D1A96E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4B4821F9" w14:textId="77777777" w:rsidTr="004C1235">
        <w:tc>
          <w:tcPr>
            <w:tcW w:w="351" w:type="pct"/>
            <w:shd w:val="clear" w:color="auto" w:fill="auto"/>
          </w:tcPr>
          <w:p w14:paraId="031BEFAB"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1C625F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 xml:space="preserve">Will the sub-project include reconstruction (new construction)? </w:t>
            </w:r>
          </w:p>
        </w:tc>
        <w:tc>
          <w:tcPr>
            <w:tcW w:w="397" w:type="pct"/>
            <w:shd w:val="clear" w:color="auto" w:fill="auto"/>
          </w:tcPr>
          <w:p w14:paraId="09AC8E4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BDB97E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725E7B4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DABA21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C7623C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0149F340" w14:textId="77777777" w:rsidTr="004C1235">
        <w:tc>
          <w:tcPr>
            <w:tcW w:w="351" w:type="pct"/>
            <w:shd w:val="clear" w:color="auto" w:fill="auto"/>
          </w:tcPr>
          <w:p w14:paraId="294C37A2"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BFF041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include only rehabilitation works?</w:t>
            </w:r>
          </w:p>
        </w:tc>
        <w:tc>
          <w:tcPr>
            <w:tcW w:w="397" w:type="pct"/>
            <w:shd w:val="clear" w:color="auto" w:fill="auto"/>
          </w:tcPr>
          <w:p w14:paraId="314CAFB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5FDAC5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FCA3E0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1CBB89D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61A4908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AA104E1" w14:textId="77777777" w:rsidTr="004C1235">
        <w:tc>
          <w:tcPr>
            <w:tcW w:w="351" w:type="pct"/>
            <w:shd w:val="clear" w:color="auto" w:fill="auto"/>
          </w:tcPr>
          <w:p w14:paraId="0D058E0F"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2927849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include only repair/intervention works?</w:t>
            </w:r>
          </w:p>
        </w:tc>
        <w:tc>
          <w:tcPr>
            <w:tcW w:w="397" w:type="pct"/>
            <w:shd w:val="clear" w:color="auto" w:fill="auto"/>
          </w:tcPr>
          <w:p w14:paraId="6C1610C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58E467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5E3162C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7A80EB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75495DD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5C126C11" w14:textId="77777777" w:rsidTr="004C1235">
        <w:tc>
          <w:tcPr>
            <w:tcW w:w="351" w:type="pct"/>
            <w:shd w:val="clear" w:color="auto" w:fill="auto"/>
          </w:tcPr>
          <w:p w14:paraId="2E44D939"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224E1D0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According to national legislation does the subproject require EIA?</w:t>
            </w:r>
          </w:p>
        </w:tc>
        <w:tc>
          <w:tcPr>
            <w:tcW w:w="397" w:type="pct"/>
            <w:shd w:val="clear" w:color="auto" w:fill="auto"/>
          </w:tcPr>
          <w:p w14:paraId="29BB52C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12647F7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347A5E1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578166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7B00784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6706EA3" w14:textId="77777777" w:rsidTr="004C1235">
        <w:tc>
          <w:tcPr>
            <w:tcW w:w="351" w:type="pct"/>
            <w:shd w:val="clear" w:color="auto" w:fill="auto"/>
          </w:tcPr>
          <w:p w14:paraId="49C8BE30"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3535148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Has the opinion that EIA it is not needed been issue? (please attach)</w:t>
            </w:r>
          </w:p>
        </w:tc>
        <w:tc>
          <w:tcPr>
            <w:tcW w:w="397" w:type="pct"/>
            <w:shd w:val="clear" w:color="auto" w:fill="auto"/>
          </w:tcPr>
          <w:p w14:paraId="50603CE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170D51E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750C82B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7BFF278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69C54D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95520CF" w14:textId="77777777" w:rsidTr="004C1235">
        <w:tc>
          <w:tcPr>
            <w:tcW w:w="351" w:type="pct"/>
            <w:shd w:val="clear" w:color="auto" w:fill="auto"/>
          </w:tcPr>
          <w:p w14:paraId="12514094"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2272DA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Is the sub-project taking place in the nature protected or ecological network area?</w:t>
            </w:r>
          </w:p>
        </w:tc>
        <w:tc>
          <w:tcPr>
            <w:tcW w:w="397" w:type="pct"/>
            <w:shd w:val="clear" w:color="auto" w:fill="auto"/>
          </w:tcPr>
          <w:p w14:paraId="441043B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F03166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747F537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3B20B9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7072A5F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C2BF82C" w14:textId="77777777" w:rsidTr="004C1235">
        <w:tc>
          <w:tcPr>
            <w:tcW w:w="351" w:type="pct"/>
            <w:shd w:val="clear" w:color="auto" w:fill="auto"/>
          </w:tcPr>
          <w:p w14:paraId="51D8949E"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7CCA4F2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Is preliminary assessment of acceptability for the ecological network area obtained from the competent authority? (please attached)</w:t>
            </w:r>
          </w:p>
        </w:tc>
        <w:tc>
          <w:tcPr>
            <w:tcW w:w="397" w:type="pct"/>
            <w:shd w:val="clear" w:color="auto" w:fill="auto"/>
          </w:tcPr>
          <w:p w14:paraId="784AAE1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4062B3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5BB5662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91CB95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DFF09E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D1AC043" w14:textId="77777777" w:rsidTr="004C1235">
        <w:tc>
          <w:tcPr>
            <w:tcW w:w="351" w:type="pct"/>
            <w:shd w:val="clear" w:color="auto" w:fill="auto"/>
          </w:tcPr>
          <w:p w14:paraId="3DDCA998"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562FE9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Is permission / confirmation regarding interventions in protected areas obtained from the competent authority? (please attach)</w:t>
            </w:r>
          </w:p>
        </w:tc>
        <w:tc>
          <w:tcPr>
            <w:tcW w:w="397" w:type="pct"/>
            <w:shd w:val="clear" w:color="auto" w:fill="auto"/>
          </w:tcPr>
          <w:p w14:paraId="51CCCC0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8BD049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665BD9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828290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47BB723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26DF9A45" w14:textId="77777777" w:rsidTr="004C1235">
        <w:tc>
          <w:tcPr>
            <w:tcW w:w="351" w:type="pct"/>
            <w:shd w:val="clear" w:color="auto" w:fill="auto"/>
          </w:tcPr>
          <w:p w14:paraId="064EC154"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165B781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affect endangered flora or fauna?</w:t>
            </w:r>
          </w:p>
        </w:tc>
        <w:tc>
          <w:tcPr>
            <w:tcW w:w="397" w:type="pct"/>
            <w:shd w:val="clear" w:color="auto" w:fill="auto"/>
          </w:tcPr>
          <w:p w14:paraId="4E1A527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2DA3F5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69BE1CC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D63663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9546CD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0A7E173A" w14:textId="77777777" w:rsidTr="004C1235">
        <w:tc>
          <w:tcPr>
            <w:tcW w:w="351" w:type="pct"/>
            <w:shd w:val="clear" w:color="auto" w:fill="auto"/>
          </w:tcPr>
          <w:p w14:paraId="6B2E04B5"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F77841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affect some critical habitats (forest, wetlands, marshlands, aquatic ecosystems)?</w:t>
            </w:r>
          </w:p>
        </w:tc>
        <w:tc>
          <w:tcPr>
            <w:tcW w:w="397" w:type="pct"/>
            <w:shd w:val="clear" w:color="auto" w:fill="auto"/>
          </w:tcPr>
          <w:p w14:paraId="07128B2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D71C84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11D864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4B5A2C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673229E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277C60D" w14:textId="77777777" w:rsidTr="004C1235">
        <w:tc>
          <w:tcPr>
            <w:tcW w:w="351" w:type="pct"/>
            <w:shd w:val="clear" w:color="auto" w:fill="auto"/>
          </w:tcPr>
          <w:p w14:paraId="224DC82A"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1D04C0A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produce emissions to air (e.g. dust, air pollutants, green-house-gases emissions, etc.)?</w:t>
            </w:r>
          </w:p>
        </w:tc>
        <w:tc>
          <w:tcPr>
            <w:tcW w:w="397" w:type="pct"/>
            <w:shd w:val="clear" w:color="auto" w:fill="auto"/>
          </w:tcPr>
          <w:p w14:paraId="5A5FDF3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B0360A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3B9FC36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7B1927D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F1ACEA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48F84F83" w14:textId="77777777" w:rsidTr="004C1235">
        <w:tc>
          <w:tcPr>
            <w:tcW w:w="351" w:type="pct"/>
            <w:shd w:val="clear" w:color="auto" w:fill="auto"/>
          </w:tcPr>
          <w:p w14:paraId="17F59639"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4390D6B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produce excessive noise and vibrations?</w:t>
            </w:r>
          </w:p>
        </w:tc>
        <w:tc>
          <w:tcPr>
            <w:tcW w:w="397" w:type="pct"/>
            <w:shd w:val="clear" w:color="auto" w:fill="auto"/>
          </w:tcPr>
          <w:p w14:paraId="2689BAF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0CD66E1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1949884D"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4FEAAB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8E7356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020533C" w14:textId="77777777" w:rsidTr="004C1235">
        <w:tc>
          <w:tcPr>
            <w:tcW w:w="351" w:type="pct"/>
            <w:shd w:val="clear" w:color="auto" w:fill="auto"/>
          </w:tcPr>
          <w:p w14:paraId="790F3D09"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8A58A6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risks of contamination of surface waters?</w:t>
            </w:r>
          </w:p>
        </w:tc>
        <w:tc>
          <w:tcPr>
            <w:tcW w:w="397" w:type="pct"/>
            <w:shd w:val="clear" w:color="auto" w:fill="auto"/>
          </w:tcPr>
          <w:p w14:paraId="61BBDFF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7F8D0B2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60F1EF5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C77FFE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62A0065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2E2C0FC4" w14:textId="77777777" w:rsidTr="004C1235">
        <w:tc>
          <w:tcPr>
            <w:tcW w:w="351" w:type="pct"/>
            <w:shd w:val="clear" w:color="auto" w:fill="auto"/>
          </w:tcPr>
          <w:p w14:paraId="6325E289"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3F70956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risks of contamination of ground waters?</w:t>
            </w:r>
          </w:p>
        </w:tc>
        <w:tc>
          <w:tcPr>
            <w:tcW w:w="397" w:type="pct"/>
            <w:shd w:val="clear" w:color="auto" w:fill="auto"/>
          </w:tcPr>
          <w:p w14:paraId="5D1FB4D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46A10C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14114B6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768663FD"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1CB6DC3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E639B70" w14:textId="77777777" w:rsidTr="004C1235">
        <w:tc>
          <w:tcPr>
            <w:tcW w:w="351" w:type="pct"/>
            <w:shd w:val="clear" w:color="auto" w:fill="auto"/>
          </w:tcPr>
          <w:p w14:paraId="6B65927D"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32B1BFC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activities which will lead to physical changes of the water body?</w:t>
            </w:r>
          </w:p>
        </w:tc>
        <w:tc>
          <w:tcPr>
            <w:tcW w:w="397" w:type="pct"/>
            <w:shd w:val="clear" w:color="auto" w:fill="auto"/>
          </w:tcPr>
          <w:p w14:paraId="6816B3D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49FF3A8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5F75B9BD"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263804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7E3DA80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512F33AC" w14:textId="77777777" w:rsidTr="004C1235">
        <w:tc>
          <w:tcPr>
            <w:tcW w:w="351" w:type="pct"/>
            <w:shd w:val="clear" w:color="auto" w:fill="auto"/>
          </w:tcPr>
          <w:p w14:paraId="6E4EE66F"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3EB2CD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project produce negative impact to soil (erosion, contamination, etc.)?</w:t>
            </w:r>
          </w:p>
        </w:tc>
        <w:tc>
          <w:tcPr>
            <w:tcW w:w="397" w:type="pct"/>
            <w:shd w:val="clear" w:color="auto" w:fill="auto"/>
          </w:tcPr>
          <w:p w14:paraId="5024A33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895CCF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15E5201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120CA53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A2BE65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077A00F0" w14:textId="77777777" w:rsidTr="004C1235">
        <w:tc>
          <w:tcPr>
            <w:tcW w:w="351" w:type="pct"/>
            <w:shd w:val="clear" w:color="auto" w:fill="auto"/>
          </w:tcPr>
          <w:p w14:paraId="1ADE388F"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A2C8F1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areas or features of high landscape or scenic value on or around the location which could be affected by the sub-project?</w:t>
            </w:r>
          </w:p>
        </w:tc>
        <w:tc>
          <w:tcPr>
            <w:tcW w:w="397" w:type="pct"/>
            <w:shd w:val="clear" w:color="auto" w:fill="auto"/>
          </w:tcPr>
          <w:p w14:paraId="7A79D6E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F35E6D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1E64D7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B372D1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4EC8C6A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7C6061D2" w14:textId="77777777" w:rsidTr="004C1235">
        <w:tc>
          <w:tcPr>
            <w:tcW w:w="351" w:type="pct"/>
            <w:shd w:val="clear" w:color="auto" w:fill="auto"/>
          </w:tcPr>
          <w:p w14:paraId="6E82ABDC"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26080B5D" w14:textId="0431756F" w:rsidR="00E27F35" w:rsidRPr="00E27F35" w:rsidRDefault="00710260"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710260">
              <w:rPr>
                <w:rFonts w:ascii="Calibri" w:eastAsia="Times New Roman" w:hAnsi="Calibri" w:cs="Calibri"/>
                <w:sz w:val="20"/>
                <w:szCs w:val="20"/>
                <w:lang w:val="en-US"/>
              </w:rPr>
              <w:t>Is the subproject located within or in the vicinity of any known cultural heritage site or is sub-project located in protected cultural and historical area?</w:t>
            </w:r>
          </w:p>
        </w:tc>
        <w:tc>
          <w:tcPr>
            <w:tcW w:w="397" w:type="pct"/>
            <w:shd w:val="clear" w:color="auto" w:fill="auto"/>
          </w:tcPr>
          <w:p w14:paraId="1DA8ACC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AF823E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C86532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8319B5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22263E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78D4098" w14:textId="77777777" w:rsidTr="004C1235">
        <w:tc>
          <w:tcPr>
            <w:tcW w:w="351" w:type="pct"/>
            <w:shd w:val="clear" w:color="auto" w:fill="auto"/>
          </w:tcPr>
          <w:p w14:paraId="1895B69F"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428BA99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impact archeological or cultural heritage sites?</w:t>
            </w:r>
          </w:p>
        </w:tc>
        <w:tc>
          <w:tcPr>
            <w:tcW w:w="397" w:type="pct"/>
            <w:shd w:val="clear" w:color="auto" w:fill="auto"/>
          </w:tcPr>
          <w:p w14:paraId="02F59F5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3EE506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890498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262A2E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D105B5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245DB8B9" w14:textId="77777777" w:rsidTr="004C1235">
        <w:tc>
          <w:tcPr>
            <w:tcW w:w="351" w:type="pct"/>
            <w:shd w:val="clear" w:color="auto" w:fill="auto"/>
          </w:tcPr>
          <w:p w14:paraId="40F3EA33"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86C7E5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 xml:space="preserve">Will the sub-project generate non-hazardous wastes? </w:t>
            </w:r>
          </w:p>
        </w:tc>
        <w:tc>
          <w:tcPr>
            <w:tcW w:w="397" w:type="pct"/>
            <w:shd w:val="clear" w:color="auto" w:fill="auto"/>
          </w:tcPr>
          <w:p w14:paraId="2537CB5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87F91A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102B7F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6058367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32EC58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49B3C500" w14:textId="77777777" w:rsidTr="004C1235">
        <w:tc>
          <w:tcPr>
            <w:tcW w:w="351" w:type="pct"/>
            <w:shd w:val="clear" w:color="auto" w:fill="auto"/>
          </w:tcPr>
          <w:p w14:paraId="3A844668"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7F8DDC4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generate hazardous wastes?</w:t>
            </w:r>
          </w:p>
        </w:tc>
        <w:tc>
          <w:tcPr>
            <w:tcW w:w="397" w:type="pct"/>
            <w:shd w:val="clear" w:color="auto" w:fill="auto"/>
          </w:tcPr>
          <w:p w14:paraId="004830C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6C837FA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BC6241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B62204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E7C1810"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DEE9D1F" w14:textId="77777777" w:rsidTr="004C1235">
        <w:tc>
          <w:tcPr>
            <w:tcW w:w="351" w:type="pct"/>
            <w:shd w:val="clear" w:color="auto" w:fill="auto"/>
          </w:tcPr>
          <w:p w14:paraId="10996AC4"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68A1ABE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generate asbestos wastes?</w:t>
            </w:r>
          </w:p>
        </w:tc>
        <w:tc>
          <w:tcPr>
            <w:tcW w:w="397" w:type="pct"/>
            <w:shd w:val="clear" w:color="auto" w:fill="auto"/>
          </w:tcPr>
          <w:p w14:paraId="1D4CC0C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248CF99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F5031D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52957F2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4C3B671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4BD7C93A" w14:textId="77777777" w:rsidTr="004C1235">
        <w:tc>
          <w:tcPr>
            <w:tcW w:w="351" w:type="pct"/>
            <w:shd w:val="clear" w:color="auto" w:fill="auto"/>
          </w:tcPr>
          <w:p w14:paraId="660E77D7"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4185B2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Will the sub-project generate significant amounts of wastes?</w:t>
            </w:r>
          </w:p>
        </w:tc>
        <w:tc>
          <w:tcPr>
            <w:tcW w:w="397" w:type="pct"/>
            <w:shd w:val="clear" w:color="auto" w:fill="auto"/>
          </w:tcPr>
          <w:p w14:paraId="456ED90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4888381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2CDD52D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41C05661"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0ABE914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D895321" w14:textId="77777777" w:rsidTr="004C1235">
        <w:tc>
          <w:tcPr>
            <w:tcW w:w="351" w:type="pct"/>
            <w:shd w:val="clear" w:color="auto" w:fill="auto"/>
          </w:tcPr>
          <w:p w14:paraId="304F82A6"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7553E634"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lang w:val="en-US"/>
              </w:rPr>
              <w:t>Are there any routes or facilities on or around the location which are used by the public for access to recreation or other facilities, which could be affected by the sub-project?</w:t>
            </w:r>
          </w:p>
        </w:tc>
        <w:tc>
          <w:tcPr>
            <w:tcW w:w="397" w:type="pct"/>
            <w:shd w:val="clear" w:color="auto" w:fill="auto"/>
          </w:tcPr>
          <w:p w14:paraId="2EB3592B"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31709F4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489AA29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6F5D0945"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5F398AA9"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3EFDC684" w14:textId="77777777" w:rsidTr="004C1235">
        <w:tc>
          <w:tcPr>
            <w:tcW w:w="351" w:type="pct"/>
            <w:shd w:val="clear" w:color="auto" w:fill="auto"/>
          </w:tcPr>
          <w:p w14:paraId="5846FBBE"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3634914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r w:rsidRPr="00E27F35">
              <w:rPr>
                <w:rFonts w:ascii="Calibri" w:eastAsia="Times New Roman" w:hAnsi="Calibri" w:cs="Calibri"/>
                <w:sz w:val="20"/>
                <w:szCs w:val="20"/>
              </w:rPr>
              <w:t xml:space="preserve">Are </w:t>
            </w:r>
            <w:proofErr w:type="spellStart"/>
            <w:r w:rsidRPr="00E27F35">
              <w:rPr>
                <w:rFonts w:ascii="Calibri" w:eastAsia="Times New Roman" w:hAnsi="Calibri" w:cs="Calibri"/>
                <w:sz w:val="20"/>
                <w:szCs w:val="20"/>
              </w:rPr>
              <w:t>there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existing</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land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uses</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within</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or</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around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the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location</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e.g</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homes</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gardens</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other</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private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property</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industry</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commerce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recreation</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public</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open</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space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community</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facilities</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agriculture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forestry</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tourism</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mining</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or</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quarrying</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that</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could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be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affected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by</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the</w:t>
            </w:r>
            <w:proofErr w:type="spellEnd"/>
            <w:r w:rsidRPr="00E27F35">
              <w:rPr>
                <w:rFonts w:ascii="Calibri" w:eastAsia="Times New Roman" w:hAnsi="Calibri" w:cs="Calibri"/>
                <w:sz w:val="20"/>
                <w:szCs w:val="20"/>
              </w:rPr>
              <w:t xml:space="preserve"> sub-</w:t>
            </w:r>
            <w:proofErr w:type="spellStart"/>
            <w:r w:rsidRPr="00E27F35">
              <w:rPr>
                <w:rFonts w:ascii="Calibri" w:eastAsia="Times New Roman" w:hAnsi="Calibri" w:cs="Calibri"/>
                <w:sz w:val="20"/>
                <w:szCs w:val="20"/>
              </w:rPr>
              <w:t>project</w:t>
            </w:r>
            <w:proofErr w:type="spellEnd"/>
            <w:r w:rsidRPr="00E27F35">
              <w:rPr>
                <w:rFonts w:ascii="Calibri" w:eastAsia="Times New Roman" w:hAnsi="Calibri" w:cs="Calibri"/>
                <w:sz w:val="20"/>
                <w:szCs w:val="20"/>
              </w:rPr>
              <w:t>?</w:t>
            </w:r>
          </w:p>
        </w:tc>
        <w:tc>
          <w:tcPr>
            <w:tcW w:w="397" w:type="pct"/>
            <w:shd w:val="clear" w:color="auto" w:fill="auto"/>
          </w:tcPr>
          <w:p w14:paraId="19B6F252"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1A7AE1D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7737F6A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38FF8D2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ED65168"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F12E991" w14:textId="77777777" w:rsidTr="004C1235">
        <w:tc>
          <w:tcPr>
            <w:tcW w:w="351" w:type="pct"/>
            <w:shd w:val="clear" w:color="auto" w:fill="auto"/>
          </w:tcPr>
          <w:p w14:paraId="28B59796"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598522F8" w14:textId="77777777" w:rsidR="00E27F35" w:rsidRPr="00E27F35" w:rsidRDefault="00E27F35" w:rsidP="00E27F35">
            <w:pPr>
              <w:suppressAutoHyphens w:val="0"/>
              <w:autoSpaceDN/>
              <w:spacing w:before="0" w:after="0" w:line="240" w:lineRule="auto"/>
              <w:textAlignment w:val="auto"/>
              <w:rPr>
                <w:rFonts w:ascii="Calibri" w:eastAsia="Times New Roman" w:hAnsi="Calibri" w:cs="Calibri"/>
                <w:sz w:val="20"/>
                <w:szCs w:val="20"/>
              </w:rPr>
            </w:pPr>
            <w:r w:rsidRPr="00E27F35">
              <w:rPr>
                <w:rFonts w:ascii="Calibri" w:eastAsia="Times New Roman" w:hAnsi="Calibri" w:cs="Calibri"/>
                <w:sz w:val="20"/>
                <w:szCs w:val="20"/>
              </w:rPr>
              <w:t xml:space="preserve">Are </w:t>
            </w:r>
            <w:proofErr w:type="spellStart"/>
            <w:r w:rsidRPr="00E27F35">
              <w:rPr>
                <w:rFonts w:ascii="Calibri" w:eastAsia="Times New Roman" w:hAnsi="Calibri" w:cs="Calibri"/>
                <w:sz w:val="20"/>
                <w:szCs w:val="20"/>
              </w:rPr>
              <w:t>there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areas</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within</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or</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around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the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location</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which</w:t>
            </w:r>
            <w:proofErr w:type="spellEnd"/>
            <w:r w:rsidRPr="00E27F35">
              <w:rPr>
                <w:rFonts w:ascii="Calibri" w:eastAsia="Times New Roman" w:hAnsi="Calibri" w:cs="Calibri"/>
                <w:sz w:val="20"/>
                <w:szCs w:val="20"/>
              </w:rPr>
              <w:t xml:space="preserve"> are </w:t>
            </w:r>
            <w:proofErr w:type="spellStart"/>
            <w:r w:rsidRPr="00E27F35">
              <w:rPr>
                <w:rFonts w:ascii="Calibri" w:eastAsia="Times New Roman" w:hAnsi="Calibri" w:cs="Calibri"/>
                <w:sz w:val="20"/>
                <w:szCs w:val="20"/>
              </w:rPr>
              <w:t>densely</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populated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or</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builtup</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that</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could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be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affected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by</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the</w:t>
            </w:r>
            <w:proofErr w:type="spellEnd"/>
            <w:r w:rsidRPr="00E27F35">
              <w:rPr>
                <w:rFonts w:ascii="Calibri" w:eastAsia="Times New Roman" w:hAnsi="Calibri" w:cs="Calibri"/>
                <w:sz w:val="20"/>
                <w:szCs w:val="20"/>
              </w:rPr>
              <w:t xml:space="preserve"> sub-</w:t>
            </w:r>
            <w:proofErr w:type="spellStart"/>
            <w:r w:rsidRPr="00E27F35">
              <w:rPr>
                <w:rFonts w:ascii="Calibri" w:eastAsia="Times New Roman" w:hAnsi="Calibri" w:cs="Calibri"/>
                <w:sz w:val="20"/>
                <w:szCs w:val="20"/>
              </w:rPr>
              <w:t>project</w:t>
            </w:r>
            <w:proofErr w:type="spellEnd"/>
            <w:r w:rsidRPr="00E27F35">
              <w:rPr>
                <w:rFonts w:ascii="Calibri" w:eastAsia="Times New Roman" w:hAnsi="Calibri" w:cs="Calibri"/>
                <w:sz w:val="20"/>
                <w:szCs w:val="20"/>
              </w:rPr>
              <w:t>?</w:t>
            </w:r>
          </w:p>
        </w:tc>
        <w:tc>
          <w:tcPr>
            <w:tcW w:w="397" w:type="pct"/>
            <w:shd w:val="clear" w:color="auto" w:fill="auto"/>
          </w:tcPr>
          <w:p w14:paraId="639B56E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596137A7"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01A0DEC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13905636"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23481323"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r w:rsidR="00E27F35" w:rsidRPr="00E27F35" w14:paraId="1FCA42C1" w14:textId="77777777" w:rsidTr="004C1235">
        <w:tc>
          <w:tcPr>
            <w:tcW w:w="351" w:type="pct"/>
            <w:shd w:val="clear" w:color="auto" w:fill="auto"/>
          </w:tcPr>
          <w:p w14:paraId="33971237" w14:textId="77777777" w:rsidR="00E27F35" w:rsidRPr="00E27F35" w:rsidRDefault="00E27F35" w:rsidP="00BE60A0">
            <w:pPr>
              <w:numPr>
                <w:ilvl w:val="0"/>
                <w:numId w:val="90"/>
              </w:numPr>
              <w:suppressAutoHyphens w:val="0"/>
              <w:autoSpaceDN/>
              <w:spacing w:before="0" w:after="0" w:line="240" w:lineRule="auto"/>
              <w:contextualSpacing/>
              <w:jc w:val="center"/>
              <w:textAlignment w:val="auto"/>
              <w:rPr>
                <w:rFonts w:ascii="Calibri" w:eastAsia="Times New Roman" w:hAnsi="Calibri" w:cs="Calibri"/>
                <w:b/>
                <w:sz w:val="20"/>
                <w:szCs w:val="20"/>
                <w:lang w:val="en-US"/>
              </w:rPr>
            </w:pPr>
          </w:p>
        </w:tc>
        <w:tc>
          <w:tcPr>
            <w:tcW w:w="1677" w:type="pct"/>
            <w:shd w:val="clear" w:color="auto" w:fill="auto"/>
          </w:tcPr>
          <w:p w14:paraId="45A2A275" w14:textId="77777777" w:rsidR="00E27F35" w:rsidRPr="00E27F35" w:rsidRDefault="00E27F35" w:rsidP="00E27F35">
            <w:pPr>
              <w:suppressAutoHyphens w:val="0"/>
              <w:autoSpaceDN/>
              <w:spacing w:before="0" w:after="0" w:line="240" w:lineRule="auto"/>
              <w:textAlignment w:val="auto"/>
              <w:rPr>
                <w:rFonts w:ascii="Calibri" w:eastAsia="Times New Roman" w:hAnsi="Calibri" w:cs="Calibri"/>
                <w:sz w:val="20"/>
                <w:szCs w:val="20"/>
              </w:rPr>
            </w:pPr>
            <w:r w:rsidRPr="00E27F35">
              <w:rPr>
                <w:rFonts w:ascii="Calibri" w:eastAsia="Times New Roman" w:hAnsi="Calibri" w:cs="Calibri"/>
                <w:sz w:val="20"/>
                <w:szCs w:val="20"/>
              </w:rPr>
              <w:t>May sub-</w:t>
            </w:r>
            <w:proofErr w:type="spellStart"/>
            <w:r w:rsidRPr="00E27F35">
              <w:rPr>
                <w:rFonts w:ascii="Calibri" w:eastAsia="Times New Roman" w:hAnsi="Calibri" w:cs="Calibri"/>
                <w:sz w:val="20"/>
                <w:szCs w:val="20"/>
              </w:rPr>
              <w:t>project</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cause</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impact</w:t>
            </w:r>
            <w:proofErr w:type="spellEnd"/>
            <w:r w:rsidRPr="00E27F35">
              <w:rPr>
                <w:rFonts w:ascii="Calibri" w:eastAsia="Times New Roman" w:hAnsi="Calibri" w:cs="Calibri"/>
                <w:sz w:val="20"/>
                <w:szCs w:val="20"/>
              </w:rPr>
              <w:t xml:space="preserve"> on </w:t>
            </w:r>
            <w:proofErr w:type="spellStart"/>
            <w:r w:rsidRPr="00E27F35">
              <w:rPr>
                <w:rFonts w:ascii="Calibri" w:eastAsia="Times New Roman" w:hAnsi="Calibri" w:cs="Calibri"/>
                <w:sz w:val="20"/>
                <w:szCs w:val="20"/>
              </w:rPr>
              <w:t>community</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health</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and</w:t>
            </w:r>
            <w:proofErr w:type="spellEnd"/>
            <w:r w:rsidRPr="00E27F35">
              <w:rPr>
                <w:rFonts w:ascii="Calibri" w:eastAsia="Times New Roman" w:hAnsi="Calibri" w:cs="Calibri"/>
                <w:sz w:val="20"/>
                <w:szCs w:val="20"/>
              </w:rPr>
              <w:t xml:space="preserve"> </w:t>
            </w:r>
            <w:proofErr w:type="spellStart"/>
            <w:r w:rsidRPr="00E27F35">
              <w:rPr>
                <w:rFonts w:ascii="Calibri" w:eastAsia="Times New Roman" w:hAnsi="Calibri" w:cs="Calibri"/>
                <w:sz w:val="20"/>
                <w:szCs w:val="20"/>
              </w:rPr>
              <w:t>safety</w:t>
            </w:r>
            <w:proofErr w:type="spellEnd"/>
            <w:r w:rsidRPr="00E27F35">
              <w:rPr>
                <w:rFonts w:ascii="Calibri" w:eastAsia="Times New Roman" w:hAnsi="Calibri" w:cs="Calibri"/>
                <w:sz w:val="20"/>
                <w:szCs w:val="20"/>
              </w:rPr>
              <w:t>?</w:t>
            </w:r>
          </w:p>
        </w:tc>
        <w:tc>
          <w:tcPr>
            <w:tcW w:w="397" w:type="pct"/>
            <w:shd w:val="clear" w:color="auto" w:fill="auto"/>
          </w:tcPr>
          <w:p w14:paraId="0B3F35DD"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384" w:type="pct"/>
            <w:shd w:val="clear" w:color="auto" w:fill="auto"/>
          </w:tcPr>
          <w:p w14:paraId="130228DE"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481" w:type="pct"/>
            <w:shd w:val="clear" w:color="auto" w:fill="auto"/>
          </w:tcPr>
          <w:p w14:paraId="54E68E5C"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617" w:type="pct"/>
            <w:shd w:val="clear" w:color="auto" w:fill="auto"/>
          </w:tcPr>
          <w:p w14:paraId="2BF044B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c>
          <w:tcPr>
            <w:tcW w:w="1095" w:type="pct"/>
            <w:shd w:val="clear" w:color="auto" w:fill="auto"/>
          </w:tcPr>
          <w:p w14:paraId="3B895D3A"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sz w:val="20"/>
                <w:szCs w:val="20"/>
                <w:lang w:val="en-US"/>
              </w:rPr>
            </w:pPr>
          </w:p>
        </w:tc>
      </w:tr>
    </w:tbl>
    <w:p w14:paraId="2D6FA0EF" w14:textId="77777777" w:rsidR="00E27F35" w:rsidRPr="00E27F35" w:rsidRDefault="00E27F35" w:rsidP="00E27F35">
      <w:pPr>
        <w:suppressAutoHyphens w:val="0"/>
        <w:autoSpaceDN/>
        <w:spacing w:before="0" w:after="0" w:line="240" w:lineRule="auto"/>
        <w:jc w:val="left"/>
        <w:textAlignment w:val="auto"/>
        <w:rPr>
          <w:rFonts w:ascii="Calibri" w:eastAsia="Times New Roman" w:hAnsi="Calibri" w:cs="Calibri"/>
          <w:b/>
          <w:lang w:val="en-US"/>
        </w:rPr>
      </w:pPr>
    </w:p>
    <w:p w14:paraId="2E7DBADB" w14:textId="77777777" w:rsidR="00E27F35" w:rsidRPr="00E27F35" w:rsidRDefault="00E27F35" w:rsidP="009F23D8">
      <w:pPr>
        <w:suppressAutoHyphens w:val="0"/>
        <w:autoSpaceDN/>
        <w:jc w:val="left"/>
        <w:textAlignment w:val="auto"/>
        <w:rPr>
          <w:rFonts w:ascii="Calibri" w:eastAsia="Times New Roman" w:hAnsi="Calibri" w:cs="Calibri"/>
          <w:b/>
          <w:lang w:val="en-US"/>
        </w:rPr>
      </w:pPr>
      <w:r w:rsidRPr="00E27F35">
        <w:rPr>
          <w:rFonts w:ascii="Calibri" w:eastAsia="Times New Roman" w:hAnsi="Calibri" w:cs="Calibri"/>
          <w:b/>
          <w:lang w:val="en-US"/>
        </w:rPr>
        <w:t xml:space="preserve">Screening Report </w:t>
      </w:r>
    </w:p>
    <w:tbl>
      <w:tblPr>
        <w:tblW w:w="4997" w:type="pct"/>
        <w:tblInd w:w="5" w:type="dxa"/>
        <w:tblCellMar>
          <w:left w:w="0" w:type="dxa"/>
          <w:right w:w="0" w:type="dxa"/>
        </w:tblCellMar>
        <w:tblLook w:val="0000" w:firstRow="0" w:lastRow="0" w:firstColumn="0" w:lastColumn="0" w:noHBand="0" w:noVBand="0"/>
      </w:tblPr>
      <w:tblGrid>
        <w:gridCol w:w="1799"/>
        <w:gridCol w:w="1804"/>
        <w:gridCol w:w="1804"/>
        <w:gridCol w:w="1804"/>
        <w:gridCol w:w="1800"/>
      </w:tblGrid>
      <w:tr w:rsidR="00C4480C" w:rsidRPr="00C4480C" w14:paraId="312D29F9" w14:textId="77777777" w:rsidTr="00366303">
        <w:trPr>
          <w:trHeight w:val="20"/>
        </w:trPr>
        <w:tc>
          <w:tcPr>
            <w:tcW w:w="998" w:type="pct"/>
            <w:vMerge w:val="restart"/>
            <w:tcBorders>
              <w:top w:val="single" w:sz="4" w:space="0" w:color="000000"/>
              <w:left w:val="single" w:sz="4" w:space="0" w:color="000000"/>
              <w:bottom w:val="single" w:sz="4" w:space="0" w:color="000000"/>
              <w:right w:val="single" w:sz="4" w:space="0" w:color="000000"/>
            </w:tcBorders>
            <w:shd w:val="clear" w:color="auto" w:fill="CEDBE6" w:themeFill="background2"/>
          </w:tcPr>
          <w:p w14:paraId="51E089C4" w14:textId="77777777" w:rsidR="00C4480C" w:rsidRPr="00C4480C" w:rsidRDefault="00C4480C" w:rsidP="00C4480C">
            <w:pPr>
              <w:widowControl w:val="0"/>
              <w:suppressAutoHyphens w:val="0"/>
              <w:autoSpaceDE w:val="0"/>
              <w:adjustRightInd w:val="0"/>
              <w:spacing w:before="0" w:after="0" w:line="200" w:lineRule="exact"/>
              <w:textAlignment w:val="auto"/>
              <w:rPr>
                <w:rFonts w:ascii="Calibri" w:hAnsi="Calibri" w:cs="Calibri"/>
                <w:sz w:val="20"/>
                <w:szCs w:val="20"/>
                <w:lang w:val="en-US"/>
              </w:rPr>
            </w:pPr>
          </w:p>
          <w:p w14:paraId="2E11FF64" w14:textId="77777777" w:rsidR="00C4480C" w:rsidRPr="00C4480C" w:rsidRDefault="00C4480C" w:rsidP="00C4480C">
            <w:pPr>
              <w:widowControl w:val="0"/>
              <w:suppressAutoHyphens w:val="0"/>
              <w:autoSpaceDE w:val="0"/>
              <w:adjustRightInd w:val="0"/>
              <w:spacing w:before="20" w:after="0" w:line="260" w:lineRule="exact"/>
              <w:textAlignment w:val="auto"/>
              <w:rPr>
                <w:rFonts w:ascii="Calibri" w:hAnsi="Calibri" w:cs="Calibri"/>
                <w:sz w:val="20"/>
                <w:szCs w:val="20"/>
                <w:lang w:val="en-US"/>
              </w:rPr>
            </w:pPr>
          </w:p>
          <w:p w14:paraId="037F7B58" w14:textId="77777777" w:rsidR="00C4480C" w:rsidRPr="00C4480C" w:rsidRDefault="00C4480C" w:rsidP="00C4480C">
            <w:pPr>
              <w:widowControl w:val="0"/>
              <w:suppressAutoHyphens w:val="0"/>
              <w:autoSpaceDE w:val="0"/>
              <w:adjustRightInd w:val="0"/>
              <w:spacing w:before="0" w:after="0" w:line="206" w:lineRule="exact"/>
              <w:ind w:left="616" w:right="180" w:hanging="384"/>
              <w:textAlignment w:val="auto"/>
              <w:rPr>
                <w:rFonts w:ascii="Calibri" w:hAnsi="Calibri" w:cs="Calibri"/>
                <w:sz w:val="20"/>
                <w:szCs w:val="20"/>
                <w:lang w:val="en-US"/>
              </w:rPr>
            </w:pPr>
            <w:r w:rsidRPr="00C4480C">
              <w:rPr>
                <w:rFonts w:ascii="Calibri" w:hAnsi="Calibri" w:cs="Calibri"/>
                <w:b/>
                <w:bCs/>
                <w:sz w:val="20"/>
                <w:szCs w:val="20"/>
                <w:lang w:val="en-US"/>
              </w:rPr>
              <w:t>Cat</w:t>
            </w:r>
            <w:r w:rsidRPr="00C4480C">
              <w:rPr>
                <w:rFonts w:ascii="Calibri" w:hAnsi="Calibri" w:cs="Calibri"/>
                <w:b/>
                <w:bCs/>
                <w:spacing w:val="1"/>
                <w:sz w:val="20"/>
                <w:szCs w:val="20"/>
                <w:lang w:val="en-US"/>
              </w:rPr>
              <w:t>e</w:t>
            </w:r>
            <w:r w:rsidRPr="00C4480C">
              <w:rPr>
                <w:rFonts w:ascii="Calibri" w:hAnsi="Calibri" w:cs="Calibri"/>
                <w:b/>
                <w:bCs/>
                <w:sz w:val="20"/>
                <w:szCs w:val="20"/>
                <w:lang w:val="en-US"/>
              </w:rPr>
              <w:t>g</w:t>
            </w:r>
            <w:r w:rsidRPr="00C4480C">
              <w:rPr>
                <w:rFonts w:ascii="Calibri" w:hAnsi="Calibri" w:cs="Calibri"/>
                <w:b/>
                <w:bCs/>
                <w:spacing w:val="1"/>
                <w:sz w:val="20"/>
                <w:szCs w:val="20"/>
                <w:lang w:val="en-US"/>
              </w:rPr>
              <w:t>o</w:t>
            </w:r>
            <w:r w:rsidRPr="00C4480C">
              <w:rPr>
                <w:rFonts w:ascii="Calibri" w:hAnsi="Calibri" w:cs="Calibri"/>
                <w:b/>
                <w:bCs/>
                <w:sz w:val="20"/>
                <w:szCs w:val="20"/>
                <w:lang w:val="en-US"/>
              </w:rPr>
              <w:t>ri</w:t>
            </w:r>
            <w:r w:rsidRPr="00C4480C">
              <w:rPr>
                <w:rFonts w:ascii="Calibri" w:hAnsi="Calibri" w:cs="Calibri"/>
                <w:b/>
                <w:bCs/>
                <w:spacing w:val="-1"/>
                <w:sz w:val="20"/>
                <w:szCs w:val="20"/>
                <w:lang w:val="en-US"/>
              </w:rPr>
              <w:t>z</w:t>
            </w:r>
            <w:r w:rsidRPr="00C4480C">
              <w:rPr>
                <w:rFonts w:ascii="Calibri" w:hAnsi="Calibri" w:cs="Calibri"/>
                <w:b/>
                <w:bCs/>
                <w:spacing w:val="1"/>
                <w:sz w:val="20"/>
                <w:szCs w:val="20"/>
                <w:lang w:val="en-US"/>
              </w:rPr>
              <w:t>a</w:t>
            </w:r>
            <w:r w:rsidRPr="00C4480C">
              <w:rPr>
                <w:rFonts w:ascii="Calibri" w:hAnsi="Calibri" w:cs="Calibri"/>
                <w:b/>
                <w:bCs/>
                <w:sz w:val="20"/>
                <w:szCs w:val="20"/>
                <w:lang w:val="en-US"/>
              </w:rPr>
              <w:t>ti</w:t>
            </w:r>
            <w:r w:rsidRPr="00C4480C">
              <w:rPr>
                <w:rFonts w:ascii="Calibri" w:hAnsi="Calibri" w:cs="Calibri"/>
                <w:b/>
                <w:bCs/>
                <w:spacing w:val="1"/>
                <w:sz w:val="20"/>
                <w:szCs w:val="20"/>
                <w:lang w:val="en-US"/>
              </w:rPr>
              <w:t>o</w:t>
            </w:r>
            <w:r w:rsidRPr="00C4480C">
              <w:rPr>
                <w:rFonts w:ascii="Calibri" w:hAnsi="Calibri" w:cs="Calibri"/>
                <w:b/>
                <w:bCs/>
                <w:sz w:val="20"/>
                <w:szCs w:val="20"/>
                <w:lang w:val="en-US"/>
              </w:rPr>
              <w:t>n</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of the</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Ri</w:t>
            </w:r>
            <w:r w:rsidRPr="00C4480C">
              <w:rPr>
                <w:rFonts w:ascii="Calibri" w:hAnsi="Calibri" w:cs="Calibri"/>
                <w:b/>
                <w:bCs/>
                <w:spacing w:val="1"/>
                <w:sz w:val="20"/>
                <w:szCs w:val="20"/>
                <w:lang w:val="en-US"/>
              </w:rPr>
              <w:t>s</w:t>
            </w:r>
            <w:r w:rsidRPr="00C4480C">
              <w:rPr>
                <w:rFonts w:ascii="Calibri" w:hAnsi="Calibri" w:cs="Calibri"/>
                <w:b/>
                <w:bCs/>
                <w:sz w:val="20"/>
                <w:szCs w:val="20"/>
                <w:lang w:val="en-US"/>
              </w:rPr>
              <w:t>k</w:t>
            </w:r>
          </w:p>
        </w:tc>
        <w:tc>
          <w:tcPr>
            <w:tcW w:w="1001" w:type="pct"/>
            <w:tcBorders>
              <w:top w:val="single" w:sz="4" w:space="0" w:color="000000"/>
              <w:left w:val="single" w:sz="4" w:space="0" w:color="000000"/>
              <w:bottom w:val="single" w:sz="4" w:space="0" w:color="000000"/>
              <w:right w:val="single" w:sz="4" w:space="0" w:color="000000"/>
            </w:tcBorders>
            <w:shd w:val="clear" w:color="auto" w:fill="CEDBE6" w:themeFill="background2"/>
          </w:tcPr>
          <w:p w14:paraId="4CAB948B" w14:textId="77777777" w:rsidR="00C4480C" w:rsidRPr="00C4480C" w:rsidRDefault="00C4480C" w:rsidP="00C4480C">
            <w:pPr>
              <w:widowControl w:val="0"/>
              <w:suppressAutoHyphens w:val="0"/>
              <w:autoSpaceDE w:val="0"/>
              <w:adjustRightInd w:val="0"/>
              <w:spacing w:before="79" w:after="0" w:line="240" w:lineRule="auto"/>
              <w:ind w:left="432" w:right="-20"/>
              <w:textAlignment w:val="auto"/>
              <w:rPr>
                <w:rFonts w:ascii="Calibri" w:hAnsi="Calibri" w:cs="Calibri"/>
                <w:sz w:val="20"/>
                <w:szCs w:val="20"/>
                <w:lang w:val="en-US"/>
              </w:rPr>
            </w:pPr>
            <w:r w:rsidRPr="00C4480C">
              <w:rPr>
                <w:rFonts w:ascii="Calibri" w:hAnsi="Calibri" w:cs="Calibri"/>
                <w:b/>
                <w:bCs/>
                <w:spacing w:val="-2"/>
                <w:sz w:val="20"/>
                <w:szCs w:val="20"/>
                <w:lang w:val="en-US"/>
              </w:rPr>
              <w:fldChar w:fldCharType="begin">
                <w:ffData>
                  <w:name w:val="x"/>
                  <w:enabled/>
                  <w:calcOnExit w:val="0"/>
                  <w:checkBox>
                    <w:sizeAuto/>
                    <w:default w:val="0"/>
                  </w:checkBox>
                </w:ffData>
              </w:fldChar>
            </w:r>
            <w:bookmarkStart w:id="259" w:name="x"/>
            <w:r w:rsidRPr="00C4480C">
              <w:rPr>
                <w:rFonts w:ascii="Calibri" w:hAnsi="Calibri" w:cs="Calibri"/>
                <w:b/>
                <w:bCs/>
                <w:spacing w:val="-2"/>
                <w:sz w:val="20"/>
                <w:szCs w:val="20"/>
                <w:lang w:val="en-US"/>
              </w:rPr>
              <w:instrText xml:space="preserve"> FORMCHECKBOX </w:instrText>
            </w:r>
            <w:r w:rsidR="00C40C75">
              <w:rPr>
                <w:rFonts w:ascii="Calibri" w:hAnsi="Calibri" w:cs="Calibri"/>
                <w:b/>
                <w:bCs/>
                <w:spacing w:val="-2"/>
                <w:sz w:val="20"/>
                <w:szCs w:val="20"/>
                <w:lang w:val="en-US"/>
              </w:rPr>
            </w:r>
            <w:r w:rsidR="00C40C75">
              <w:rPr>
                <w:rFonts w:ascii="Calibri" w:hAnsi="Calibri" w:cs="Calibri"/>
                <w:b/>
                <w:bCs/>
                <w:spacing w:val="-2"/>
                <w:sz w:val="20"/>
                <w:szCs w:val="20"/>
                <w:lang w:val="en-US"/>
              </w:rPr>
              <w:fldChar w:fldCharType="separate"/>
            </w:r>
            <w:r w:rsidRPr="00C4480C">
              <w:rPr>
                <w:rFonts w:ascii="Calibri" w:hAnsi="Calibri" w:cs="Calibri"/>
                <w:b/>
                <w:bCs/>
                <w:spacing w:val="-2"/>
                <w:sz w:val="20"/>
                <w:szCs w:val="20"/>
                <w:lang w:val="en-US"/>
              </w:rPr>
              <w:fldChar w:fldCharType="end"/>
            </w:r>
            <w:bookmarkEnd w:id="259"/>
            <w:r w:rsidRPr="00C4480C">
              <w:rPr>
                <w:rFonts w:ascii="Calibri" w:hAnsi="Calibri" w:cs="Calibri"/>
                <w:b/>
                <w:bCs/>
                <w:spacing w:val="-2"/>
                <w:sz w:val="20"/>
                <w:szCs w:val="20"/>
                <w:lang w:val="en-US"/>
              </w:rPr>
              <w:t xml:space="preserve"> L</w:t>
            </w:r>
            <w:r w:rsidRPr="00C4480C">
              <w:rPr>
                <w:rFonts w:ascii="Calibri" w:hAnsi="Calibri" w:cs="Calibri"/>
                <w:b/>
                <w:bCs/>
                <w:sz w:val="20"/>
                <w:szCs w:val="20"/>
                <w:lang w:val="en-US"/>
              </w:rPr>
              <w:t>ow</w:t>
            </w:r>
            <w:r w:rsidRPr="00C4480C">
              <w:rPr>
                <w:rFonts w:ascii="Calibri" w:hAnsi="Calibri" w:cs="Calibri"/>
                <w:b/>
                <w:bCs/>
                <w:spacing w:val="2"/>
                <w:sz w:val="20"/>
                <w:szCs w:val="20"/>
                <w:lang w:val="en-US"/>
              </w:rPr>
              <w:t xml:space="preserve"> </w:t>
            </w:r>
            <w:r w:rsidRPr="00C4480C">
              <w:rPr>
                <w:rFonts w:ascii="Calibri" w:hAnsi="Calibri" w:cs="Calibri"/>
                <w:b/>
                <w:bCs/>
                <w:sz w:val="20"/>
                <w:szCs w:val="20"/>
                <w:lang w:val="en-US"/>
              </w:rPr>
              <w:t>R</w:t>
            </w:r>
            <w:r w:rsidRPr="00C4480C">
              <w:rPr>
                <w:rFonts w:ascii="Calibri" w:hAnsi="Calibri" w:cs="Calibri"/>
                <w:b/>
                <w:bCs/>
                <w:spacing w:val="-2"/>
                <w:sz w:val="20"/>
                <w:szCs w:val="20"/>
                <w:lang w:val="en-US"/>
              </w:rPr>
              <w:t>i</w:t>
            </w:r>
            <w:r w:rsidRPr="00C4480C">
              <w:rPr>
                <w:rFonts w:ascii="Calibri" w:hAnsi="Calibri" w:cs="Calibri"/>
                <w:b/>
                <w:bCs/>
                <w:spacing w:val="1"/>
                <w:sz w:val="20"/>
                <w:szCs w:val="20"/>
                <w:lang w:val="en-US"/>
              </w:rPr>
              <w:t>s</w:t>
            </w:r>
            <w:r w:rsidRPr="00C4480C">
              <w:rPr>
                <w:rFonts w:ascii="Calibri" w:hAnsi="Calibri" w:cs="Calibri"/>
                <w:b/>
                <w:bCs/>
                <w:sz w:val="20"/>
                <w:szCs w:val="20"/>
                <w:lang w:val="en-US"/>
              </w:rPr>
              <w:t>k</w:t>
            </w:r>
          </w:p>
        </w:tc>
        <w:tc>
          <w:tcPr>
            <w:tcW w:w="1001" w:type="pct"/>
            <w:tcBorders>
              <w:top w:val="single" w:sz="4" w:space="0" w:color="000000"/>
              <w:left w:val="single" w:sz="4" w:space="0" w:color="000000"/>
              <w:bottom w:val="single" w:sz="4" w:space="0" w:color="000000"/>
              <w:right w:val="single" w:sz="4" w:space="0" w:color="000000"/>
            </w:tcBorders>
            <w:shd w:val="clear" w:color="auto" w:fill="CEDBE6" w:themeFill="background2"/>
          </w:tcPr>
          <w:p w14:paraId="6D6E6D76" w14:textId="77777777" w:rsidR="00C4480C" w:rsidRPr="00C4480C" w:rsidRDefault="00C4480C" w:rsidP="00C4480C">
            <w:pPr>
              <w:widowControl w:val="0"/>
              <w:suppressAutoHyphens w:val="0"/>
              <w:autoSpaceDE w:val="0"/>
              <w:adjustRightInd w:val="0"/>
              <w:spacing w:before="79" w:after="0" w:line="240" w:lineRule="auto"/>
              <w:ind w:left="213" w:right="-20"/>
              <w:textAlignment w:val="auto"/>
              <w:rPr>
                <w:rFonts w:ascii="Calibri" w:hAnsi="Calibri" w:cs="Calibri"/>
                <w:sz w:val="20"/>
                <w:szCs w:val="20"/>
                <w:lang w:val="en-US"/>
              </w:rPr>
            </w:pPr>
            <w:r w:rsidRPr="00C4480C">
              <w:rPr>
                <w:rFonts w:ascii="Calibri" w:hAnsi="Calibri" w:cs="Calibri"/>
                <w:b/>
                <w:bCs/>
                <w:spacing w:val="-2"/>
                <w:sz w:val="20"/>
                <w:szCs w:val="20"/>
                <w:lang w:val="en-US"/>
              </w:rPr>
              <w:fldChar w:fldCharType="begin">
                <w:ffData>
                  <w:name w:val="x"/>
                  <w:enabled/>
                  <w:calcOnExit w:val="0"/>
                  <w:checkBox>
                    <w:sizeAuto/>
                    <w:default w:val="0"/>
                  </w:checkBox>
                </w:ffData>
              </w:fldChar>
            </w:r>
            <w:r w:rsidRPr="00C4480C">
              <w:rPr>
                <w:rFonts w:ascii="Calibri" w:hAnsi="Calibri" w:cs="Calibri"/>
                <w:b/>
                <w:bCs/>
                <w:spacing w:val="-2"/>
                <w:sz w:val="20"/>
                <w:szCs w:val="20"/>
                <w:lang w:val="en-US"/>
              </w:rPr>
              <w:instrText xml:space="preserve"> FORMCHECKBOX </w:instrText>
            </w:r>
            <w:r w:rsidR="00C40C75">
              <w:rPr>
                <w:rFonts w:ascii="Calibri" w:hAnsi="Calibri" w:cs="Calibri"/>
                <w:b/>
                <w:bCs/>
                <w:spacing w:val="-2"/>
                <w:sz w:val="20"/>
                <w:szCs w:val="20"/>
                <w:lang w:val="en-US"/>
              </w:rPr>
            </w:r>
            <w:r w:rsidR="00C40C75">
              <w:rPr>
                <w:rFonts w:ascii="Calibri" w:hAnsi="Calibri" w:cs="Calibri"/>
                <w:b/>
                <w:bCs/>
                <w:spacing w:val="-2"/>
                <w:sz w:val="20"/>
                <w:szCs w:val="20"/>
                <w:lang w:val="en-US"/>
              </w:rPr>
              <w:fldChar w:fldCharType="separate"/>
            </w:r>
            <w:r w:rsidRPr="00C4480C">
              <w:rPr>
                <w:rFonts w:ascii="Calibri" w:hAnsi="Calibri" w:cs="Calibri"/>
                <w:b/>
                <w:bCs/>
                <w:spacing w:val="-2"/>
                <w:sz w:val="20"/>
                <w:szCs w:val="20"/>
                <w:lang w:val="en-US"/>
              </w:rPr>
              <w:fldChar w:fldCharType="end"/>
            </w:r>
            <w:r w:rsidRPr="00C4480C">
              <w:rPr>
                <w:rFonts w:ascii="Calibri" w:hAnsi="Calibri" w:cs="Calibri"/>
                <w:b/>
                <w:bCs/>
                <w:spacing w:val="1"/>
                <w:sz w:val="20"/>
                <w:szCs w:val="20"/>
                <w:lang w:val="en-US"/>
              </w:rPr>
              <w:t xml:space="preserve"> M</w:t>
            </w:r>
            <w:r w:rsidRPr="00C4480C">
              <w:rPr>
                <w:rFonts w:ascii="Calibri" w:hAnsi="Calibri" w:cs="Calibri"/>
                <w:b/>
                <w:bCs/>
                <w:sz w:val="20"/>
                <w:szCs w:val="20"/>
                <w:lang w:val="en-US"/>
              </w:rPr>
              <w:t>o</w:t>
            </w:r>
            <w:r w:rsidRPr="00C4480C">
              <w:rPr>
                <w:rFonts w:ascii="Calibri" w:hAnsi="Calibri" w:cs="Calibri"/>
                <w:b/>
                <w:bCs/>
                <w:spacing w:val="1"/>
                <w:sz w:val="20"/>
                <w:szCs w:val="20"/>
                <w:lang w:val="en-US"/>
              </w:rPr>
              <w:t>de</w:t>
            </w:r>
            <w:r w:rsidRPr="00C4480C">
              <w:rPr>
                <w:rFonts w:ascii="Calibri" w:hAnsi="Calibri" w:cs="Calibri"/>
                <w:b/>
                <w:bCs/>
                <w:spacing w:val="-3"/>
                <w:sz w:val="20"/>
                <w:szCs w:val="20"/>
                <w:lang w:val="en-US"/>
              </w:rPr>
              <w:t>r</w:t>
            </w:r>
            <w:r w:rsidRPr="00C4480C">
              <w:rPr>
                <w:rFonts w:ascii="Calibri" w:hAnsi="Calibri" w:cs="Calibri"/>
                <w:b/>
                <w:bCs/>
                <w:spacing w:val="1"/>
                <w:sz w:val="20"/>
                <w:szCs w:val="20"/>
                <w:lang w:val="en-US"/>
              </w:rPr>
              <w:t>a</w:t>
            </w:r>
            <w:r w:rsidRPr="00C4480C">
              <w:rPr>
                <w:rFonts w:ascii="Calibri" w:hAnsi="Calibri" w:cs="Calibri"/>
                <w:b/>
                <w:bCs/>
                <w:sz w:val="20"/>
                <w:szCs w:val="20"/>
                <w:lang w:val="en-US"/>
              </w:rPr>
              <w:t>te</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Ri</w:t>
            </w:r>
            <w:r w:rsidRPr="00C4480C">
              <w:rPr>
                <w:rFonts w:ascii="Calibri" w:hAnsi="Calibri" w:cs="Calibri"/>
                <w:b/>
                <w:bCs/>
                <w:spacing w:val="-1"/>
                <w:sz w:val="20"/>
                <w:szCs w:val="20"/>
                <w:lang w:val="en-US"/>
              </w:rPr>
              <w:t>s</w:t>
            </w:r>
            <w:r w:rsidRPr="00C4480C">
              <w:rPr>
                <w:rFonts w:ascii="Calibri" w:hAnsi="Calibri" w:cs="Calibri"/>
                <w:b/>
                <w:bCs/>
                <w:sz w:val="20"/>
                <w:szCs w:val="20"/>
                <w:lang w:val="en-US"/>
              </w:rPr>
              <w:t>k</w:t>
            </w:r>
          </w:p>
        </w:tc>
        <w:tc>
          <w:tcPr>
            <w:tcW w:w="1001" w:type="pct"/>
            <w:tcBorders>
              <w:top w:val="single" w:sz="4" w:space="0" w:color="000000"/>
              <w:left w:val="single" w:sz="4" w:space="0" w:color="000000"/>
              <w:bottom w:val="single" w:sz="4" w:space="0" w:color="000000"/>
              <w:right w:val="single" w:sz="4" w:space="0" w:color="000000"/>
            </w:tcBorders>
            <w:shd w:val="clear" w:color="auto" w:fill="CEDBE6" w:themeFill="background2"/>
          </w:tcPr>
          <w:p w14:paraId="406A4752" w14:textId="77777777" w:rsidR="00C4480C" w:rsidRPr="00C4480C" w:rsidRDefault="00C4480C" w:rsidP="00C4480C">
            <w:pPr>
              <w:widowControl w:val="0"/>
              <w:suppressAutoHyphens w:val="0"/>
              <w:autoSpaceDE w:val="0"/>
              <w:adjustRightInd w:val="0"/>
              <w:spacing w:before="79" w:after="0" w:line="240" w:lineRule="auto"/>
              <w:ind w:left="126" w:right="-20"/>
              <w:textAlignment w:val="auto"/>
              <w:rPr>
                <w:rFonts w:ascii="Calibri" w:hAnsi="Calibri" w:cs="Calibri"/>
                <w:sz w:val="20"/>
                <w:szCs w:val="20"/>
                <w:lang w:val="en-US"/>
              </w:rPr>
            </w:pPr>
            <w:r w:rsidRPr="00C4480C">
              <w:rPr>
                <w:rFonts w:ascii="Calibri" w:hAnsi="Calibri" w:cs="Calibri"/>
                <w:b/>
                <w:bCs/>
                <w:spacing w:val="-2"/>
                <w:sz w:val="20"/>
                <w:szCs w:val="20"/>
                <w:lang w:val="en-US"/>
              </w:rPr>
              <w:fldChar w:fldCharType="begin">
                <w:ffData>
                  <w:name w:val="x"/>
                  <w:enabled/>
                  <w:calcOnExit w:val="0"/>
                  <w:checkBox>
                    <w:sizeAuto/>
                    <w:default w:val="0"/>
                  </w:checkBox>
                </w:ffData>
              </w:fldChar>
            </w:r>
            <w:r w:rsidRPr="00C4480C">
              <w:rPr>
                <w:rFonts w:ascii="Calibri" w:hAnsi="Calibri" w:cs="Calibri"/>
                <w:b/>
                <w:bCs/>
                <w:spacing w:val="-2"/>
                <w:sz w:val="20"/>
                <w:szCs w:val="20"/>
                <w:lang w:val="en-US"/>
              </w:rPr>
              <w:instrText xml:space="preserve"> FORMCHECKBOX </w:instrText>
            </w:r>
            <w:r w:rsidR="00C40C75">
              <w:rPr>
                <w:rFonts w:ascii="Calibri" w:hAnsi="Calibri" w:cs="Calibri"/>
                <w:b/>
                <w:bCs/>
                <w:spacing w:val="-2"/>
                <w:sz w:val="20"/>
                <w:szCs w:val="20"/>
                <w:lang w:val="en-US"/>
              </w:rPr>
            </w:r>
            <w:r w:rsidR="00C40C75">
              <w:rPr>
                <w:rFonts w:ascii="Calibri" w:hAnsi="Calibri" w:cs="Calibri"/>
                <w:b/>
                <w:bCs/>
                <w:spacing w:val="-2"/>
                <w:sz w:val="20"/>
                <w:szCs w:val="20"/>
                <w:lang w:val="en-US"/>
              </w:rPr>
              <w:fldChar w:fldCharType="separate"/>
            </w:r>
            <w:r w:rsidRPr="00C4480C">
              <w:rPr>
                <w:rFonts w:ascii="Calibri" w:hAnsi="Calibri" w:cs="Calibri"/>
                <w:b/>
                <w:bCs/>
                <w:spacing w:val="-2"/>
                <w:sz w:val="20"/>
                <w:szCs w:val="20"/>
                <w:lang w:val="en-US"/>
              </w:rPr>
              <w:fldChar w:fldCharType="end"/>
            </w:r>
            <w:r w:rsidRPr="00C4480C">
              <w:rPr>
                <w:rFonts w:ascii="Calibri" w:hAnsi="Calibri" w:cs="Calibri"/>
                <w:b/>
                <w:bCs/>
                <w:sz w:val="20"/>
                <w:szCs w:val="20"/>
                <w:lang w:val="en-US"/>
              </w:rPr>
              <w:t xml:space="preserve"> S</w:t>
            </w:r>
            <w:r w:rsidRPr="00C4480C">
              <w:rPr>
                <w:rFonts w:ascii="Calibri" w:hAnsi="Calibri" w:cs="Calibri"/>
                <w:b/>
                <w:bCs/>
                <w:spacing w:val="-2"/>
                <w:sz w:val="20"/>
                <w:szCs w:val="20"/>
                <w:lang w:val="en-US"/>
              </w:rPr>
              <w:t>u</w:t>
            </w:r>
            <w:r w:rsidRPr="00C4480C">
              <w:rPr>
                <w:rFonts w:ascii="Calibri" w:hAnsi="Calibri" w:cs="Calibri"/>
                <w:b/>
                <w:bCs/>
                <w:sz w:val="20"/>
                <w:szCs w:val="20"/>
                <w:lang w:val="en-US"/>
              </w:rPr>
              <w:t>b</w:t>
            </w:r>
            <w:r w:rsidRPr="00C4480C">
              <w:rPr>
                <w:rFonts w:ascii="Calibri" w:hAnsi="Calibri" w:cs="Calibri"/>
                <w:b/>
                <w:bCs/>
                <w:spacing w:val="1"/>
                <w:sz w:val="20"/>
                <w:szCs w:val="20"/>
                <w:lang w:val="en-US"/>
              </w:rPr>
              <w:t>s</w:t>
            </w:r>
            <w:r w:rsidRPr="00C4480C">
              <w:rPr>
                <w:rFonts w:ascii="Calibri" w:hAnsi="Calibri" w:cs="Calibri"/>
                <w:b/>
                <w:bCs/>
                <w:sz w:val="20"/>
                <w:szCs w:val="20"/>
                <w:lang w:val="en-US"/>
              </w:rPr>
              <w:t>t</w:t>
            </w:r>
            <w:r w:rsidRPr="00C4480C">
              <w:rPr>
                <w:rFonts w:ascii="Calibri" w:hAnsi="Calibri" w:cs="Calibri"/>
                <w:b/>
                <w:bCs/>
                <w:spacing w:val="1"/>
                <w:sz w:val="20"/>
                <w:szCs w:val="20"/>
                <w:lang w:val="en-US"/>
              </w:rPr>
              <w:t>a</w:t>
            </w:r>
            <w:r w:rsidRPr="00C4480C">
              <w:rPr>
                <w:rFonts w:ascii="Calibri" w:hAnsi="Calibri" w:cs="Calibri"/>
                <w:b/>
                <w:bCs/>
                <w:sz w:val="20"/>
                <w:szCs w:val="20"/>
                <w:lang w:val="en-US"/>
              </w:rPr>
              <w:t>n</w:t>
            </w:r>
            <w:r w:rsidRPr="00C4480C">
              <w:rPr>
                <w:rFonts w:ascii="Calibri" w:hAnsi="Calibri" w:cs="Calibri"/>
                <w:b/>
                <w:bCs/>
                <w:spacing w:val="-2"/>
                <w:sz w:val="20"/>
                <w:szCs w:val="20"/>
                <w:lang w:val="en-US"/>
              </w:rPr>
              <w:t>t</w:t>
            </w:r>
            <w:r w:rsidRPr="00C4480C">
              <w:rPr>
                <w:rFonts w:ascii="Calibri" w:hAnsi="Calibri" w:cs="Calibri"/>
                <w:b/>
                <w:bCs/>
                <w:sz w:val="20"/>
                <w:szCs w:val="20"/>
                <w:lang w:val="en-US"/>
              </w:rPr>
              <w:t>i</w:t>
            </w:r>
            <w:r w:rsidRPr="00C4480C">
              <w:rPr>
                <w:rFonts w:ascii="Calibri" w:hAnsi="Calibri" w:cs="Calibri"/>
                <w:b/>
                <w:bCs/>
                <w:spacing w:val="1"/>
                <w:sz w:val="20"/>
                <w:szCs w:val="20"/>
                <w:lang w:val="en-US"/>
              </w:rPr>
              <w:t>a</w:t>
            </w:r>
            <w:r w:rsidRPr="00C4480C">
              <w:rPr>
                <w:rFonts w:ascii="Calibri" w:hAnsi="Calibri" w:cs="Calibri"/>
                <w:b/>
                <w:bCs/>
                <w:sz w:val="20"/>
                <w:szCs w:val="20"/>
                <w:lang w:val="en-US"/>
              </w:rPr>
              <w:t>l</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Ri</w:t>
            </w:r>
            <w:r w:rsidRPr="00C4480C">
              <w:rPr>
                <w:rFonts w:ascii="Calibri" w:hAnsi="Calibri" w:cs="Calibri"/>
                <w:b/>
                <w:bCs/>
                <w:spacing w:val="-2"/>
                <w:sz w:val="20"/>
                <w:szCs w:val="20"/>
                <w:lang w:val="en-US"/>
              </w:rPr>
              <w:t>s</w:t>
            </w:r>
            <w:r w:rsidRPr="00C4480C">
              <w:rPr>
                <w:rFonts w:ascii="Calibri" w:hAnsi="Calibri" w:cs="Calibri"/>
                <w:b/>
                <w:bCs/>
                <w:sz w:val="20"/>
                <w:szCs w:val="20"/>
                <w:lang w:val="en-US"/>
              </w:rPr>
              <w:t>k</w:t>
            </w:r>
          </w:p>
        </w:tc>
        <w:tc>
          <w:tcPr>
            <w:tcW w:w="999" w:type="pct"/>
            <w:tcBorders>
              <w:top w:val="single" w:sz="4" w:space="0" w:color="000000"/>
              <w:left w:val="single" w:sz="4" w:space="0" w:color="000000"/>
              <w:bottom w:val="single" w:sz="4" w:space="0" w:color="000000"/>
              <w:right w:val="single" w:sz="4" w:space="0" w:color="000000"/>
            </w:tcBorders>
            <w:shd w:val="clear" w:color="auto" w:fill="CEDBE6" w:themeFill="background2"/>
          </w:tcPr>
          <w:p w14:paraId="483EED94" w14:textId="77777777" w:rsidR="00C4480C" w:rsidRPr="00C4480C" w:rsidRDefault="00C4480C" w:rsidP="00C4480C">
            <w:pPr>
              <w:widowControl w:val="0"/>
              <w:suppressAutoHyphens w:val="0"/>
              <w:autoSpaceDE w:val="0"/>
              <w:adjustRightInd w:val="0"/>
              <w:spacing w:before="79" w:after="0" w:line="240" w:lineRule="auto"/>
              <w:ind w:left="126" w:right="-20"/>
              <w:textAlignment w:val="auto"/>
              <w:rPr>
                <w:rFonts w:ascii="Calibri" w:hAnsi="Calibri" w:cs="Calibri"/>
                <w:b/>
                <w:bCs/>
                <w:spacing w:val="-2"/>
                <w:sz w:val="20"/>
                <w:szCs w:val="20"/>
                <w:lang w:val="en-US"/>
              </w:rPr>
            </w:pPr>
            <w:r w:rsidRPr="00C4480C">
              <w:rPr>
                <w:rFonts w:ascii="Calibri" w:hAnsi="Calibri" w:cs="Calibri"/>
                <w:b/>
                <w:bCs/>
                <w:spacing w:val="-2"/>
                <w:sz w:val="20"/>
                <w:szCs w:val="20"/>
                <w:lang w:val="en-US"/>
              </w:rPr>
              <w:fldChar w:fldCharType="begin">
                <w:ffData>
                  <w:name w:val="x"/>
                  <w:enabled/>
                  <w:calcOnExit w:val="0"/>
                  <w:checkBox>
                    <w:sizeAuto/>
                    <w:default w:val="0"/>
                  </w:checkBox>
                </w:ffData>
              </w:fldChar>
            </w:r>
            <w:r w:rsidRPr="00C4480C">
              <w:rPr>
                <w:rFonts w:ascii="Calibri" w:hAnsi="Calibri" w:cs="Calibri"/>
                <w:b/>
                <w:bCs/>
                <w:spacing w:val="-2"/>
                <w:sz w:val="20"/>
                <w:szCs w:val="20"/>
                <w:lang w:val="en-US"/>
              </w:rPr>
              <w:instrText xml:space="preserve"> FORMCHECKBOX </w:instrText>
            </w:r>
            <w:r w:rsidR="00C40C75">
              <w:rPr>
                <w:rFonts w:ascii="Calibri" w:hAnsi="Calibri" w:cs="Calibri"/>
                <w:b/>
                <w:bCs/>
                <w:spacing w:val="-2"/>
                <w:sz w:val="20"/>
                <w:szCs w:val="20"/>
                <w:lang w:val="en-US"/>
              </w:rPr>
            </w:r>
            <w:r w:rsidR="00C40C75">
              <w:rPr>
                <w:rFonts w:ascii="Calibri" w:hAnsi="Calibri" w:cs="Calibri"/>
                <w:b/>
                <w:bCs/>
                <w:spacing w:val="-2"/>
                <w:sz w:val="20"/>
                <w:szCs w:val="20"/>
                <w:lang w:val="en-US"/>
              </w:rPr>
              <w:fldChar w:fldCharType="separate"/>
            </w:r>
            <w:r w:rsidRPr="00C4480C">
              <w:rPr>
                <w:rFonts w:ascii="Calibri" w:hAnsi="Calibri" w:cs="Calibri"/>
                <w:b/>
                <w:bCs/>
                <w:spacing w:val="-2"/>
                <w:sz w:val="20"/>
                <w:szCs w:val="20"/>
                <w:lang w:val="en-US"/>
              </w:rPr>
              <w:fldChar w:fldCharType="end"/>
            </w:r>
            <w:r w:rsidRPr="00C4480C">
              <w:rPr>
                <w:rFonts w:ascii="Calibri" w:hAnsi="Calibri" w:cs="Calibri"/>
                <w:b/>
                <w:bCs/>
                <w:sz w:val="20"/>
                <w:szCs w:val="20"/>
                <w:lang w:val="en-US"/>
              </w:rPr>
              <w:t xml:space="preserve"> High</w:t>
            </w:r>
            <w:r w:rsidRPr="00C4480C">
              <w:rPr>
                <w:rFonts w:ascii="Calibri" w:hAnsi="Calibri" w:cs="Calibri"/>
                <w:b/>
                <w:bCs/>
                <w:spacing w:val="1"/>
                <w:sz w:val="20"/>
                <w:szCs w:val="20"/>
                <w:lang w:val="en-US"/>
              </w:rPr>
              <w:t xml:space="preserve"> </w:t>
            </w:r>
            <w:r w:rsidRPr="00C4480C">
              <w:rPr>
                <w:rFonts w:ascii="Calibri" w:hAnsi="Calibri" w:cs="Calibri"/>
                <w:b/>
                <w:bCs/>
                <w:sz w:val="20"/>
                <w:szCs w:val="20"/>
                <w:lang w:val="en-US"/>
              </w:rPr>
              <w:t>Ri</w:t>
            </w:r>
            <w:r w:rsidRPr="00C4480C">
              <w:rPr>
                <w:rFonts w:ascii="Calibri" w:hAnsi="Calibri" w:cs="Calibri"/>
                <w:b/>
                <w:bCs/>
                <w:spacing w:val="-2"/>
                <w:sz w:val="20"/>
                <w:szCs w:val="20"/>
                <w:lang w:val="en-US"/>
              </w:rPr>
              <w:t>s</w:t>
            </w:r>
            <w:r w:rsidRPr="00C4480C">
              <w:rPr>
                <w:rFonts w:ascii="Calibri" w:hAnsi="Calibri" w:cs="Calibri"/>
                <w:b/>
                <w:bCs/>
                <w:sz w:val="20"/>
                <w:szCs w:val="20"/>
                <w:lang w:val="en-US"/>
              </w:rPr>
              <w:t>k</w:t>
            </w:r>
          </w:p>
        </w:tc>
      </w:tr>
      <w:tr w:rsidR="00C4480C" w:rsidRPr="00C4480C" w14:paraId="1FA86495" w14:textId="77777777" w:rsidTr="00366303">
        <w:trPr>
          <w:trHeight w:val="20"/>
        </w:trPr>
        <w:tc>
          <w:tcPr>
            <w:tcW w:w="998" w:type="pct"/>
            <w:vMerge/>
            <w:tcBorders>
              <w:top w:val="single" w:sz="4" w:space="0" w:color="000000"/>
              <w:left w:val="single" w:sz="4" w:space="0" w:color="000000"/>
              <w:bottom w:val="single" w:sz="4" w:space="0" w:color="000000"/>
              <w:right w:val="single" w:sz="4" w:space="0" w:color="000000"/>
            </w:tcBorders>
            <w:shd w:val="clear" w:color="auto" w:fill="CEDBE6" w:themeFill="background2"/>
          </w:tcPr>
          <w:p w14:paraId="2CAFFBD1" w14:textId="77777777" w:rsidR="00C4480C" w:rsidRPr="00C4480C" w:rsidRDefault="00C4480C" w:rsidP="00C4480C">
            <w:pPr>
              <w:widowControl w:val="0"/>
              <w:suppressAutoHyphens w:val="0"/>
              <w:autoSpaceDE w:val="0"/>
              <w:adjustRightInd w:val="0"/>
              <w:spacing w:before="79" w:after="0" w:line="240" w:lineRule="auto"/>
              <w:ind w:left="412" w:right="-20"/>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765C49E7" w14:textId="5B82ECF4" w:rsidR="00C4480C" w:rsidRPr="00C4480C" w:rsidRDefault="00C4480C" w:rsidP="00C4480C">
            <w:pPr>
              <w:widowControl w:val="0"/>
              <w:suppressAutoHyphens w:val="0"/>
              <w:autoSpaceDE w:val="0"/>
              <w:adjustRightInd w:val="0"/>
              <w:spacing w:before="93" w:after="0" w:line="240" w:lineRule="auto"/>
              <w:ind w:left="102" w:right="228"/>
              <w:textAlignment w:val="auto"/>
              <w:rPr>
                <w:rFonts w:ascii="Calibri" w:hAnsi="Calibri" w:cs="Calibri"/>
                <w:sz w:val="20"/>
                <w:szCs w:val="20"/>
                <w:lang w:val="en-US"/>
              </w:rPr>
            </w:pPr>
            <w:r w:rsidRPr="00C4480C">
              <w:rPr>
                <w:rFonts w:ascii="Calibri" w:hAnsi="Calibri" w:cs="Calibri"/>
                <w:sz w:val="20"/>
                <w:szCs w:val="20"/>
                <w:lang w:val="en-US"/>
              </w:rPr>
              <w:t>The a</w:t>
            </w:r>
            <w:r w:rsidRPr="00C4480C">
              <w:rPr>
                <w:rFonts w:ascii="Calibri" w:hAnsi="Calibri" w:cs="Calibri"/>
                <w:spacing w:val="-1"/>
                <w:sz w:val="20"/>
                <w:szCs w:val="20"/>
                <w:lang w:val="en-US"/>
              </w:rPr>
              <w:t>pp</w:t>
            </w:r>
            <w:r w:rsidRPr="00C4480C">
              <w:rPr>
                <w:rFonts w:ascii="Calibri" w:hAnsi="Calibri" w:cs="Calibri"/>
                <w:sz w:val="20"/>
                <w:szCs w:val="20"/>
                <w:lang w:val="en-US"/>
              </w:rPr>
              <w:t>l</w:t>
            </w:r>
            <w:r w:rsidRPr="00C4480C">
              <w:rPr>
                <w:rFonts w:ascii="Calibri" w:hAnsi="Calibri" w:cs="Calibri"/>
                <w:spacing w:val="-2"/>
                <w:sz w:val="20"/>
                <w:szCs w:val="20"/>
                <w:lang w:val="en-US"/>
              </w:rPr>
              <w:t>i</w:t>
            </w:r>
            <w:r w:rsidRPr="00C4480C">
              <w:rPr>
                <w:rFonts w:ascii="Calibri" w:hAnsi="Calibri" w:cs="Calibri"/>
                <w:spacing w:val="1"/>
                <w:sz w:val="20"/>
                <w:szCs w:val="20"/>
                <w:lang w:val="en-US"/>
              </w:rPr>
              <w:t>c</w:t>
            </w:r>
            <w:r w:rsidRPr="00C4480C">
              <w:rPr>
                <w:rFonts w:ascii="Calibri" w:hAnsi="Calibri" w:cs="Calibri"/>
                <w:spacing w:val="-1"/>
                <w:sz w:val="20"/>
                <w:szCs w:val="20"/>
                <w:lang w:val="en-US"/>
              </w:rPr>
              <w:t>an</w:t>
            </w:r>
            <w:r w:rsidRPr="00C4480C">
              <w:rPr>
                <w:rFonts w:ascii="Calibri" w:hAnsi="Calibri" w:cs="Calibri"/>
                <w:sz w:val="20"/>
                <w:szCs w:val="20"/>
                <w:lang w:val="en-US"/>
              </w:rPr>
              <w:t xml:space="preserve">t </w:t>
            </w:r>
            <w:r w:rsidRPr="00C4480C">
              <w:rPr>
                <w:rFonts w:ascii="Calibri" w:hAnsi="Calibri" w:cs="Calibri"/>
                <w:spacing w:val="-1"/>
                <w:sz w:val="20"/>
                <w:szCs w:val="20"/>
                <w:lang w:val="en-US"/>
              </w:rPr>
              <w:t>nee</w:t>
            </w:r>
            <w:r w:rsidRPr="00C4480C">
              <w:rPr>
                <w:rFonts w:ascii="Calibri" w:hAnsi="Calibri" w:cs="Calibri"/>
                <w:sz w:val="20"/>
                <w:szCs w:val="20"/>
                <w:lang w:val="en-US"/>
              </w:rPr>
              <w:t>d</w:t>
            </w:r>
            <w:r w:rsidR="005B4CC2">
              <w:rPr>
                <w:rFonts w:ascii="Calibri" w:hAnsi="Calibri" w:cs="Calibri"/>
                <w:sz w:val="20"/>
                <w:szCs w:val="20"/>
                <w:lang w:val="en-US"/>
              </w:rPr>
              <w:t>s</w:t>
            </w:r>
            <w:r w:rsidRPr="00C4480C">
              <w:rPr>
                <w:rFonts w:ascii="Calibri" w:hAnsi="Calibri" w:cs="Calibri"/>
                <w:sz w:val="20"/>
                <w:szCs w:val="20"/>
                <w:lang w:val="en-US"/>
              </w:rPr>
              <w:t xml:space="preserve"> </w:t>
            </w:r>
            <w:r w:rsidRPr="00C4480C">
              <w:rPr>
                <w:rFonts w:ascii="Calibri" w:hAnsi="Calibri" w:cs="Calibri"/>
                <w:spacing w:val="1"/>
                <w:sz w:val="20"/>
                <w:szCs w:val="20"/>
                <w:lang w:val="en-US"/>
              </w:rPr>
              <w:t>t</w:t>
            </w:r>
            <w:r w:rsidRPr="00C4480C">
              <w:rPr>
                <w:rFonts w:ascii="Calibri" w:hAnsi="Calibri" w:cs="Calibri"/>
                <w:sz w:val="20"/>
                <w:szCs w:val="20"/>
                <w:lang w:val="en-US"/>
              </w:rPr>
              <w:t xml:space="preserve">o </w:t>
            </w:r>
            <w:r w:rsidRPr="00C4480C">
              <w:rPr>
                <w:rFonts w:ascii="Calibri" w:hAnsi="Calibri" w:cs="Calibri"/>
                <w:spacing w:val="-1"/>
                <w:sz w:val="20"/>
                <w:szCs w:val="20"/>
                <w:lang w:val="en-US"/>
              </w:rPr>
              <w:t>prepare:</w:t>
            </w:r>
          </w:p>
        </w:tc>
        <w:tc>
          <w:tcPr>
            <w:tcW w:w="1001" w:type="pct"/>
            <w:tcBorders>
              <w:top w:val="single" w:sz="4" w:space="0" w:color="000000"/>
              <w:left w:val="single" w:sz="4" w:space="0" w:color="000000"/>
              <w:bottom w:val="single" w:sz="4" w:space="0" w:color="000000"/>
              <w:right w:val="single" w:sz="4" w:space="0" w:color="000000"/>
            </w:tcBorders>
          </w:tcPr>
          <w:p w14:paraId="4D8C1FF9" w14:textId="48C937A3" w:rsidR="00C4480C" w:rsidRPr="00C4480C" w:rsidRDefault="00C4480C" w:rsidP="00C4480C">
            <w:pPr>
              <w:widowControl w:val="0"/>
              <w:suppressAutoHyphens w:val="0"/>
              <w:autoSpaceDE w:val="0"/>
              <w:adjustRightInd w:val="0"/>
              <w:spacing w:before="93" w:after="0" w:line="240" w:lineRule="auto"/>
              <w:ind w:left="102" w:right="226"/>
              <w:textAlignment w:val="auto"/>
              <w:rPr>
                <w:rFonts w:ascii="Calibri" w:hAnsi="Calibri" w:cs="Calibri"/>
                <w:sz w:val="20"/>
                <w:szCs w:val="20"/>
                <w:lang w:val="en-US"/>
              </w:rPr>
            </w:pPr>
            <w:r w:rsidRPr="00C4480C">
              <w:rPr>
                <w:rFonts w:ascii="Calibri" w:hAnsi="Calibri" w:cs="Calibri"/>
                <w:sz w:val="20"/>
                <w:szCs w:val="20"/>
                <w:lang w:val="en-US"/>
              </w:rPr>
              <w:t>The a</w:t>
            </w:r>
            <w:r w:rsidRPr="00C4480C">
              <w:rPr>
                <w:rFonts w:ascii="Calibri" w:hAnsi="Calibri" w:cs="Calibri"/>
                <w:spacing w:val="-1"/>
                <w:sz w:val="20"/>
                <w:szCs w:val="20"/>
                <w:lang w:val="en-US"/>
              </w:rPr>
              <w:t>pp</w:t>
            </w:r>
            <w:r w:rsidRPr="00C4480C">
              <w:rPr>
                <w:rFonts w:ascii="Calibri" w:hAnsi="Calibri" w:cs="Calibri"/>
                <w:sz w:val="20"/>
                <w:szCs w:val="20"/>
                <w:lang w:val="en-US"/>
              </w:rPr>
              <w:t>l</w:t>
            </w:r>
            <w:r w:rsidRPr="00C4480C">
              <w:rPr>
                <w:rFonts w:ascii="Calibri" w:hAnsi="Calibri" w:cs="Calibri"/>
                <w:spacing w:val="-2"/>
                <w:sz w:val="20"/>
                <w:szCs w:val="20"/>
                <w:lang w:val="en-US"/>
              </w:rPr>
              <w:t>i</w:t>
            </w:r>
            <w:r w:rsidRPr="00C4480C">
              <w:rPr>
                <w:rFonts w:ascii="Calibri" w:hAnsi="Calibri" w:cs="Calibri"/>
                <w:spacing w:val="1"/>
                <w:sz w:val="20"/>
                <w:szCs w:val="20"/>
                <w:lang w:val="en-US"/>
              </w:rPr>
              <w:t>c</w:t>
            </w:r>
            <w:r w:rsidRPr="00C4480C">
              <w:rPr>
                <w:rFonts w:ascii="Calibri" w:hAnsi="Calibri" w:cs="Calibri"/>
                <w:spacing w:val="-1"/>
                <w:sz w:val="20"/>
                <w:szCs w:val="20"/>
                <w:lang w:val="en-US"/>
              </w:rPr>
              <w:t>an</w:t>
            </w:r>
            <w:r w:rsidRPr="00C4480C">
              <w:rPr>
                <w:rFonts w:ascii="Calibri" w:hAnsi="Calibri" w:cs="Calibri"/>
                <w:sz w:val="20"/>
                <w:szCs w:val="20"/>
                <w:lang w:val="en-US"/>
              </w:rPr>
              <w:t xml:space="preserve">t </w:t>
            </w:r>
            <w:r w:rsidRPr="00C4480C">
              <w:rPr>
                <w:rFonts w:ascii="Calibri" w:hAnsi="Calibri" w:cs="Calibri"/>
                <w:spacing w:val="-1"/>
                <w:sz w:val="20"/>
                <w:szCs w:val="20"/>
                <w:lang w:val="en-US"/>
              </w:rPr>
              <w:t>nee</w:t>
            </w:r>
            <w:r w:rsidRPr="00C4480C">
              <w:rPr>
                <w:rFonts w:ascii="Calibri" w:hAnsi="Calibri" w:cs="Calibri"/>
                <w:sz w:val="20"/>
                <w:szCs w:val="20"/>
                <w:lang w:val="en-US"/>
              </w:rPr>
              <w:t>d</w:t>
            </w:r>
            <w:r w:rsidR="005B4CC2">
              <w:rPr>
                <w:rFonts w:ascii="Calibri" w:hAnsi="Calibri" w:cs="Calibri"/>
                <w:sz w:val="20"/>
                <w:szCs w:val="20"/>
                <w:lang w:val="en-US"/>
              </w:rPr>
              <w:t>s</w:t>
            </w:r>
            <w:r w:rsidRPr="00C4480C">
              <w:rPr>
                <w:rFonts w:ascii="Calibri" w:hAnsi="Calibri" w:cs="Calibri"/>
                <w:sz w:val="20"/>
                <w:szCs w:val="20"/>
                <w:lang w:val="en-US"/>
              </w:rPr>
              <w:t xml:space="preserve"> </w:t>
            </w:r>
            <w:r w:rsidRPr="00C4480C">
              <w:rPr>
                <w:rFonts w:ascii="Calibri" w:hAnsi="Calibri" w:cs="Calibri"/>
                <w:spacing w:val="1"/>
                <w:sz w:val="20"/>
                <w:szCs w:val="20"/>
                <w:lang w:val="en-US"/>
              </w:rPr>
              <w:t>t</w:t>
            </w:r>
            <w:r w:rsidRPr="00C4480C">
              <w:rPr>
                <w:rFonts w:ascii="Calibri" w:hAnsi="Calibri" w:cs="Calibri"/>
                <w:sz w:val="20"/>
                <w:szCs w:val="20"/>
                <w:lang w:val="en-US"/>
              </w:rPr>
              <w:t xml:space="preserve">o </w:t>
            </w:r>
            <w:r w:rsidRPr="00C4480C">
              <w:rPr>
                <w:rFonts w:ascii="Calibri" w:hAnsi="Calibri" w:cs="Calibri"/>
                <w:spacing w:val="-1"/>
                <w:sz w:val="20"/>
                <w:szCs w:val="20"/>
                <w:lang w:val="en-US"/>
              </w:rPr>
              <w:t>prepare:</w:t>
            </w:r>
          </w:p>
        </w:tc>
        <w:tc>
          <w:tcPr>
            <w:tcW w:w="1001" w:type="pct"/>
            <w:tcBorders>
              <w:top w:val="single" w:sz="4" w:space="0" w:color="000000"/>
              <w:left w:val="single" w:sz="4" w:space="0" w:color="000000"/>
              <w:bottom w:val="single" w:sz="4" w:space="0" w:color="000000"/>
              <w:right w:val="single" w:sz="4" w:space="0" w:color="000000"/>
            </w:tcBorders>
          </w:tcPr>
          <w:p w14:paraId="13B37371" w14:textId="6A6850BD" w:rsidR="00C4480C" w:rsidRPr="00C4480C" w:rsidRDefault="00C4480C" w:rsidP="00C4480C">
            <w:pPr>
              <w:widowControl w:val="0"/>
              <w:suppressAutoHyphens w:val="0"/>
              <w:autoSpaceDE w:val="0"/>
              <w:adjustRightInd w:val="0"/>
              <w:spacing w:before="93" w:after="0" w:line="240" w:lineRule="auto"/>
              <w:ind w:left="102" w:right="226"/>
              <w:textAlignment w:val="auto"/>
              <w:rPr>
                <w:rFonts w:ascii="Calibri" w:hAnsi="Calibri" w:cs="Calibri"/>
                <w:sz w:val="20"/>
                <w:szCs w:val="20"/>
                <w:lang w:val="en-US"/>
              </w:rPr>
            </w:pPr>
            <w:r w:rsidRPr="00C4480C">
              <w:rPr>
                <w:rFonts w:ascii="Calibri" w:hAnsi="Calibri" w:cs="Calibri"/>
                <w:sz w:val="20"/>
                <w:szCs w:val="20"/>
                <w:lang w:val="en-US"/>
              </w:rPr>
              <w:t>The a</w:t>
            </w:r>
            <w:r w:rsidRPr="00C4480C">
              <w:rPr>
                <w:rFonts w:ascii="Calibri" w:hAnsi="Calibri" w:cs="Calibri"/>
                <w:spacing w:val="-1"/>
                <w:sz w:val="20"/>
                <w:szCs w:val="20"/>
                <w:lang w:val="en-US"/>
              </w:rPr>
              <w:t>pp</w:t>
            </w:r>
            <w:r w:rsidRPr="00C4480C">
              <w:rPr>
                <w:rFonts w:ascii="Calibri" w:hAnsi="Calibri" w:cs="Calibri"/>
                <w:sz w:val="20"/>
                <w:szCs w:val="20"/>
                <w:lang w:val="en-US"/>
              </w:rPr>
              <w:t>l</w:t>
            </w:r>
            <w:r w:rsidRPr="00C4480C">
              <w:rPr>
                <w:rFonts w:ascii="Calibri" w:hAnsi="Calibri" w:cs="Calibri"/>
                <w:spacing w:val="-2"/>
                <w:sz w:val="20"/>
                <w:szCs w:val="20"/>
                <w:lang w:val="en-US"/>
              </w:rPr>
              <w:t>i</w:t>
            </w:r>
            <w:r w:rsidRPr="00C4480C">
              <w:rPr>
                <w:rFonts w:ascii="Calibri" w:hAnsi="Calibri" w:cs="Calibri"/>
                <w:spacing w:val="1"/>
                <w:sz w:val="20"/>
                <w:szCs w:val="20"/>
                <w:lang w:val="en-US"/>
              </w:rPr>
              <w:t>c</w:t>
            </w:r>
            <w:r w:rsidRPr="00C4480C">
              <w:rPr>
                <w:rFonts w:ascii="Calibri" w:hAnsi="Calibri" w:cs="Calibri"/>
                <w:spacing w:val="-1"/>
                <w:sz w:val="20"/>
                <w:szCs w:val="20"/>
                <w:lang w:val="en-US"/>
              </w:rPr>
              <w:t>an</w:t>
            </w:r>
            <w:r w:rsidRPr="00C4480C">
              <w:rPr>
                <w:rFonts w:ascii="Calibri" w:hAnsi="Calibri" w:cs="Calibri"/>
                <w:sz w:val="20"/>
                <w:szCs w:val="20"/>
                <w:lang w:val="en-US"/>
              </w:rPr>
              <w:t xml:space="preserve">t </w:t>
            </w:r>
            <w:r w:rsidRPr="00C4480C">
              <w:rPr>
                <w:rFonts w:ascii="Calibri" w:hAnsi="Calibri" w:cs="Calibri"/>
                <w:spacing w:val="-1"/>
                <w:sz w:val="20"/>
                <w:szCs w:val="20"/>
                <w:lang w:val="en-US"/>
              </w:rPr>
              <w:t>nee</w:t>
            </w:r>
            <w:r w:rsidRPr="00C4480C">
              <w:rPr>
                <w:rFonts w:ascii="Calibri" w:hAnsi="Calibri" w:cs="Calibri"/>
                <w:sz w:val="20"/>
                <w:szCs w:val="20"/>
                <w:lang w:val="en-US"/>
              </w:rPr>
              <w:t>d</w:t>
            </w:r>
            <w:r w:rsidR="005B4CC2">
              <w:rPr>
                <w:rFonts w:ascii="Calibri" w:hAnsi="Calibri" w:cs="Calibri"/>
                <w:sz w:val="20"/>
                <w:szCs w:val="20"/>
                <w:lang w:val="en-US"/>
              </w:rPr>
              <w:t>s</w:t>
            </w:r>
            <w:r w:rsidRPr="00C4480C">
              <w:rPr>
                <w:rFonts w:ascii="Calibri" w:hAnsi="Calibri" w:cs="Calibri"/>
                <w:sz w:val="20"/>
                <w:szCs w:val="20"/>
                <w:lang w:val="en-US"/>
              </w:rPr>
              <w:t xml:space="preserve"> </w:t>
            </w:r>
            <w:r w:rsidRPr="00C4480C">
              <w:rPr>
                <w:rFonts w:ascii="Calibri" w:hAnsi="Calibri" w:cs="Calibri"/>
                <w:spacing w:val="1"/>
                <w:sz w:val="20"/>
                <w:szCs w:val="20"/>
                <w:lang w:val="en-US"/>
              </w:rPr>
              <w:t>t</w:t>
            </w:r>
            <w:r w:rsidRPr="00C4480C">
              <w:rPr>
                <w:rFonts w:ascii="Calibri" w:hAnsi="Calibri" w:cs="Calibri"/>
                <w:sz w:val="20"/>
                <w:szCs w:val="20"/>
                <w:lang w:val="en-US"/>
              </w:rPr>
              <w:t xml:space="preserve">o </w:t>
            </w:r>
            <w:r w:rsidRPr="00C4480C">
              <w:rPr>
                <w:rFonts w:ascii="Calibri" w:hAnsi="Calibri" w:cs="Calibri"/>
                <w:spacing w:val="-1"/>
                <w:sz w:val="20"/>
                <w:szCs w:val="20"/>
                <w:lang w:val="en-US"/>
              </w:rPr>
              <w:t>prepare:</w:t>
            </w:r>
          </w:p>
        </w:tc>
        <w:tc>
          <w:tcPr>
            <w:tcW w:w="999" w:type="pct"/>
            <w:tcBorders>
              <w:top w:val="single" w:sz="4" w:space="0" w:color="000000"/>
              <w:left w:val="single" w:sz="4" w:space="0" w:color="000000"/>
              <w:bottom w:val="single" w:sz="4" w:space="0" w:color="000000"/>
              <w:right w:val="single" w:sz="4" w:space="0" w:color="000000"/>
            </w:tcBorders>
          </w:tcPr>
          <w:p w14:paraId="666083AD" w14:textId="3EEE4B69" w:rsidR="00C4480C" w:rsidRPr="00C4480C" w:rsidRDefault="00C4480C" w:rsidP="00C4480C">
            <w:pPr>
              <w:widowControl w:val="0"/>
              <w:suppressAutoHyphens w:val="0"/>
              <w:autoSpaceDE w:val="0"/>
              <w:adjustRightInd w:val="0"/>
              <w:spacing w:before="93" w:after="0" w:line="240" w:lineRule="auto"/>
              <w:ind w:left="102" w:right="226"/>
              <w:textAlignment w:val="auto"/>
              <w:rPr>
                <w:rFonts w:ascii="Calibri" w:hAnsi="Calibri" w:cs="Calibri"/>
                <w:sz w:val="20"/>
                <w:szCs w:val="20"/>
                <w:lang w:val="en-US"/>
              </w:rPr>
            </w:pPr>
            <w:r w:rsidRPr="00C4480C">
              <w:rPr>
                <w:rFonts w:ascii="Calibri" w:hAnsi="Calibri" w:cs="Calibri"/>
                <w:sz w:val="20"/>
                <w:szCs w:val="20"/>
                <w:lang w:val="en-US"/>
              </w:rPr>
              <w:t>The a</w:t>
            </w:r>
            <w:r w:rsidRPr="00C4480C">
              <w:rPr>
                <w:rFonts w:ascii="Calibri" w:hAnsi="Calibri" w:cs="Calibri"/>
                <w:spacing w:val="-1"/>
                <w:sz w:val="20"/>
                <w:szCs w:val="20"/>
                <w:lang w:val="en-US"/>
              </w:rPr>
              <w:t>pp</w:t>
            </w:r>
            <w:r w:rsidRPr="00C4480C">
              <w:rPr>
                <w:rFonts w:ascii="Calibri" w:hAnsi="Calibri" w:cs="Calibri"/>
                <w:sz w:val="20"/>
                <w:szCs w:val="20"/>
                <w:lang w:val="en-US"/>
              </w:rPr>
              <w:t>l</w:t>
            </w:r>
            <w:r w:rsidRPr="00C4480C">
              <w:rPr>
                <w:rFonts w:ascii="Calibri" w:hAnsi="Calibri" w:cs="Calibri"/>
                <w:spacing w:val="-2"/>
                <w:sz w:val="20"/>
                <w:szCs w:val="20"/>
                <w:lang w:val="en-US"/>
              </w:rPr>
              <w:t>i</w:t>
            </w:r>
            <w:r w:rsidRPr="00C4480C">
              <w:rPr>
                <w:rFonts w:ascii="Calibri" w:hAnsi="Calibri" w:cs="Calibri"/>
                <w:spacing w:val="1"/>
                <w:sz w:val="20"/>
                <w:szCs w:val="20"/>
                <w:lang w:val="en-US"/>
              </w:rPr>
              <w:t>c</w:t>
            </w:r>
            <w:r w:rsidRPr="00C4480C">
              <w:rPr>
                <w:rFonts w:ascii="Calibri" w:hAnsi="Calibri" w:cs="Calibri"/>
                <w:spacing w:val="-1"/>
                <w:sz w:val="20"/>
                <w:szCs w:val="20"/>
                <w:lang w:val="en-US"/>
              </w:rPr>
              <w:t>an</w:t>
            </w:r>
            <w:r w:rsidRPr="00C4480C">
              <w:rPr>
                <w:rFonts w:ascii="Calibri" w:hAnsi="Calibri" w:cs="Calibri"/>
                <w:sz w:val="20"/>
                <w:szCs w:val="20"/>
                <w:lang w:val="en-US"/>
              </w:rPr>
              <w:t xml:space="preserve">t </w:t>
            </w:r>
            <w:r w:rsidRPr="00C4480C">
              <w:rPr>
                <w:rFonts w:ascii="Calibri" w:hAnsi="Calibri" w:cs="Calibri"/>
                <w:spacing w:val="-1"/>
                <w:sz w:val="20"/>
                <w:szCs w:val="20"/>
                <w:lang w:val="en-US"/>
              </w:rPr>
              <w:t>nee</w:t>
            </w:r>
            <w:r w:rsidRPr="00C4480C">
              <w:rPr>
                <w:rFonts w:ascii="Calibri" w:hAnsi="Calibri" w:cs="Calibri"/>
                <w:sz w:val="20"/>
                <w:szCs w:val="20"/>
                <w:lang w:val="en-US"/>
              </w:rPr>
              <w:t>d</w:t>
            </w:r>
            <w:r w:rsidR="005B4CC2">
              <w:rPr>
                <w:rFonts w:ascii="Calibri" w:hAnsi="Calibri" w:cs="Calibri"/>
                <w:sz w:val="20"/>
                <w:szCs w:val="20"/>
                <w:lang w:val="en-US"/>
              </w:rPr>
              <w:t>s</w:t>
            </w:r>
            <w:r w:rsidRPr="00C4480C">
              <w:rPr>
                <w:rFonts w:ascii="Calibri" w:hAnsi="Calibri" w:cs="Calibri"/>
                <w:sz w:val="20"/>
                <w:szCs w:val="20"/>
                <w:lang w:val="en-US"/>
              </w:rPr>
              <w:t xml:space="preserve"> </w:t>
            </w:r>
            <w:r w:rsidRPr="00C4480C">
              <w:rPr>
                <w:rFonts w:ascii="Calibri" w:hAnsi="Calibri" w:cs="Calibri"/>
                <w:spacing w:val="1"/>
                <w:sz w:val="20"/>
                <w:szCs w:val="20"/>
                <w:lang w:val="en-US"/>
              </w:rPr>
              <w:t>t</w:t>
            </w:r>
            <w:r w:rsidRPr="00C4480C">
              <w:rPr>
                <w:rFonts w:ascii="Calibri" w:hAnsi="Calibri" w:cs="Calibri"/>
                <w:sz w:val="20"/>
                <w:szCs w:val="20"/>
                <w:lang w:val="en-US"/>
              </w:rPr>
              <w:t xml:space="preserve">o </w:t>
            </w:r>
            <w:r w:rsidRPr="00C4480C">
              <w:rPr>
                <w:rFonts w:ascii="Calibri" w:hAnsi="Calibri" w:cs="Calibri"/>
                <w:spacing w:val="-1"/>
                <w:sz w:val="20"/>
                <w:szCs w:val="20"/>
                <w:lang w:val="en-US"/>
              </w:rPr>
              <w:t>prepare:</w:t>
            </w:r>
          </w:p>
        </w:tc>
      </w:tr>
      <w:tr w:rsidR="00C4480C" w:rsidRPr="00C4480C" w14:paraId="5A86C065" w14:textId="77777777" w:rsidTr="00366303">
        <w:trPr>
          <w:trHeight w:val="20"/>
        </w:trPr>
        <w:tc>
          <w:tcPr>
            <w:tcW w:w="998" w:type="pct"/>
            <w:vMerge/>
            <w:tcBorders>
              <w:top w:val="single" w:sz="4" w:space="0" w:color="000000"/>
              <w:left w:val="single" w:sz="4" w:space="0" w:color="000000"/>
              <w:bottom w:val="single" w:sz="4" w:space="0" w:color="000000"/>
              <w:right w:val="single" w:sz="4" w:space="0" w:color="000000"/>
            </w:tcBorders>
            <w:shd w:val="clear" w:color="auto" w:fill="CEDBE6" w:themeFill="background2"/>
          </w:tcPr>
          <w:p w14:paraId="1A276EB7" w14:textId="77777777" w:rsidR="00C4480C" w:rsidRPr="00C4480C" w:rsidRDefault="00C4480C" w:rsidP="00C4480C">
            <w:pPr>
              <w:widowControl w:val="0"/>
              <w:suppressAutoHyphens w:val="0"/>
              <w:autoSpaceDE w:val="0"/>
              <w:adjustRightInd w:val="0"/>
              <w:spacing w:before="93" w:after="0" w:line="240" w:lineRule="auto"/>
              <w:ind w:left="102" w:right="228"/>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75CF1A00"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252562B2"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z w:val="20"/>
                <w:szCs w:val="20"/>
                <w:lang w:val="en-US"/>
              </w:rPr>
            </w:pPr>
            <w:r w:rsidRPr="00C4480C">
              <w:rPr>
                <w:rFonts w:ascii="Calibri" w:hAnsi="Calibri" w:cs="Calibri"/>
                <w:spacing w:val="1"/>
                <w:sz w:val="20"/>
                <w:szCs w:val="20"/>
                <w:lang w:val="en-US"/>
              </w:rPr>
              <w:t>E</w:t>
            </w:r>
            <w:r w:rsidRPr="00C4480C">
              <w:rPr>
                <w:rFonts w:ascii="Calibri" w:hAnsi="Calibri" w:cs="Calibri"/>
                <w:spacing w:val="-2"/>
                <w:sz w:val="20"/>
                <w:szCs w:val="20"/>
                <w:lang w:val="en-US"/>
              </w:rPr>
              <w:t>S</w:t>
            </w:r>
            <w:r w:rsidRPr="00C4480C">
              <w:rPr>
                <w:rFonts w:ascii="Calibri" w:hAnsi="Calibri" w:cs="Calibri"/>
                <w:sz w:val="20"/>
                <w:szCs w:val="20"/>
                <w:lang w:val="en-US"/>
              </w:rPr>
              <w:t xml:space="preserve">MP Checklist </w:t>
            </w:r>
          </w:p>
        </w:tc>
        <w:tc>
          <w:tcPr>
            <w:tcW w:w="1001" w:type="pct"/>
            <w:tcBorders>
              <w:top w:val="single" w:sz="4" w:space="0" w:color="000000"/>
              <w:left w:val="single" w:sz="4" w:space="0" w:color="000000"/>
              <w:bottom w:val="single" w:sz="4" w:space="0" w:color="000000"/>
              <w:right w:val="single" w:sz="4" w:space="0" w:color="000000"/>
            </w:tcBorders>
          </w:tcPr>
          <w:p w14:paraId="26480156"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3367FC56"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pacing w:val="1"/>
                <w:sz w:val="20"/>
                <w:szCs w:val="20"/>
                <w:lang w:val="en-US"/>
              </w:rPr>
            </w:pPr>
            <w:r w:rsidRPr="00C4480C">
              <w:rPr>
                <w:rFonts w:ascii="Calibri" w:hAnsi="Calibri" w:cs="Calibri"/>
                <w:spacing w:val="1"/>
                <w:sz w:val="20"/>
                <w:szCs w:val="20"/>
                <w:lang w:val="en-US"/>
              </w:rPr>
              <w:t>ESMP Checklist</w:t>
            </w:r>
          </w:p>
          <w:p w14:paraId="37483CA5"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z w:val="20"/>
                <w:szCs w:val="20"/>
                <w:lang w:val="en-US"/>
              </w:rPr>
            </w:pPr>
            <w:r w:rsidRPr="00C4480C">
              <w:rPr>
                <w:rFonts w:ascii="Calibri" w:hAnsi="Calibri" w:cs="Calibri"/>
                <w:spacing w:val="1"/>
                <w:sz w:val="20"/>
                <w:szCs w:val="20"/>
                <w:lang w:val="en-US"/>
              </w:rPr>
              <w:t xml:space="preserve">ESMP </w:t>
            </w:r>
          </w:p>
        </w:tc>
        <w:tc>
          <w:tcPr>
            <w:tcW w:w="1001" w:type="pct"/>
            <w:tcBorders>
              <w:top w:val="single" w:sz="4" w:space="0" w:color="000000"/>
              <w:left w:val="single" w:sz="4" w:space="0" w:color="000000"/>
              <w:bottom w:val="single" w:sz="4" w:space="0" w:color="000000"/>
              <w:right w:val="single" w:sz="4" w:space="0" w:color="000000"/>
            </w:tcBorders>
          </w:tcPr>
          <w:p w14:paraId="694B51C4"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098CC584"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pacing w:val="1"/>
                <w:sz w:val="20"/>
                <w:szCs w:val="20"/>
                <w:lang w:val="en-US"/>
              </w:rPr>
            </w:pPr>
            <w:r w:rsidRPr="00C4480C">
              <w:rPr>
                <w:rFonts w:ascii="Calibri" w:hAnsi="Calibri" w:cs="Calibri"/>
                <w:spacing w:val="1"/>
                <w:sz w:val="20"/>
                <w:szCs w:val="20"/>
                <w:lang w:val="en-US"/>
              </w:rPr>
              <w:t>ESMP</w:t>
            </w:r>
          </w:p>
          <w:p w14:paraId="78820F59"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z w:val="20"/>
                <w:szCs w:val="20"/>
                <w:lang w:val="en-US"/>
              </w:rPr>
            </w:pPr>
            <w:r w:rsidRPr="00C4480C">
              <w:rPr>
                <w:rFonts w:ascii="Calibri" w:hAnsi="Calibri" w:cs="Calibri"/>
                <w:sz w:val="20"/>
                <w:szCs w:val="20"/>
                <w:lang w:val="en-US"/>
              </w:rPr>
              <w:t>EIA</w:t>
            </w:r>
          </w:p>
        </w:tc>
        <w:tc>
          <w:tcPr>
            <w:tcW w:w="999" w:type="pct"/>
            <w:tcBorders>
              <w:top w:val="single" w:sz="4" w:space="0" w:color="000000"/>
              <w:left w:val="single" w:sz="4" w:space="0" w:color="000000"/>
              <w:bottom w:val="single" w:sz="4" w:space="0" w:color="000000"/>
              <w:right w:val="single" w:sz="4" w:space="0" w:color="000000"/>
            </w:tcBorders>
          </w:tcPr>
          <w:p w14:paraId="3093C497"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2FE9A70E"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p w14:paraId="31BA8187" w14:textId="77777777" w:rsidR="00C4480C" w:rsidRPr="00C4480C" w:rsidRDefault="00C4480C" w:rsidP="00C4480C">
            <w:pPr>
              <w:widowControl w:val="0"/>
              <w:suppressAutoHyphens w:val="0"/>
              <w:autoSpaceDE w:val="0"/>
              <w:adjustRightInd w:val="0"/>
              <w:spacing w:before="0" w:after="0" w:line="240" w:lineRule="auto"/>
              <w:ind w:left="102" w:right="-20"/>
              <w:textAlignment w:val="auto"/>
              <w:rPr>
                <w:rFonts w:ascii="Calibri" w:hAnsi="Calibri" w:cs="Calibri"/>
                <w:spacing w:val="1"/>
                <w:sz w:val="20"/>
                <w:szCs w:val="20"/>
                <w:lang w:val="en-US"/>
              </w:rPr>
            </w:pPr>
            <w:r w:rsidRPr="00C4480C">
              <w:rPr>
                <w:rFonts w:ascii="Calibri" w:hAnsi="Calibri" w:cs="Calibri"/>
                <w:spacing w:val="1"/>
                <w:sz w:val="20"/>
                <w:szCs w:val="20"/>
                <w:lang w:val="en-US"/>
              </w:rPr>
              <w:t>EIA</w:t>
            </w:r>
          </w:p>
          <w:p w14:paraId="5B07EFC8" w14:textId="77777777" w:rsidR="00C4480C" w:rsidRPr="00C4480C" w:rsidRDefault="00C4480C" w:rsidP="00C4480C">
            <w:pPr>
              <w:widowControl w:val="0"/>
              <w:suppressAutoHyphens w:val="0"/>
              <w:autoSpaceDE w:val="0"/>
              <w:adjustRightInd w:val="0"/>
              <w:spacing w:before="0" w:after="0" w:line="120" w:lineRule="exact"/>
              <w:textAlignment w:val="auto"/>
              <w:rPr>
                <w:rFonts w:ascii="Calibri" w:hAnsi="Calibri" w:cs="Calibri"/>
                <w:sz w:val="20"/>
                <w:szCs w:val="20"/>
                <w:lang w:val="en-US"/>
              </w:rPr>
            </w:pPr>
          </w:p>
        </w:tc>
      </w:tr>
      <w:tr w:rsidR="00C4480C" w:rsidRPr="00C4480C" w14:paraId="20CB42FE" w14:textId="77777777" w:rsidTr="00850079">
        <w:trPr>
          <w:trHeight w:val="20"/>
        </w:trPr>
        <w:tc>
          <w:tcPr>
            <w:tcW w:w="998" w:type="pct"/>
            <w:tcBorders>
              <w:top w:val="single" w:sz="4" w:space="0" w:color="000000"/>
              <w:left w:val="single" w:sz="4" w:space="0" w:color="000000"/>
              <w:bottom w:val="single" w:sz="4" w:space="0" w:color="000000"/>
              <w:right w:val="single" w:sz="4" w:space="0" w:color="000000"/>
            </w:tcBorders>
          </w:tcPr>
          <w:p w14:paraId="7E8FBC61" w14:textId="77777777" w:rsidR="00C4480C" w:rsidRPr="00C4480C" w:rsidRDefault="00C4480C" w:rsidP="00C4480C">
            <w:pPr>
              <w:widowControl w:val="0"/>
              <w:suppressAutoHyphens w:val="0"/>
              <w:autoSpaceDE w:val="0"/>
              <w:adjustRightInd w:val="0"/>
              <w:spacing w:before="0" w:after="0" w:line="240" w:lineRule="auto"/>
              <w:ind w:right="-20"/>
              <w:jc w:val="left"/>
              <w:textAlignment w:val="auto"/>
              <w:rPr>
                <w:rFonts w:ascii="Calibri" w:hAnsi="Calibri" w:cs="Calibri"/>
                <w:sz w:val="20"/>
                <w:szCs w:val="20"/>
                <w:lang w:val="en-US"/>
              </w:rPr>
            </w:pPr>
            <w:r w:rsidRPr="00C4480C">
              <w:rPr>
                <w:rFonts w:ascii="Calibri" w:hAnsi="Calibri" w:cs="Calibri"/>
                <w:sz w:val="20"/>
                <w:szCs w:val="20"/>
                <w:lang w:val="en-US"/>
              </w:rPr>
              <w:t>Environmental impacts identified (short description and note on significance)</w:t>
            </w:r>
          </w:p>
        </w:tc>
        <w:tc>
          <w:tcPr>
            <w:tcW w:w="1001" w:type="pct"/>
            <w:tcBorders>
              <w:top w:val="single" w:sz="4" w:space="0" w:color="000000"/>
              <w:left w:val="single" w:sz="4" w:space="0" w:color="000000"/>
              <w:bottom w:val="single" w:sz="4" w:space="0" w:color="000000"/>
              <w:right w:val="single" w:sz="4" w:space="0" w:color="000000"/>
            </w:tcBorders>
          </w:tcPr>
          <w:p w14:paraId="6B3ABF56"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47CB27E0"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57C589ED"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999" w:type="pct"/>
            <w:tcBorders>
              <w:top w:val="single" w:sz="4" w:space="0" w:color="000000"/>
              <w:left w:val="single" w:sz="4" w:space="0" w:color="000000"/>
              <w:bottom w:val="single" w:sz="4" w:space="0" w:color="000000"/>
              <w:right w:val="single" w:sz="4" w:space="0" w:color="000000"/>
            </w:tcBorders>
          </w:tcPr>
          <w:p w14:paraId="504922DC"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r>
      <w:tr w:rsidR="00C4480C" w:rsidRPr="00C4480C" w14:paraId="1EA86E2C" w14:textId="77777777" w:rsidTr="00850079">
        <w:trPr>
          <w:trHeight w:val="20"/>
        </w:trPr>
        <w:tc>
          <w:tcPr>
            <w:tcW w:w="998" w:type="pct"/>
            <w:tcBorders>
              <w:top w:val="single" w:sz="4" w:space="0" w:color="000000"/>
              <w:left w:val="single" w:sz="4" w:space="0" w:color="000000"/>
              <w:bottom w:val="single" w:sz="4" w:space="0" w:color="000000"/>
              <w:right w:val="single" w:sz="4" w:space="0" w:color="000000"/>
            </w:tcBorders>
          </w:tcPr>
          <w:p w14:paraId="30D5C16C" w14:textId="77777777" w:rsidR="00C4480C" w:rsidRPr="00C4480C" w:rsidRDefault="00C4480C" w:rsidP="00C4480C">
            <w:pPr>
              <w:suppressAutoHyphens w:val="0"/>
              <w:autoSpaceDN/>
              <w:spacing w:before="0" w:after="0" w:line="270" w:lineRule="atLeast"/>
              <w:jc w:val="left"/>
              <w:textAlignment w:val="auto"/>
              <w:rPr>
                <w:rFonts w:ascii="Calibri" w:hAnsi="Calibri" w:cs="Calibri"/>
                <w:sz w:val="20"/>
                <w:szCs w:val="20"/>
                <w:lang w:val="en-US"/>
              </w:rPr>
            </w:pPr>
            <w:r w:rsidRPr="00C4480C">
              <w:rPr>
                <w:rFonts w:ascii="Calibri" w:eastAsia="Times New Roman" w:hAnsi="Calibri" w:cs="Calibri"/>
                <w:sz w:val="20"/>
                <w:szCs w:val="20"/>
                <w:lang w:val="en-GB" w:eastAsia="da-DK"/>
              </w:rPr>
              <w:t xml:space="preserve">Social impacts identified </w:t>
            </w:r>
            <w:r w:rsidRPr="00C4480C">
              <w:rPr>
                <w:rFonts w:ascii="Calibri" w:hAnsi="Calibri" w:cs="Calibri"/>
                <w:sz w:val="20"/>
                <w:szCs w:val="20"/>
                <w:lang w:val="en-US"/>
              </w:rPr>
              <w:t>(short description and note on significance):</w:t>
            </w:r>
          </w:p>
        </w:tc>
        <w:tc>
          <w:tcPr>
            <w:tcW w:w="1001" w:type="pct"/>
            <w:tcBorders>
              <w:top w:val="single" w:sz="4" w:space="0" w:color="000000"/>
              <w:left w:val="single" w:sz="4" w:space="0" w:color="000000"/>
              <w:bottom w:val="single" w:sz="4" w:space="0" w:color="000000"/>
              <w:right w:val="single" w:sz="4" w:space="0" w:color="000000"/>
            </w:tcBorders>
          </w:tcPr>
          <w:p w14:paraId="136A1A17"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68778D44"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4D734A49"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999" w:type="pct"/>
            <w:tcBorders>
              <w:top w:val="single" w:sz="4" w:space="0" w:color="000000"/>
              <w:left w:val="single" w:sz="4" w:space="0" w:color="000000"/>
              <w:bottom w:val="single" w:sz="4" w:space="0" w:color="000000"/>
              <w:right w:val="single" w:sz="4" w:space="0" w:color="000000"/>
            </w:tcBorders>
          </w:tcPr>
          <w:p w14:paraId="5AF5B187"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r>
      <w:tr w:rsidR="00C4480C" w:rsidRPr="00C4480C" w14:paraId="458150A6" w14:textId="77777777" w:rsidTr="00850079">
        <w:trPr>
          <w:trHeight w:val="20"/>
        </w:trPr>
        <w:tc>
          <w:tcPr>
            <w:tcW w:w="998" w:type="pct"/>
            <w:tcBorders>
              <w:top w:val="single" w:sz="4" w:space="0" w:color="000000"/>
              <w:left w:val="single" w:sz="4" w:space="0" w:color="000000"/>
              <w:bottom w:val="single" w:sz="4" w:space="0" w:color="000000"/>
              <w:right w:val="single" w:sz="4" w:space="0" w:color="000000"/>
            </w:tcBorders>
          </w:tcPr>
          <w:p w14:paraId="3E975790" w14:textId="77777777" w:rsidR="00C4480C" w:rsidRPr="00C4480C" w:rsidRDefault="00C4480C" w:rsidP="00C4480C">
            <w:pPr>
              <w:suppressAutoHyphens w:val="0"/>
              <w:autoSpaceDN/>
              <w:spacing w:before="0" w:after="0" w:line="270" w:lineRule="atLeast"/>
              <w:jc w:val="left"/>
              <w:textAlignment w:val="auto"/>
              <w:rPr>
                <w:rFonts w:ascii="Calibri" w:hAnsi="Calibri" w:cs="Calibri"/>
                <w:sz w:val="20"/>
                <w:szCs w:val="20"/>
                <w:lang w:val="en-US"/>
              </w:rPr>
            </w:pPr>
            <w:r w:rsidRPr="00C4480C">
              <w:rPr>
                <w:rFonts w:ascii="Calibri" w:eastAsia="Times New Roman" w:hAnsi="Calibri" w:cs="Calibri"/>
                <w:sz w:val="20"/>
                <w:szCs w:val="20"/>
                <w:lang w:val="en-GB" w:eastAsia="da-DK"/>
              </w:rPr>
              <w:t>Additional comments:</w:t>
            </w:r>
          </w:p>
        </w:tc>
        <w:tc>
          <w:tcPr>
            <w:tcW w:w="1001" w:type="pct"/>
            <w:tcBorders>
              <w:top w:val="single" w:sz="4" w:space="0" w:color="000000"/>
              <w:left w:val="single" w:sz="4" w:space="0" w:color="000000"/>
              <w:bottom w:val="single" w:sz="4" w:space="0" w:color="000000"/>
              <w:right w:val="single" w:sz="4" w:space="0" w:color="000000"/>
            </w:tcBorders>
          </w:tcPr>
          <w:p w14:paraId="4F071763"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5E191644"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1001" w:type="pct"/>
            <w:tcBorders>
              <w:top w:val="single" w:sz="4" w:space="0" w:color="000000"/>
              <w:left w:val="single" w:sz="4" w:space="0" w:color="000000"/>
              <w:bottom w:val="single" w:sz="4" w:space="0" w:color="000000"/>
              <w:right w:val="single" w:sz="4" w:space="0" w:color="000000"/>
            </w:tcBorders>
          </w:tcPr>
          <w:p w14:paraId="03781EBA"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c>
          <w:tcPr>
            <w:tcW w:w="999" w:type="pct"/>
            <w:tcBorders>
              <w:top w:val="single" w:sz="4" w:space="0" w:color="000000"/>
              <w:left w:val="single" w:sz="4" w:space="0" w:color="000000"/>
              <w:bottom w:val="single" w:sz="4" w:space="0" w:color="000000"/>
              <w:right w:val="single" w:sz="4" w:space="0" w:color="000000"/>
            </w:tcBorders>
          </w:tcPr>
          <w:p w14:paraId="323F67E3" w14:textId="77777777" w:rsidR="00C4480C" w:rsidRPr="00C4480C" w:rsidRDefault="00C4480C" w:rsidP="00C4480C">
            <w:pPr>
              <w:widowControl w:val="0"/>
              <w:suppressAutoHyphens w:val="0"/>
              <w:autoSpaceDE w:val="0"/>
              <w:adjustRightInd w:val="0"/>
              <w:spacing w:before="0" w:after="0" w:line="240" w:lineRule="auto"/>
              <w:textAlignment w:val="auto"/>
              <w:rPr>
                <w:rFonts w:ascii="Calibri" w:hAnsi="Calibri" w:cs="Calibri"/>
                <w:sz w:val="20"/>
                <w:szCs w:val="20"/>
                <w:lang w:val="en-US"/>
              </w:rPr>
            </w:pPr>
          </w:p>
        </w:tc>
      </w:tr>
    </w:tbl>
    <w:p w14:paraId="3F276B7C" w14:textId="77777777" w:rsidR="00E27F35" w:rsidRPr="00E27F35" w:rsidRDefault="00E27F35" w:rsidP="00E27F35">
      <w:pPr>
        <w:widowControl w:val="0"/>
        <w:tabs>
          <w:tab w:val="left" w:pos="7020"/>
        </w:tabs>
        <w:suppressAutoHyphens w:val="0"/>
        <w:autoSpaceDE w:val="0"/>
        <w:adjustRightInd w:val="0"/>
        <w:spacing w:before="34" w:after="0" w:line="225" w:lineRule="exact"/>
        <w:ind w:right="-20"/>
        <w:textAlignment w:val="auto"/>
        <w:rPr>
          <w:rFonts w:ascii="Calibri" w:hAnsi="Calibri" w:cs="Calibri"/>
          <w:spacing w:val="-1"/>
          <w:w w:val="99"/>
          <w:position w:val="-1"/>
          <w:lang w:val="en-US"/>
        </w:rPr>
      </w:pPr>
    </w:p>
    <w:p w14:paraId="665347E4" w14:textId="77777777" w:rsidR="00E27F35" w:rsidRPr="00E27F35" w:rsidRDefault="00E27F35" w:rsidP="00E27F35">
      <w:pPr>
        <w:widowControl w:val="0"/>
        <w:tabs>
          <w:tab w:val="left" w:pos="7020"/>
        </w:tabs>
        <w:suppressAutoHyphens w:val="0"/>
        <w:autoSpaceDE w:val="0"/>
        <w:adjustRightInd w:val="0"/>
        <w:spacing w:before="34" w:after="0" w:line="225" w:lineRule="exact"/>
        <w:ind w:right="-20"/>
        <w:textAlignment w:val="auto"/>
        <w:rPr>
          <w:rFonts w:ascii="Calibri" w:hAnsi="Calibri" w:cs="Calibri"/>
          <w:sz w:val="20"/>
          <w:szCs w:val="20"/>
          <w:lang w:val="en-US"/>
        </w:rPr>
      </w:pPr>
      <w:r w:rsidRPr="00E27F35">
        <w:rPr>
          <w:rFonts w:ascii="Calibri" w:hAnsi="Calibri" w:cs="Calibri"/>
          <w:spacing w:val="-1"/>
          <w:w w:val="99"/>
          <w:position w:val="-1"/>
          <w:sz w:val="20"/>
          <w:szCs w:val="20"/>
          <w:lang w:val="en-US"/>
        </w:rPr>
        <w:t>P</w:t>
      </w:r>
      <w:r w:rsidRPr="00E27F35">
        <w:rPr>
          <w:rFonts w:ascii="Calibri" w:hAnsi="Calibri" w:cs="Calibri"/>
          <w:spacing w:val="1"/>
          <w:w w:val="99"/>
          <w:position w:val="-1"/>
          <w:sz w:val="20"/>
          <w:szCs w:val="20"/>
          <w:lang w:val="en-US"/>
        </w:rPr>
        <w:t>r</w:t>
      </w:r>
      <w:r w:rsidRPr="00E27F35">
        <w:rPr>
          <w:rFonts w:ascii="Calibri" w:hAnsi="Calibri" w:cs="Calibri"/>
          <w:w w:val="99"/>
          <w:position w:val="-1"/>
          <w:sz w:val="20"/>
          <w:szCs w:val="20"/>
          <w:lang w:val="en-US"/>
        </w:rPr>
        <w:t>o</w:t>
      </w:r>
      <w:r w:rsidRPr="00E27F35">
        <w:rPr>
          <w:rFonts w:ascii="Calibri" w:hAnsi="Calibri" w:cs="Calibri"/>
          <w:spacing w:val="1"/>
          <w:w w:val="99"/>
          <w:position w:val="-1"/>
          <w:sz w:val="20"/>
          <w:szCs w:val="20"/>
          <w:lang w:val="en-US"/>
        </w:rPr>
        <w:t>j</w:t>
      </w:r>
      <w:r w:rsidRPr="00E27F35">
        <w:rPr>
          <w:rFonts w:ascii="Calibri" w:hAnsi="Calibri" w:cs="Calibri"/>
          <w:w w:val="99"/>
          <w:position w:val="-1"/>
          <w:sz w:val="20"/>
          <w:szCs w:val="20"/>
          <w:lang w:val="en-US"/>
        </w:rPr>
        <w:t>e</w:t>
      </w:r>
      <w:r w:rsidRPr="00E27F35">
        <w:rPr>
          <w:rFonts w:ascii="Calibri" w:hAnsi="Calibri" w:cs="Calibri"/>
          <w:spacing w:val="1"/>
          <w:w w:val="99"/>
          <w:position w:val="-1"/>
          <w:sz w:val="20"/>
          <w:szCs w:val="20"/>
          <w:lang w:val="en-US"/>
        </w:rPr>
        <w:t>c</w:t>
      </w:r>
      <w:r w:rsidRPr="00E27F35">
        <w:rPr>
          <w:rFonts w:ascii="Calibri" w:hAnsi="Calibri" w:cs="Calibri"/>
          <w:w w:val="99"/>
          <w:position w:val="-1"/>
          <w:sz w:val="20"/>
          <w:szCs w:val="20"/>
          <w:lang w:val="en-US"/>
        </w:rPr>
        <w:t>t</w:t>
      </w:r>
      <w:r w:rsidRPr="00E27F35">
        <w:rPr>
          <w:rFonts w:ascii="Calibri" w:hAnsi="Calibri" w:cs="Calibri"/>
          <w:position w:val="-1"/>
          <w:sz w:val="20"/>
          <w:szCs w:val="20"/>
          <w:lang w:val="en-US"/>
        </w:rPr>
        <w:t xml:space="preserve"> </w:t>
      </w:r>
      <w:r w:rsidRPr="00E27F35">
        <w:rPr>
          <w:rFonts w:ascii="Calibri" w:hAnsi="Calibri" w:cs="Calibri"/>
          <w:w w:val="99"/>
          <w:position w:val="-1"/>
          <w:sz w:val="20"/>
          <w:szCs w:val="20"/>
          <w:lang w:val="en-US"/>
        </w:rPr>
        <w:t>Ca</w:t>
      </w:r>
      <w:r w:rsidRPr="00E27F35">
        <w:rPr>
          <w:rFonts w:ascii="Calibri" w:hAnsi="Calibri" w:cs="Calibri"/>
          <w:spacing w:val="1"/>
          <w:w w:val="99"/>
          <w:position w:val="-1"/>
          <w:sz w:val="20"/>
          <w:szCs w:val="20"/>
          <w:lang w:val="en-US"/>
        </w:rPr>
        <w:t>t</w:t>
      </w:r>
      <w:r w:rsidRPr="00E27F35">
        <w:rPr>
          <w:rFonts w:ascii="Calibri" w:hAnsi="Calibri" w:cs="Calibri"/>
          <w:w w:val="99"/>
          <w:position w:val="-1"/>
          <w:sz w:val="20"/>
          <w:szCs w:val="20"/>
          <w:lang w:val="en-US"/>
        </w:rPr>
        <w:t>e</w:t>
      </w:r>
      <w:r w:rsidRPr="00E27F35">
        <w:rPr>
          <w:rFonts w:ascii="Calibri" w:hAnsi="Calibri" w:cs="Calibri"/>
          <w:spacing w:val="-1"/>
          <w:w w:val="99"/>
          <w:position w:val="-1"/>
          <w:sz w:val="20"/>
          <w:szCs w:val="20"/>
          <w:lang w:val="en-US"/>
        </w:rPr>
        <w:t>g</w:t>
      </w:r>
      <w:r w:rsidRPr="00E27F35">
        <w:rPr>
          <w:rFonts w:ascii="Calibri" w:hAnsi="Calibri" w:cs="Calibri"/>
          <w:w w:val="99"/>
          <w:position w:val="-1"/>
          <w:sz w:val="20"/>
          <w:szCs w:val="20"/>
          <w:lang w:val="en-US"/>
        </w:rPr>
        <w:t>o</w:t>
      </w:r>
      <w:r w:rsidRPr="00E27F35">
        <w:rPr>
          <w:rFonts w:ascii="Calibri" w:hAnsi="Calibri" w:cs="Calibri"/>
          <w:spacing w:val="3"/>
          <w:w w:val="99"/>
          <w:position w:val="-1"/>
          <w:sz w:val="20"/>
          <w:szCs w:val="20"/>
          <w:lang w:val="en-US"/>
        </w:rPr>
        <w:t>r</w:t>
      </w:r>
      <w:r w:rsidRPr="00E27F35">
        <w:rPr>
          <w:rFonts w:ascii="Calibri" w:hAnsi="Calibri" w:cs="Calibri"/>
          <w:spacing w:val="-1"/>
          <w:w w:val="99"/>
          <w:position w:val="-1"/>
          <w:sz w:val="20"/>
          <w:szCs w:val="20"/>
          <w:lang w:val="en-US"/>
        </w:rPr>
        <w:t>i</w:t>
      </w:r>
      <w:r w:rsidRPr="00E27F35">
        <w:rPr>
          <w:rFonts w:ascii="Calibri" w:hAnsi="Calibri" w:cs="Calibri"/>
          <w:spacing w:val="1"/>
          <w:w w:val="99"/>
          <w:position w:val="-1"/>
          <w:sz w:val="20"/>
          <w:szCs w:val="20"/>
          <w:lang w:val="en-US"/>
        </w:rPr>
        <w:t>z</w:t>
      </w:r>
      <w:r w:rsidRPr="00E27F35">
        <w:rPr>
          <w:rFonts w:ascii="Calibri" w:hAnsi="Calibri" w:cs="Calibri"/>
          <w:w w:val="99"/>
          <w:position w:val="-1"/>
          <w:sz w:val="20"/>
          <w:szCs w:val="20"/>
          <w:lang w:val="en-US"/>
        </w:rPr>
        <w:t>at</w:t>
      </w:r>
      <w:r w:rsidRPr="00E27F35">
        <w:rPr>
          <w:rFonts w:ascii="Calibri" w:hAnsi="Calibri" w:cs="Calibri"/>
          <w:spacing w:val="1"/>
          <w:w w:val="99"/>
          <w:position w:val="-1"/>
          <w:sz w:val="20"/>
          <w:szCs w:val="20"/>
          <w:lang w:val="en-US"/>
        </w:rPr>
        <w:t>i</w:t>
      </w:r>
      <w:r w:rsidRPr="00E27F35">
        <w:rPr>
          <w:rFonts w:ascii="Calibri" w:hAnsi="Calibri" w:cs="Calibri"/>
          <w:w w:val="99"/>
          <w:position w:val="-1"/>
          <w:sz w:val="20"/>
          <w:szCs w:val="20"/>
          <w:lang w:val="en-US"/>
        </w:rPr>
        <w:t>on</w:t>
      </w:r>
      <w:r w:rsidRPr="00E27F35">
        <w:rPr>
          <w:rFonts w:ascii="Calibri" w:hAnsi="Calibri" w:cs="Calibri"/>
          <w:spacing w:val="1"/>
          <w:position w:val="-1"/>
          <w:sz w:val="20"/>
          <w:szCs w:val="20"/>
          <w:lang w:val="en-US"/>
        </w:rPr>
        <w:t xml:space="preserve"> </w:t>
      </w:r>
      <w:r w:rsidRPr="00E27F35">
        <w:rPr>
          <w:rFonts w:ascii="Calibri" w:hAnsi="Calibri" w:cs="Calibri"/>
          <w:spacing w:val="-1"/>
          <w:w w:val="99"/>
          <w:position w:val="-1"/>
          <w:sz w:val="20"/>
          <w:szCs w:val="20"/>
          <w:lang w:val="en-US"/>
        </w:rPr>
        <w:t>i</w:t>
      </w:r>
      <w:r w:rsidRPr="00E27F35">
        <w:rPr>
          <w:rFonts w:ascii="Calibri" w:hAnsi="Calibri" w:cs="Calibri"/>
          <w:spacing w:val="1"/>
          <w:w w:val="99"/>
          <w:position w:val="-1"/>
          <w:sz w:val="20"/>
          <w:szCs w:val="20"/>
          <w:lang w:val="en-US"/>
        </w:rPr>
        <w:t>ss</w:t>
      </w:r>
      <w:r w:rsidRPr="00E27F35">
        <w:rPr>
          <w:rFonts w:ascii="Calibri" w:hAnsi="Calibri" w:cs="Calibri"/>
          <w:w w:val="99"/>
          <w:position w:val="-1"/>
          <w:sz w:val="20"/>
          <w:szCs w:val="20"/>
          <w:lang w:val="en-US"/>
        </w:rPr>
        <w:t>u</w:t>
      </w:r>
      <w:r w:rsidRPr="00E27F35">
        <w:rPr>
          <w:rFonts w:ascii="Calibri" w:hAnsi="Calibri" w:cs="Calibri"/>
          <w:spacing w:val="-1"/>
          <w:w w:val="99"/>
          <w:position w:val="-1"/>
          <w:sz w:val="20"/>
          <w:szCs w:val="20"/>
          <w:lang w:val="en-US"/>
        </w:rPr>
        <w:t>e</w:t>
      </w:r>
      <w:r w:rsidRPr="00E27F35">
        <w:rPr>
          <w:rFonts w:ascii="Calibri" w:hAnsi="Calibri" w:cs="Calibri"/>
          <w:w w:val="99"/>
          <w:position w:val="-1"/>
          <w:sz w:val="20"/>
          <w:szCs w:val="20"/>
          <w:lang w:val="en-US"/>
        </w:rPr>
        <w:t>d</w:t>
      </w:r>
      <w:r w:rsidRPr="00E27F35">
        <w:rPr>
          <w:rFonts w:ascii="Calibri" w:hAnsi="Calibri" w:cs="Calibri"/>
          <w:spacing w:val="1"/>
          <w:position w:val="-1"/>
          <w:sz w:val="20"/>
          <w:szCs w:val="20"/>
          <w:lang w:val="en-US"/>
        </w:rPr>
        <w:t xml:space="preserve"> </w:t>
      </w:r>
      <w:r w:rsidRPr="00E27F35">
        <w:rPr>
          <w:rFonts w:ascii="Calibri" w:hAnsi="Calibri" w:cs="Calibri"/>
          <w:spacing w:val="-1"/>
          <w:w w:val="99"/>
          <w:position w:val="-1"/>
          <w:sz w:val="20"/>
          <w:szCs w:val="20"/>
          <w:lang w:val="en-US"/>
        </w:rPr>
        <w:t>W</w:t>
      </w:r>
      <w:r w:rsidRPr="00E27F35">
        <w:rPr>
          <w:rFonts w:ascii="Calibri" w:hAnsi="Calibri" w:cs="Calibri"/>
          <w:w w:val="99"/>
          <w:position w:val="-1"/>
          <w:sz w:val="20"/>
          <w:szCs w:val="20"/>
          <w:lang w:val="en-US"/>
        </w:rPr>
        <w:t>B</w:t>
      </w:r>
      <w:r w:rsidRPr="00E27F35">
        <w:rPr>
          <w:rFonts w:ascii="Calibri" w:hAnsi="Calibri" w:cs="Calibri"/>
          <w:spacing w:val="1"/>
          <w:position w:val="-1"/>
          <w:sz w:val="20"/>
          <w:szCs w:val="20"/>
          <w:lang w:val="en-US"/>
        </w:rPr>
        <w:t xml:space="preserve"> </w:t>
      </w:r>
      <w:r w:rsidRPr="00E27F35">
        <w:rPr>
          <w:rFonts w:ascii="Calibri" w:hAnsi="Calibri" w:cs="Calibri"/>
          <w:spacing w:val="-1"/>
          <w:w w:val="99"/>
          <w:position w:val="-1"/>
          <w:sz w:val="20"/>
          <w:szCs w:val="20"/>
          <w:lang w:val="en-US"/>
        </w:rPr>
        <w:t>E</w:t>
      </w:r>
      <w:r w:rsidRPr="00E27F35">
        <w:rPr>
          <w:rFonts w:ascii="Calibri" w:hAnsi="Calibri" w:cs="Calibri"/>
          <w:spacing w:val="1"/>
          <w:w w:val="99"/>
          <w:position w:val="-1"/>
          <w:sz w:val="20"/>
          <w:szCs w:val="20"/>
          <w:lang w:val="en-US"/>
        </w:rPr>
        <w:t>&amp;</w:t>
      </w:r>
      <w:r w:rsidRPr="00E27F35">
        <w:rPr>
          <w:rFonts w:ascii="Calibri" w:hAnsi="Calibri" w:cs="Calibri"/>
          <w:w w:val="99"/>
          <w:position w:val="-1"/>
          <w:sz w:val="20"/>
          <w:szCs w:val="20"/>
          <w:lang w:val="en-US"/>
        </w:rPr>
        <w:t>S</w:t>
      </w:r>
      <w:r w:rsidRPr="00E27F35">
        <w:rPr>
          <w:rFonts w:ascii="Calibri" w:hAnsi="Calibri" w:cs="Calibri"/>
          <w:spacing w:val="1"/>
          <w:position w:val="-1"/>
          <w:sz w:val="20"/>
          <w:szCs w:val="20"/>
          <w:lang w:val="en-US"/>
        </w:rPr>
        <w:t xml:space="preserve"> </w:t>
      </w:r>
      <w:r w:rsidRPr="00E27F35">
        <w:rPr>
          <w:rFonts w:ascii="Calibri" w:hAnsi="Calibri" w:cs="Calibri"/>
          <w:spacing w:val="-1"/>
          <w:w w:val="99"/>
          <w:position w:val="-1"/>
          <w:sz w:val="20"/>
          <w:szCs w:val="20"/>
          <w:lang w:val="en-US"/>
        </w:rPr>
        <w:t>S</w:t>
      </w:r>
      <w:r w:rsidRPr="00E27F35">
        <w:rPr>
          <w:rFonts w:ascii="Calibri" w:hAnsi="Calibri" w:cs="Calibri"/>
          <w:w w:val="99"/>
          <w:position w:val="-1"/>
          <w:sz w:val="20"/>
          <w:szCs w:val="20"/>
          <w:lang w:val="en-US"/>
        </w:rPr>
        <w:t>p</w:t>
      </w:r>
      <w:r w:rsidRPr="00E27F35">
        <w:rPr>
          <w:rFonts w:ascii="Calibri" w:hAnsi="Calibri" w:cs="Calibri"/>
          <w:spacing w:val="-1"/>
          <w:w w:val="99"/>
          <w:position w:val="-1"/>
          <w:sz w:val="20"/>
          <w:szCs w:val="20"/>
          <w:lang w:val="en-US"/>
        </w:rPr>
        <w:t>e</w:t>
      </w:r>
      <w:r w:rsidRPr="00E27F35">
        <w:rPr>
          <w:rFonts w:ascii="Calibri" w:hAnsi="Calibri" w:cs="Calibri"/>
          <w:spacing w:val="3"/>
          <w:w w:val="99"/>
          <w:position w:val="-1"/>
          <w:sz w:val="20"/>
          <w:szCs w:val="20"/>
          <w:lang w:val="en-US"/>
        </w:rPr>
        <w:t>c</w:t>
      </w:r>
      <w:r w:rsidRPr="00E27F35">
        <w:rPr>
          <w:rFonts w:ascii="Calibri" w:hAnsi="Calibri" w:cs="Calibri"/>
          <w:spacing w:val="-1"/>
          <w:w w:val="99"/>
          <w:position w:val="-1"/>
          <w:sz w:val="20"/>
          <w:szCs w:val="20"/>
          <w:lang w:val="en-US"/>
        </w:rPr>
        <w:t>i</w:t>
      </w:r>
      <w:r w:rsidRPr="00E27F35">
        <w:rPr>
          <w:rFonts w:ascii="Calibri" w:hAnsi="Calibri" w:cs="Calibri"/>
          <w:spacing w:val="2"/>
          <w:w w:val="99"/>
          <w:position w:val="-1"/>
          <w:sz w:val="20"/>
          <w:szCs w:val="20"/>
          <w:lang w:val="en-US"/>
        </w:rPr>
        <w:t>a</w:t>
      </w:r>
      <w:r w:rsidRPr="00E27F35">
        <w:rPr>
          <w:rFonts w:ascii="Calibri" w:hAnsi="Calibri" w:cs="Calibri"/>
          <w:spacing w:val="-1"/>
          <w:w w:val="99"/>
          <w:position w:val="-1"/>
          <w:sz w:val="20"/>
          <w:szCs w:val="20"/>
          <w:lang w:val="en-US"/>
        </w:rPr>
        <w:t>li</w:t>
      </w:r>
      <w:r w:rsidRPr="00E27F35">
        <w:rPr>
          <w:rFonts w:ascii="Calibri" w:hAnsi="Calibri" w:cs="Calibri"/>
          <w:spacing w:val="6"/>
          <w:w w:val="99"/>
          <w:position w:val="-1"/>
          <w:sz w:val="20"/>
          <w:szCs w:val="20"/>
          <w:lang w:val="en-US"/>
        </w:rPr>
        <w:t>s</w:t>
      </w:r>
      <w:r w:rsidRPr="00E27F35">
        <w:rPr>
          <w:rFonts w:ascii="Calibri" w:hAnsi="Calibri" w:cs="Calibri"/>
          <w:w w:val="99"/>
          <w:position w:val="-1"/>
          <w:sz w:val="20"/>
          <w:szCs w:val="20"/>
          <w:lang w:val="en-US"/>
        </w:rPr>
        <w:t>t:</w:t>
      </w:r>
      <w:r w:rsidRPr="00E27F35">
        <w:rPr>
          <w:rFonts w:ascii="Calibri" w:hAnsi="Calibri" w:cs="Calibri"/>
          <w:spacing w:val="1"/>
          <w:position w:val="-1"/>
          <w:sz w:val="20"/>
          <w:szCs w:val="20"/>
          <w:lang w:val="en-US"/>
        </w:rPr>
        <w:t xml:space="preserve"> </w:t>
      </w:r>
      <w:r w:rsidRPr="00E27F35">
        <w:rPr>
          <w:rFonts w:ascii="Calibri" w:hAnsi="Calibri" w:cs="Calibri"/>
          <w:w w:val="99"/>
          <w:position w:val="-1"/>
          <w:sz w:val="20"/>
          <w:szCs w:val="20"/>
          <w:u w:val="single"/>
          <w:lang w:val="en-US"/>
        </w:rPr>
        <w:t xml:space="preserve"> </w:t>
      </w:r>
      <w:r w:rsidRPr="00E27F35">
        <w:rPr>
          <w:rFonts w:ascii="Calibri" w:hAnsi="Calibri" w:cs="Calibri"/>
          <w:position w:val="-1"/>
          <w:sz w:val="20"/>
          <w:szCs w:val="20"/>
          <w:u w:val="single"/>
          <w:lang w:val="en-US"/>
        </w:rPr>
        <w:tab/>
      </w:r>
    </w:p>
    <w:p w14:paraId="23F9D97C" w14:textId="77777777" w:rsidR="00E27F35" w:rsidRPr="00E27F35" w:rsidRDefault="00E27F35" w:rsidP="00E27F35">
      <w:pPr>
        <w:widowControl w:val="0"/>
        <w:suppressAutoHyphens w:val="0"/>
        <w:autoSpaceDE w:val="0"/>
        <w:adjustRightInd w:val="0"/>
        <w:spacing w:before="2" w:after="0" w:line="200" w:lineRule="exact"/>
        <w:textAlignment w:val="auto"/>
        <w:rPr>
          <w:rFonts w:ascii="Calibri" w:hAnsi="Calibri" w:cs="Calibri"/>
          <w:sz w:val="20"/>
          <w:szCs w:val="20"/>
          <w:lang w:val="en-US"/>
        </w:rPr>
      </w:pPr>
    </w:p>
    <w:p w14:paraId="431933DA" w14:textId="77777777" w:rsidR="00E27F35" w:rsidRPr="00E27F35" w:rsidRDefault="00E27F35" w:rsidP="00E27F35">
      <w:pPr>
        <w:widowControl w:val="0"/>
        <w:tabs>
          <w:tab w:val="left" w:pos="5480"/>
        </w:tabs>
        <w:suppressAutoHyphens w:val="0"/>
        <w:autoSpaceDE w:val="0"/>
        <w:adjustRightInd w:val="0"/>
        <w:spacing w:before="34" w:after="0" w:line="225" w:lineRule="exact"/>
        <w:ind w:right="-20"/>
        <w:textAlignment w:val="auto"/>
        <w:rPr>
          <w:rFonts w:ascii="Calibri" w:hAnsi="Calibri" w:cs="Calibri"/>
          <w:sz w:val="20"/>
          <w:szCs w:val="20"/>
          <w:lang w:val="en-US"/>
        </w:rPr>
      </w:pPr>
      <w:r w:rsidRPr="00E27F35">
        <w:rPr>
          <w:rFonts w:ascii="Calibri" w:hAnsi="Calibri" w:cs="Calibri"/>
          <w:spacing w:val="-1"/>
          <w:w w:val="99"/>
          <w:position w:val="-1"/>
          <w:sz w:val="20"/>
          <w:szCs w:val="20"/>
          <w:lang w:val="en-US"/>
        </w:rPr>
        <w:t>Si</w:t>
      </w:r>
      <w:r w:rsidRPr="00E27F35">
        <w:rPr>
          <w:rFonts w:ascii="Calibri" w:hAnsi="Calibri" w:cs="Calibri"/>
          <w:spacing w:val="2"/>
          <w:w w:val="99"/>
          <w:position w:val="-1"/>
          <w:sz w:val="20"/>
          <w:szCs w:val="20"/>
          <w:lang w:val="en-US"/>
        </w:rPr>
        <w:t>g</w:t>
      </w:r>
      <w:r w:rsidRPr="00E27F35">
        <w:rPr>
          <w:rFonts w:ascii="Calibri" w:hAnsi="Calibri" w:cs="Calibri"/>
          <w:w w:val="99"/>
          <w:position w:val="-1"/>
          <w:sz w:val="20"/>
          <w:szCs w:val="20"/>
          <w:lang w:val="en-US"/>
        </w:rPr>
        <w:t>n</w:t>
      </w:r>
      <w:r w:rsidRPr="00E27F35">
        <w:rPr>
          <w:rFonts w:ascii="Calibri" w:hAnsi="Calibri" w:cs="Calibri"/>
          <w:spacing w:val="-1"/>
          <w:w w:val="99"/>
          <w:position w:val="-1"/>
          <w:sz w:val="20"/>
          <w:szCs w:val="20"/>
          <w:lang w:val="en-US"/>
        </w:rPr>
        <w:t>a</w:t>
      </w:r>
      <w:r w:rsidRPr="00E27F35">
        <w:rPr>
          <w:rFonts w:ascii="Calibri" w:hAnsi="Calibri" w:cs="Calibri"/>
          <w:spacing w:val="2"/>
          <w:w w:val="99"/>
          <w:position w:val="-1"/>
          <w:sz w:val="20"/>
          <w:szCs w:val="20"/>
          <w:lang w:val="en-US"/>
        </w:rPr>
        <w:t>t</w:t>
      </w:r>
      <w:r w:rsidRPr="00E27F35">
        <w:rPr>
          <w:rFonts w:ascii="Calibri" w:hAnsi="Calibri" w:cs="Calibri"/>
          <w:w w:val="99"/>
          <w:position w:val="-1"/>
          <w:sz w:val="20"/>
          <w:szCs w:val="20"/>
          <w:lang w:val="en-US"/>
        </w:rPr>
        <w:t>ure</w:t>
      </w:r>
      <w:r w:rsidRPr="00E27F35">
        <w:rPr>
          <w:rFonts w:ascii="Calibri" w:hAnsi="Calibri" w:cs="Calibri"/>
          <w:position w:val="-1"/>
          <w:sz w:val="20"/>
          <w:szCs w:val="20"/>
          <w:lang w:val="en-US"/>
        </w:rPr>
        <w:t xml:space="preserve"> </w:t>
      </w:r>
      <w:r w:rsidRPr="00E27F35">
        <w:rPr>
          <w:rFonts w:ascii="Calibri" w:hAnsi="Calibri" w:cs="Calibri"/>
          <w:w w:val="99"/>
          <w:position w:val="-1"/>
          <w:sz w:val="20"/>
          <w:szCs w:val="20"/>
          <w:lang w:val="en-US"/>
        </w:rPr>
        <w:t>of</w:t>
      </w:r>
      <w:r w:rsidRPr="00E27F35">
        <w:rPr>
          <w:rFonts w:ascii="Calibri" w:hAnsi="Calibri" w:cs="Calibri"/>
          <w:spacing w:val="1"/>
          <w:position w:val="-1"/>
          <w:sz w:val="20"/>
          <w:szCs w:val="20"/>
          <w:lang w:val="en-US"/>
        </w:rPr>
        <w:t xml:space="preserve"> </w:t>
      </w:r>
      <w:r w:rsidRPr="00E27F35">
        <w:rPr>
          <w:rFonts w:ascii="Calibri" w:hAnsi="Calibri" w:cs="Calibri"/>
          <w:w w:val="99"/>
          <w:position w:val="-1"/>
          <w:sz w:val="20"/>
          <w:szCs w:val="20"/>
          <w:lang w:val="en-US"/>
        </w:rPr>
        <w:t>re</w:t>
      </w:r>
      <w:r w:rsidRPr="00E27F35">
        <w:rPr>
          <w:rFonts w:ascii="Calibri" w:hAnsi="Calibri" w:cs="Calibri"/>
          <w:spacing w:val="1"/>
          <w:w w:val="99"/>
          <w:position w:val="-1"/>
          <w:sz w:val="20"/>
          <w:szCs w:val="20"/>
          <w:lang w:val="en-US"/>
        </w:rPr>
        <w:t>s</w:t>
      </w:r>
      <w:r w:rsidRPr="00E27F35">
        <w:rPr>
          <w:rFonts w:ascii="Calibri" w:hAnsi="Calibri" w:cs="Calibri"/>
          <w:w w:val="99"/>
          <w:position w:val="-1"/>
          <w:sz w:val="20"/>
          <w:szCs w:val="20"/>
          <w:lang w:val="en-US"/>
        </w:rPr>
        <w:t>p</w:t>
      </w:r>
      <w:r w:rsidRPr="00E27F35">
        <w:rPr>
          <w:rFonts w:ascii="Calibri" w:hAnsi="Calibri" w:cs="Calibri"/>
          <w:spacing w:val="-1"/>
          <w:w w:val="99"/>
          <w:position w:val="-1"/>
          <w:sz w:val="20"/>
          <w:szCs w:val="20"/>
          <w:lang w:val="en-US"/>
        </w:rPr>
        <w:t>o</w:t>
      </w:r>
      <w:r w:rsidRPr="00E27F35">
        <w:rPr>
          <w:rFonts w:ascii="Calibri" w:hAnsi="Calibri" w:cs="Calibri"/>
          <w:w w:val="99"/>
          <w:position w:val="-1"/>
          <w:sz w:val="20"/>
          <w:szCs w:val="20"/>
          <w:lang w:val="en-US"/>
        </w:rPr>
        <w:t>n</w:t>
      </w:r>
      <w:r w:rsidRPr="00E27F35">
        <w:rPr>
          <w:rFonts w:ascii="Calibri" w:hAnsi="Calibri" w:cs="Calibri"/>
          <w:spacing w:val="3"/>
          <w:w w:val="99"/>
          <w:position w:val="-1"/>
          <w:sz w:val="20"/>
          <w:szCs w:val="20"/>
          <w:lang w:val="en-US"/>
        </w:rPr>
        <w:t>s</w:t>
      </w:r>
      <w:r w:rsidRPr="00E27F35">
        <w:rPr>
          <w:rFonts w:ascii="Calibri" w:hAnsi="Calibri" w:cs="Calibri"/>
          <w:spacing w:val="-1"/>
          <w:w w:val="99"/>
          <w:position w:val="-1"/>
          <w:sz w:val="20"/>
          <w:szCs w:val="20"/>
          <w:lang w:val="en-US"/>
        </w:rPr>
        <w:t>i</w:t>
      </w:r>
      <w:r w:rsidRPr="00E27F35">
        <w:rPr>
          <w:rFonts w:ascii="Calibri" w:hAnsi="Calibri" w:cs="Calibri"/>
          <w:w w:val="99"/>
          <w:position w:val="-1"/>
          <w:sz w:val="20"/>
          <w:szCs w:val="20"/>
          <w:lang w:val="en-US"/>
        </w:rPr>
        <w:t>b</w:t>
      </w:r>
      <w:r w:rsidRPr="00E27F35">
        <w:rPr>
          <w:rFonts w:ascii="Calibri" w:hAnsi="Calibri" w:cs="Calibri"/>
          <w:spacing w:val="1"/>
          <w:w w:val="99"/>
          <w:position w:val="-1"/>
          <w:sz w:val="20"/>
          <w:szCs w:val="20"/>
          <w:lang w:val="en-US"/>
        </w:rPr>
        <w:t>l</w:t>
      </w:r>
      <w:r w:rsidRPr="00E27F35">
        <w:rPr>
          <w:rFonts w:ascii="Calibri" w:hAnsi="Calibri" w:cs="Calibri"/>
          <w:w w:val="99"/>
          <w:position w:val="-1"/>
          <w:sz w:val="20"/>
          <w:szCs w:val="20"/>
          <w:lang w:val="en-US"/>
        </w:rPr>
        <w:t>e</w:t>
      </w:r>
      <w:r w:rsidRPr="00E27F35">
        <w:rPr>
          <w:rFonts w:ascii="Calibri" w:hAnsi="Calibri" w:cs="Calibri"/>
          <w:position w:val="-1"/>
          <w:sz w:val="20"/>
          <w:szCs w:val="20"/>
          <w:lang w:val="en-US"/>
        </w:rPr>
        <w:t xml:space="preserve"> </w:t>
      </w:r>
      <w:r w:rsidRPr="00E27F35">
        <w:rPr>
          <w:rFonts w:ascii="Calibri" w:hAnsi="Calibri" w:cs="Calibri"/>
          <w:spacing w:val="1"/>
          <w:w w:val="99"/>
          <w:position w:val="-1"/>
          <w:sz w:val="20"/>
          <w:szCs w:val="20"/>
          <w:lang w:val="en-US"/>
        </w:rPr>
        <w:t>p</w:t>
      </w:r>
      <w:r w:rsidRPr="00E27F35">
        <w:rPr>
          <w:rFonts w:ascii="Calibri" w:hAnsi="Calibri" w:cs="Calibri"/>
          <w:spacing w:val="2"/>
          <w:w w:val="99"/>
          <w:position w:val="-1"/>
          <w:sz w:val="20"/>
          <w:szCs w:val="20"/>
          <w:lang w:val="en-US"/>
        </w:rPr>
        <w:t>e</w:t>
      </w:r>
      <w:r w:rsidRPr="00E27F35">
        <w:rPr>
          <w:rFonts w:ascii="Calibri" w:hAnsi="Calibri" w:cs="Calibri"/>
          <w:spacing w:val="1"/>
          <w:w w:val="99"/>
          <w:position w:val="-1"/>
          <w:sz w:val="20"/>
          <w:szCs w:val="20"/>
          <w:lang w:val="en-US"/>
        </w:rPr>
        <w:t>rs</w:t>
      </w:r>
      <w:r w:rsidRPr="00E27F35">
        <w:rPr>
          <w:rFonts w:ascii="Calibri" w:hAnsi="Calibri" w:cs="Calibri"/>
          <w:w w:val="99"/>
          <w:position w:val="-1"/>
          <w:sz w:val="20"/>
          <w:szCs w:val="20"/>
          <w:lang w:val="en-US"/>
        </w:rPr>
        <w:t>o</w:t>
      </w:r>
      <w:r w:rsidRPr="00E27F35">
        <w:rPr>
          <w:rFonts w:ascii="Calibri" w:hAnsi="Calibri" w:cs="Calibri"/>
          <w:spacing w:val="2"/>
          <w:w w:val="99"/>
          <w:position w:val="-1"/>
          <w:sz w:val="20"/>
          <w:szCs w:val="20"/>
          <w:lang w:val="en-US"/>
        </w:rPr>
        <w:t>n</w:t>
      </w:r>
      <w:r w:rsidRPr="00E27F35">
        <w:rPr>
          <w:rFonts w:ascii="Calibri" w:hAnsi="Calibri" w:cs="Calibri"/>
          <w:w w:val="99"/>
          <w:position w:val="-1"/>
          <w:sz w:val="20"/>
          <w:szCs w:val="20"/>
          <w:lang w:val="en-US"/>
        </w:rPr>
        <w:t>:</w:t>
      </w:r>
      <w:r w:rsidRPr="00E27F35">
        <w:rPr>
          <w:rFonts w:ascii="Calibri" w:hAnsi="Calibri" w:cs="Calibri"/>
          <w:position w:val="-1"/>
          <w:sz w:val="20"/>
          <w:szCs w:val="20"/>
          <w:lang w:val="en-US"/>
        </w:rPr>
        <w:t xml:space="preserve"> </w:t>
      </w:r>
      <w:r w:rsidRPr="00E27F35">
        <w:rPr>
          <w:rFonts w:ascii="Calibri" w:hAnsi="Calibri" w:cs="Calibri"/>
          <w:w w:val="99"/>
          <w:position w:val="-1"/>
          <w:sz w:val="20"/>
          <w:szCs w:val="20"/>
          <w:u w:val="single"/>
          <w:lang w:val="en-US"/>
        </w:rPr>
        <w:t xml:space="preserve"> </w:t>
      </w:r>
      <w:r w:rsidRPr="00E27F35">
        <w:rPr>
          <w:rFonts w:ascii="Calibri" w:hAnsi="Calibri" w:cs="Calibri"/>
          <w:position w:val="-1"/>
          <w:sz w:val="20"/>
          <w:szCs w:val="20"/>
          <w:u w:val="single"/>
          <w:lang w:val="en-US"/>
        </w:rPr>
        <w:tab/>
      </w:r>
    </w:p>
    <w:p w14:paraId="38E708D0" w14:textId="77777777" w:rsidR="00E27F35" w:rsidRPr="00E27F35" w:rsidRDefault="00E27F35" w:rsidP="00E27F35">
      <w:pPr>
        <w:widowControl w:val="0"/>
        <w:tabs>
          <w:tab w:val="left" w:pos="3080"/>
        </w:tabs>
        <w:suppressAutoHyphens w:val="0"/>
        <w:autoSpaceDE w:val="0"/>
        <w:adjustRightInd w:val="0"/>
        <w:spacing w:before="34" w:after="0" w:line="240" w:lineRule="auto"/>
        <w:ind w:right="-20"/>
        <w:textAlignment w:val="auto"/>
        <w:rPr>
          <w:rFonts w:ascii="Calibri" w:hAnsi="Calibri" w:cs="Calibri"/>
          <w:w w:val="99"/>
          <w:sz w:val="20"/>
          <w:szCs w:val="20"/>
          <w:lang w:val="en-US"/>
        </w:rPr>
      </w:pPr>
    </w:p>
    <w:p w14:paraId="1249EC81" w14:textId="77777777" w:rsidR="00E27F35" w:rsidRPr="00E27F35" w:rsidRDefault="00E27F35" w:rsidP="009F23D8">
      <w:pPr>
        <w:widowControl w:val="0"/>
        <w:tabs>
          <w:tab w:val="left" w:pos="3080"/>
        </w:tabs>
        <w:suppressAutoHyphens w:val="0"/>
        <w:autoSpaceDE w:val="0"/>
        <w:adjustRightInd w:val="0"/>
        <w:spacing w:before="34" w:after="0" w:line="240" w:lineRule="auto"/>
        <w:ind w:right="-20"/>
        <w:textAlignment w:val="auto"/>
        <w:rPr>
          <w:rFonts w:ascii="Calibri" w:eastAsia="Times New Roman" w:hAnsi="Calibri" w:cs="Calibri"/>
          <w:b/>
          <w:sz w:val="20"/>
          <w:szCs w:val="20"/>
          <w:lang w:val="en-US"/>
        </w:rPr>
      </w:pPr>
      <w:r w:rsidRPr="00E27F35">
        <w:rPr>
          <w:rFonts w:ascii="Calibri" w:hAnsi="Calibri" w:cs="Calibri"/>
          <w:w w:val="99"/>
          <w:sz w:val="20"/>
          <w:szCs w:val="20"/>
          <w:lang w:val="en-US"/>
        </w:rPr>
        <w:t>Dat</w:t>
      </w:r>
      <w:r w:rsidRPr="00E27F35">
        <w:rPr>
          <w:rFonts w:ascii="Calibri" w:hAnsi="Calibri" w:cs="Calibri"/>
          <w:spacing w:val="-1"/>
          <w:w w:val="99"/>
          <w:sz w:val="20"/>
          <w:szCs w:val="20"/>
          <w:lang w:val="en-US"/>
        </w:rPr>
        <w:t>e</w:t>
      </w:r>
      <w:r w:rsidRPr="00E27F35">
        <w:rPr>
          <w:rFonts w:ascii="Calibri" w:hAnsi="Calibri" w:cs="Calibri"/>
          <w:w w:val="99"/>
          <w:sz w:val="20"/>
          <w:szCs w:val="20"/>
          <w:lang w:val="en-US"/>
        </w:rPr>
        <w:t>:</w:t>
      </w:r>
      <w:r w:rsidRPr="00E27F35">
        <w:rPr>
          <w:rFonts w:ascii="Calibri" w:hAnsi="Calibri" w:cs="Calibri"/>
          <w:spacing w:val="2"/>
          <w:sz w:val="20"/>
          <w:szCs w:val="20"/>
          <w:lang w:val="en-US"/>
        </w:rPr>
        <w:t xml:space="preserve"> </w:t>
      </w:r>
      <w:r w:rsidRPr="00E27F35">
        <w:rPr>
          <w:rFonts w:ascii="Calibri" w:hAnsi="Calibri" w:cs="Calibri"/>
          <w:w w:val="99"/>
          <w:sz w:val="20"/>
          <w:szCs w:val="20"/>
          <w:u w:val="single"/>
          <w:lang w:val="en-US"/>
        </w:rPr>
        <w:t xml:space="preserve"> </w:t>
      </w:r>
      <w:r w:rsidRPr="00E27F35">
        <w:rPr>
          <w:rFonts w:ascii="Calibri" w:hAnsi="Calibri" w:cs="Calibri"/>
          <w:sz w:val="20"/>
          <w:szCs w:val="20"/>
          <w:u w:val="single"/>
          <w:lang w:val="en-US"/>
        </w:rPr>
        <w:tab/>
      </w:r>
    </w:p>
    <w:p w14:paraId="490E4302" w14:textId="77777777" w:rsidR="00E27F35" w:rsidRDefault="00E27F35" w:rsidP="00EC1E07">
      <w:pPr>
        <w:rPr>
          <w:lang w:val="en-US"/>
        </w:rPr>
        <w:sectPr w:rsidR="00E27F35" w:rsidSect="00D333F6">
          <w:pgSz w:w="11906" w:h="16838"/>
          <w:pgMar w:top="1440" w:right="1440" w:bottom="1440" w:left="1440" w:header="720" w:footer="720" w:gutter="0"/>
          <w:cols w:space="720"/>
          <w:docGrid w:linePitch="299"/>
        </w:sectPr>
      </w:pPr>
    </w:p>
    <w:p w14:paraId="6C61A0DD" w14:textId="47E63C3F" w:rsidR="007E1E7D" w:rsidRPr="00AB7D1E" w:rsidRDefault="007D4FEA" w:rsidP="007D4FEA">
      <w:pPr>
        <w:pStyle w:val="Heading1"/>
        <w:numPr>
          <w:ilvl w:val="0"/>
          <w:numId w:val="0"/>
        </w:numPr>
        <w:ind w:left="432" w:hanging="432"/>
        <w:rPr>
          <w:lang w:val="en-US"/>
        </w:rPr>
      </w:pPr>
      <w:bookmarkStart w:id="260" w:name="_Ref56949676"/>
      <w:bookmarkStart w:id="261" w:name="_Ref51775844"/>
      <w:bookmarkStart w:id="262" w:name="_Ref51776359"/>
      <w:bookmarkStart w:id="263" w:name="_Ref51776487"/>
      <w:bookmarkStart w:id="264" w:name="_Ref51776640"/>
      <w:bookmarkStart w:id="265" w:name="_Toc56952327"/>
      <w:bookmarkStart w:id="266" w:name="_Toc56954092"/>
      <w:bookmarkStart w:id="267" w:name="_Hlk51756373"/>
      <w:r>
        <w:lastRenderedPageBreak/>
        <w:t xml:space="preserve">ANNEX </w:t>
      </w:r>
      <w:fldSimple w:instr=" SEQ ANNEX \* ROMAN ">
        <w:r w:rsidR="007D1E1B">
          <w:rPr>
            <w:noProof/>
          </w:rPr>
          <w:t>IX</w:t>
        </w:r>
      </w:fldSimple>
      <w:bookmarkEnd w:id="260"/>
      <w:r>
        <w:t xml:space="preserve"> </w:t>
      </w:r>
      <w:r w:rsidR="00217C5B" w:rsidRPr="00AB7D1E">
        <w:rPr>
          <w:lang w:val="en-US"/>
        </w:rPr>
        <w:t xml:space="preserve">- </w:t>
      </w:r>
      <w:r w:rsidR="007E1E7D" w:rsidRPr="00AB7D1E">
        <w:rPr>
          <w:lang w:val="en-US"/>
        </w:rPr>
        <w:t xml:space="preserve">ESMP </w:t>
      </w:r>
      <w:r w:rsidR="008F32A6" w:rsidRPr="00AB7D1E">
        <w:rPr>
          <w:lang w:val="en-US"/>
        </w:rPr>
        <w:t>CHECK LIST</w:t>
      </w:r>
      <w:bookmarkEnd w:id="222"/>
      <w:bookmarkEnd w:id="223"/>
      <w:bookmarkEnd w:id="224"/>
      <w:bookmarkEnd w:id="225"/>
      <w:r w:rsidR="008F32A6" w:rsidRPr="00AB7D1E">
        <w:rPr>
          <w:lang w:val="en-US"/>
        </w:rPr>
        <w:t xml:space="preserve"> TEMPLATE</w:t>
      </w:r>
      <w:bookmarkEnd w:id="254"/>
      <w:bookmarkEnd w:id="255"/>
      <w:bookmarkEnd w:id="256"/>
      <w:bookmarkEnd w:id="261"/>
      <w:bookmarkEnd w:id="262"/>
      <w:bookmarkEnd w:id="263"/>
      <w:bookmarkEnd w:id="264"/>
      <w:bookmarkEnd w:id="265"/>
      <w:bookmarkEnd w:id="266"/>
    </w:p>
    <w:bookmarkEnd w:id="267"/>
    <w:p w14:paraId="5AA05320" w14:textId="2BCEADF2" w:rsidR="00223D3C" w:rsidRPr="00AB7D1E" w:rsidRDefault="00492DF4" w:rsidP="00223D3C">
      <w:pPr>
        <w:rPr>
          <w:lang w:val="en-US"/>
        </w:rPr>
      </w:pPr>
      <w:r w:rsidRPr="00AB7D1E">
        <w:rPr>
          <w:lang w:val="en-US"/>
        </w:rPr>
        <w:t>The ESMP Checklist</w:t>
      </w:r>
      <w:r w:rsidR="00223D3C" w:rsidRPr="00AB7D1E">
        <w:rPr>
          <w:lang w:val="en-US"/>
        </w:rPr>
        <w:t xml:space="preserve"> provides “pragmatic good practice” and it is designed to be user friendly and compatible with WB safeguard requirements. The checklist-type format attempts to cover typical mitigation approaches to common civil works contracts with localized impacts.</w:t>
      </w:r>
    </w:p>
    <w:p w14:paraId="32F3DD34" w14:textId="7597F8DA" w:rsidR="00492DF4" w:rsidRPr="00AB7D1E" w:rsidRDefault="00492DF4" w:rsidP="00223D3C">
      <w:pPr>
        <w:rPr>
          <w:lang w:val="en-US"/>
        </w:rPr>
      </w:pPr>
      <w:r w:rsidRPr="00AB7D1E">
        <w:rPr>
          <w:lang w:val="en-US"/>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5659B5C4" w14:textId="77777777" w:rsidR="00492DF4" w:rsidRPr="00AB7D1E" w:rsidRDefault="00492DF4" w:rsidP="00223D3C">
      <w:pPr>
        <w:rPr>
          <w:lang w:val="en-US"/>
        </w:rPr>
      </w:pPr>
      <w:r w:rsidRPr="00AB7D1E">
        <w:rPr>
          <w:lang w:val="en-US"/>
        </w:rPr>
        <w:t xml:space="preserve">ESMP Checklist is a document prepared and owned by beneficiary. </w:t>
      </w:r>
    </w:p>
    <w:p w14:paraId="53A1E3EA" w14:textId="36EDA82E" w:rsidR="00223D3C" w:rsidRPr="00AB7D1E" w:rsidRDefault="00223D3C" w:rsidP="00223D3C">
      <w:pPr>
        <w:rPr>
          <w:lang w:val="en-US"/>
        </w:rPr>
      </w:pPr>
      <w:r w:rsidRPr="00AB7D1E">
        <w:rPr>
          <w:lang w:val="en-US"/>
        </w:rPr>
        <w:t>The checklist has one</w:t>
      </w:r>
      <w:r w:rsidR="00C96796" w:rsidRPr="00AB7D1E">
        <w:rPr>
          <w:lang w:val="en-US"/>
        </w:rPr>
        <w:t xml:space="preserve"> (1)</w:t>
      </w:r>
      <w:r w:rsidRPr="00AB7D1E">
        <w:rPr>
          <w:lang w:val="en-US"/>
        </w:rPr>
        <w:t xml:space="preserve"> introduction section and three</w:t>
      </w:r>
      <w:r w:rsidR="00C96796" w:rsidRPr="00AB7D1E">
        <w:rPr>
          <w:lang w:val="en-US"/>
        </w:rPr>
        <w:t xml:space="preserve"> (3)</w:t>
      </w:r>
      <w:r w:rsidRPr="00AB7D1E">
        <w:rPr>
          <w:lang w:val="en-US"/>
        </w:rPr>
        <w:t xml:space="preserve"> main parts: </w:t>
      </w:r>
    </w:p>
    <w:p w14:paraId="6ED6F239" w14:textId="77777777" w:rsidR="00187891" w:rsidRPr="00AB7D1E" w:rsidRDefault="00223D3C" w:rsidP="00223D3C">
      <w:pPr>
        <w:rPr>
          <w:lang w:val="en-US"/>
        </w:rPr>
      </w:pPr>
      <w:r w:rsidRPr="00AB7D1E">
        <w:rPr>
          <w:b/>
          <w:bCs/>
          <w:lang w:val="en-US"/>
        </w:rPr>
        <w:t>Introduction</w:t>
      </w:r>
      <w:r w:rsidRPr="00AB7D1E">
        <w:rPr>
          <w:lang w:val="en-US"/>
        </w:rPr>
        <w:t xml:space="preserve"> or foreword part </w:t>
      </w:r>
      <w:r w:rsidR="00187891" w:rsidRPr="00AB7D1E">
        <w:rPr>
          <w:lang w:val="en-US"/>
        </w:rPr>
        <w:t>consisted of following sections:</w:t>
      </w:r>
    </w:p>
    <w:p w14:paraId="0FE8E119" w14:textId="77777777" w:rsidR="00187891" w:rsidRPr="00AB7D1E" w:rsidRDefault="00187891" w:rsidP="00BE60A0">
      <w:pPr>
        <w:pStyle w:val="ListParagraph"/>
        <w:numPr>
          <w:ilvl w:val="0"/>
          <w:numId w:val="46"/>
        </w:numPr>
        <w:rPr>
          <w:lang w:val="en-US"/>
        </w:rPr>
      </w:pPr>
      <w:r w:rsidRPr="00AB7D1E">
        <w:rPr>
          <w:i/>
          <w:iCs/>
          <w:lang w:val="en-US"/>
        </w:rPr>
        <w:t>Introduction</w:t>
      </w:r>
      <w:r w:rsidRPr="00AB7D1E">
        <w:rPr>
          <w:lang w:val="en-US"/>
        </w:rPr>
        <w:t xml:space="preserve"> (sub-project description), </w:t>
      </w:r>
    </w:p>
    <w:p w14:paraId="2ABB611B" w14:textId="5A00E2B4" w:rsidR="00187891" w:rsidRPr="00AB7D1E" w:rsidRDefault="00187891" w:rsidP="00BE60A0">
      <w:pPr>
        <w:pStyle w:val="ListParagraph"/>
        <w:numPr>
          <w:ilvl w:val="0"/>
          <w:numId w:val="46"/>
        </w:numPr>
        <w:rPr>
          <w:lang w:val="en-US"/>
        </w:rPr>
      </w:pPr>
      <w:r w:rsidRPr="00AB7D1E">
        <w:rPr>
          <w:i/>
          <w:iCs/>
          <w:lang w:val="en-US"/>
        </w:rPr>
        <w:t xml:space="preserve">Environmental and </w:t>
      </w:r>
      <w:bookmarkStart w:id="268" w:name="_Hlk48069616"/>
      <w:r w:rsidRPr="00AB7D1E">
        <w:rPr>
          <w:i/>
          <w:iCs/>
          <w:lang w:val="en-US"/>
        </w:rPr>
        <w:t>social category</w:t>
      </w:r>
      <w:r w:rsidRPr="00AB7D1E">
        <w:rPr>
          <w:lang w:val="en-US"/>
        </w:rPr>
        <w:t xml:space="preserve"> </w:t>
      </w:r>
      <w:bookmarkEnd w:id="268"/>
      <w:r w:rsidRPr="00AB7D1E">
        <w:rPr>
          <w:lang w:val="en-US"/>
        </w:rPr>
        <w:t>(</w:t>
      </w:r>
      <w:r w:rsidR="00223D3C" w:rsidRPr="00AB7D1E">
        <w:rPr>
          <w:lang w:val="en-US"/>
        </w:rPr>
        <w:t xml:space="preserve">environmental </w:t>
      </w:r>
      <w:r w:rsidRPr="00AB7D1E">
        <w:rPr>
          <w:lang w:val="en-US"/>
        </w:rPr>
        <w:t>and social category is</w:t>
      </w:r>
      <w:r w:rsidR="00B538F4" w:rsidRPr="00AB7D1E">
        <w:rPr>
          <w:lang w:val="en-US"/>
        </w:rPr>
        <w:t xml:space="preserve"> </w:t>
      </w:r>
      <w:r w:rsidR="00223D3C" w:rsidRPr="00AB7D1E">
        <w:rPr>
          <w:lang w:val="en-US"/>
        </w:rPr>
        <w:t>defined</w:t>
      </w:r>
      <w:r w:rsidRPr="00AB7D1E">
        <w:rPr>
          <w:lang w:val="en-US"/>
        </w:rPr>
        <w:t>)</w:t>
      </w:r>
      <w:r w:rsidR="00223D3C" w:rsidRPr="00AB7D1E">
        <w:rPr>
          <w:lang w:val="en-US"/>
        </w:rPr>
        <w:t xml:space="preserve">, </w:t>
      </w:r>
    </w:p>
    <w:p w14:paraId="35258A6D" w14:textId="302BC6C6" w:rsidR="00187891" w:rsidRPr="00AB7D1E" w:rsidRDefault="00187891" w:rsidP="00BE60A0">
      <w:pPr>
        <w:pStyle w:val="ListParagraph"/>
        <w:numPr>
          <w:ilvl w:val="0"/>
          <w:numId w:val="46"/>
        </w:numPr>
        <w:rPr>
          <w:lang w:val="en-US"/>
        </w:rPr>
      </w:pPr>
      <w:r w:rsidRPr="00AB7D1E">
        <w:rPr>
          <w:i/>
          <w:iCs/>
          <w:lang w:val="en-US"/>
        </w:rPr>
        <w:t xml:space="preserve">Potential environmental and social impacts </w:t>
      </w:r>
      <w:r w:rsidRPr="00AB7D1E">
        <w:rPr>
          <w:lang w:val="en-US"/>
        </w:rPr>
        <w:t>(potential impacts are defined)</w:t>
      </w:r>
    </w:p>
    <w:p w14:paraId="06E7738B" w14:textId="77777777" w:rsidR="00187891" w:rsidRPr="00AB7D1E" w:rsidRDefault="00187891" w:rsidP="00BE60A0">
      <w:pPr>
        <w:pStyle w:val="ListParagraph"/>
        <w:numPr>
          <w:ilvl w:val="0"/>
          <w:numId w:val="46"/>
        </w:numPr>
        <w:rPr>
          <w:lang w:val="en-US"/>
        </w:rPr>
      </w:pPr>
      <w:r w:rsidRPr="00AB7D1E">
        <w:rPr>
          <w:lang w:val="en-US"/>
        </w:rPr>
        <w:t xml:space="preserve"> </w:t>
      </w:r>
      <w:r w:rsidR="00223D3C" w:rsidRPr="00AB7D1E">
        <w:rPr>
          <w:i/>
          <w:iCs/>
          <w:lang w:val="en-US"/>
        </w:rPr>
        <w:t>ESMP Checklist</w:t>
      </w:r>
      <w:r w:rsidR="00223D3C" w:rsidRPr="00AB7D1E">
        <w:rPr>
          <w:lang w:val="en-US"/>
        </w:rPr>
        <w:t xml:space="preserve"> </w:t>
      </w:r>
      <w:r w:rsidRPr="00AB7D1E">
        <w:rPr>
          <w:lang w:val="en-US"/>
        </w:rPr>
        <w:t>(</w:t>
      </w:r>
      <w:r w:rsidR="00223D3C" w:rsidRPr="00AB7D1E">
        <w:rPr>
          <w:lang w:val="en-US"/>
        </w:rPr>
        <w:t xml:space="preserve">concept </w:t>
      </w:r>
      <w:r w:rsidRPr="00AB7D1E">
        <w:rPr>
          <w:lang w:val="en-US"/>
        </w:rPr>
        <w:t xml:space="preserve">and application of Checklist are </w:t>
      </w:r>
      <w:r w:rsidR="00223D3C" w:rsidRPr="00AB7D1E">
        <w:rPr>
          <w:lang w:val="en-US"/>
        </w:rPr>
        <w:t>explained</w:t>
      </w:r>
      <w:r w:rsidRPr="00AB7D1E">
        <w:rPr>
          <w:lang w:val="en-US"/>
        </w:rPr>
        <w:t>),</w:t>
      </w:r>
    </w:p>
    <w:p w14:paraId="04B17A6D" w14:textId="6BA5CABD" w:rsidR="00223D3C" w:rsidRPr="00AB7D1E" w:rsidRDefault="00187891" w:rsidP="00BE60A0">
      <w:pPr>
        <w:pStyle w:val="ListParagraph"/>
        <w:numPr>
          <w:ilvl w:val="0"/>
          <w:numId w:val="46"/>
        </w:numPr>
        <w:rPr>
          <w:lang w:val="en-US"/>
        </w:rPr>
      </w:pPr>
      <w:r w:rsidRPr="00AB7D1E">
        <w:rPr>
          <w:i/>
          <w:iCs/>
          <w:lang w:val="en-US"/>
        </w:rPr>
        <w:t>Monitoring and reporting</w:t>
      </w:r>
      <w:r w:rsidRPr="00AB7D1E">
        <w:rPr>
          <w:lang w:val="en-US"/>
        </w:rPr>
        <w:t xml:space="preserve"> (</w:t>
      </w:r>
      <w:r w:rsidR="00877B9A" w:rsidRPr="00AB7D1E">
        <w:rPr>
          <w:lang w:val="en-US"/>
        </w:rPr>
        <w:t>brief description of the monitoring and reporting process including responsibilities of involved stakeholders)</w:t>
      </w:r>
    </w:p>
    <w:p w14:paraId="27B26916" w14:textId="0165ADC4" w:rsidR="00223D3C" w:rsidRPr="00AB7D1E" w:rsidRDefault="00223D3C" w:rsidP="00B40EE2">
      <w:pPr>
        <w:rPr>
          <w:lang w:val="en-US"/>
        </w:rPr>
      </w:pPr>
      <w:r w:rsidRPr="00AB7D1E">
        <w:rPr>
          <w:b/>
          <w:bCs/>
          <w:lang w:val="en-US"/>
        </w:rPr>
        <w:t>Part 1</w:t>
      </w:r>
      <w:r w:rsidR="00B40EE2" w:rsidRPr="00AB7D1E">
        <w:rPr>
          <w:lang w:val="en-US"/>
        </w:rPr>
        <w:t xml:space="preserve"> - </w:t>
      </w:r>
      <w:r w:rsidRPr="00AB7D1E">
        <w:rPr>
          <w:lang w:val="en-US"/>
        </w:rPr>
        <w:t xml:space="preserve"> constitutes a descriptive part (“site-passport”) that describes the project specifics in terms of physical location, the institutional and legislative aspects, the project description, inclusive of the need for a capacity building program and description of the public consultation process. </w:t>
      </w:r>
    </w:p>
    <w:p w14:paraId="02764165" w14:textId="18DE24F8" w:rsidR="00223D3C" w:rsidRPr="00AB7D1E" w:rsidRDefault="00223D3C" w:rsidP="00B40EE2">
      <w:pPr>
        <w:rPr>
          <w:lang w:val="en-US"/>
        </w:rPr>
      </w:pPr>
      <w:r w:rsidRPr="00AB7D1E">
        <w:rPr>
          <w:b/>
          <w:bCs/>
          <w:lang w:val="en-US"/>
        </w:rPr>
        <w:t>Part 2</w:t>
      </w:r>
      <w:r w:rsidR="00B40EE2" w:rsidRPr="00AB7D1E">
        <w:rPr>
          <w:lang w:val="en-US"/>
        </w:rPr>
        <w:t xml:space="preserve"> - </w:t>
      </w:r>
      <w:r w:rsidRPr="00AB7D1E">
        <w:rPr>
          <w:lang w:val="en-US"/>
        </w:rPr>
        <w:t xml:space="preserve">includes the environmental and social screening in a simple Yes/No format followed by mitigation measures for any given activity. </w:t>
      </w:r>
    </w:p>
    <w:p w14:paraId="30254BCA" w14:textId="3AC7CDB3" w:rsidR="004C628A" w:rsidRPr="00AB7D1E" w:rsidRDefault="00223D3C" w:rsidP="00B40EE2">
      <w:pPr>
        <w:rPr>
          <w:lang w:val="en-US"/>
        </w:rPr>
      </w:pPr>
      <w:r w:rsidRPr="00AB7D1E">
        <w:rPr>
          <w:b/>
          <w:bCs/>
          <w:lang w:val="en-US"/>
        </w:rPr>
        <w:t>Part 3</w:t>
      </w:r>
      <w:r w:rsidR="00B40EE2" w:rsidRPr="00AB7D1E">
        <w:rPr>
          <w:b/>
          <w:bCs/>
          <w:lang w:val="en-US"/>
        </w:rPr>
        <w:t xml:space="preserve"> - </w:t>
      </w:r>
      <w:r w:rsidRPr="00AB7D1E">
        <w:rPr>
          <w:lang w:val="en-US"/>
        </w:rPr>
        <w:t xml:space="preserve">is a monitoring plan for activities during project construction and implementation. It retains the same format required for standard World Bank ESMPs. </w:t>
      </w:r>
    </w:p>
    <w:p w14:paraId="6DE03DE8" w14:textId="35E5B376" w:rsidR="00636113" w:rsidRPr="00AB7D1E" w:rsidRDefault="00636113" w:rsidP="007D1E1B">
      <w:pPr>
        <w:pStyle w:val="Style1"/>
      </w:pPr>
      <w:bookmarkStart w:id="269" w:name="_Toc56952725"/>
      <w:bookmarkEnd w:id="226"/>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25</w:t>
      </w:r>
      <w:r w:rsidR="00DF4A34" w:rsidRPr="00AB7D1E">
        <w:fldChar w:fldCharType="end"/>
      </w:r>
      <w:r w:rsidRPr="00AB7D1E">
        <w:t xml:space="preserve">. </w:t>
      </w:r>
      <w:r w:rsidR="001C17B2" w:rsidRPr="00AB7D1E">
        <w:t xml:space="preserve">Part I - </w:t>
      </w:r>
      <w:r w:rsidRPr="00AB7D1E">
        <w:t>General project and site information</w:t>
      </w:r>
      <w:bookmarkEnd w:id="26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2"/>
        <w:gridCol w:w="2094"/>
        <w:gridCol w:w="1753"/>
        <w:gridCol w:w="1565"/>
        <w:gridCol w:w="1501"/>
      </w:tblGrid>
      <w:tr w:rsidR="008F32A6" w:rsidRPr="00AB7D1E" w14:paraId="22118D7F" w14:textId="77777777" w:rsidTr="008F32A6">
        <w:tc>
          <w:tcPr>
            <w:tcW w:w="9067" w:type="dxa"/>
            <w:gridSpan w:val="6"/>
            <w:tcBorders>
              <w:top w:val="single" w:sz="4" w:space="0" w:color="auto"/>
              <w:bottom w:val="dotted" w:sz="4" w:space="0" w:color="auto"/>
            </w:tcBorders>
            <w:shd w:val="clear" w:color="auto" w:fill="CEDBE6" w:themeFill="background2"/>
          </w:tcPr>
          <w:p w14:paraId="5AC3BC09"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caps/>
                <w:sz w:val="20"/>
                <w:szCs w:val="20"/>
                <w:lang w:val="en-US"/>
              </w:rPr>
              <w:t>IN</w:t>
            </w:r>
            <w:r w:rsidRPr="00AB7D1E">
              <w:rPr>
                <w:rFonts w:eastAsia="Times New Roman" w:cstheme="minorHAnsi"/>
                <w:b/>
                <w:sz w:val="20"/>
                <w:szCs w:val="20"/>
                <w:lang w:val="en-US"/>
              </w:rPr>
              <w:t xml:space="preserve">STITUTIONAL &amp; ADMINISTRATIVE </w:t>
            </w:r>
          </w:p>
        </w:tc>
      </w:tr>
      <w:tr w:rsidR="008F32A6" w:rsidRPr="00AB7D1E" w14:paraId="3922BE14" w14:textId="77777777" w:rsidTr="00201842">
        <w:trPr>
          <w:trHeight w:val="278"/>
        </w:trPr>
        <w:tc>
          <w:tcPr>
            <w:tcW w:w="2154" w:type="dxa"/>
            <w:gridSpan w:val="2"/>
            <w:tcBorders>
              <w:top w:val="dotted" w:sz="4" w:space="0" w:color="auto"/>
              <w:bottom w:val="dotted" w:sz="4" w:space="0" w:color="auto"/>
            </w:tcBorders>
          </w:tcPr>
          <w:p w14:paraId="166E0E04" w14:textId="77777777"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Country</w:t>
            </w:r>
          </w:p>
        </w:tc>
        <w:tc>
          <w:tcPr>
            <w:tcW w:w="6913" w:type="dxa"/>
            <w:gridSpan w:val="4"/>
            <w:tcBorders>
              <w:top w:val="dotted" w:sz="4" w:space="0" w:color="auto"/>
              <w:bottom w:val="dotted" w:sz="4" w:space="0" w:color="auto"/>
            </w:tcBorders>
          </w:tcPr>
          <w:p w14:paraId="171C70DE"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p>
        </w:tc>
      </w:tr>
      <w:tr w:rsidR="008F32A6" w:rsidRPr="00AB7D1E" w14:paraId="5FEB4FA2" w14:textId="77777777" w:rsidTr="00201842">
        <w:trPr>
          <w:trHeight w:val="278"/>
        </w:trPr>
        <w:tc>
          <w:tcPr>
            <w:tcW w:w="2154" w:type="dxa"/>
            <w:gridSpan w:val="2"/>
            <w:tcBorders>
              <w:top w:val="dotted" w:sz="4" w:space="0" w:color="auto"/>
              <w:bottom w:val="dotted" w:sz="4" w:space="0" w:color="auto"/>
            </w:tcBorders>
          </w:tcPr>
          <w:p w14:paraId="04E2DF69" w14:textId="77777777"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 xml:space="preserve">Project title </w:t>
            </w:r>
          </w:p>
        </w:tc>
        <w:tc>
          <w:tcPr>
            <w:tcW w:w="6913" w:type="dxa"/>
            <w:gridSpan w:val="4"/>
            <w:tcBorders>
              <w:top w:val="dotted" w:sz="4" w:space="0" w:color="auto"/>
              <w:bottom w:val="dotted" w:sz="4" w:space="0" w:color="auto"/>
            </w:tcBorders>
          </w:tcPr>
          <w:p w14:paraId="0EA15FF7"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p>
        </w:tc>
      </w:tr>
      <w:tr w:rsidR="008F32A6" w:rsidRPr="00AB7D1E" w14:paraId="202F60A1" w14:textId="77777777" w:rsidTr="00201842">
        <w:trPr>
          <w:trHeight w:val="278"/>
        </w:trPr>
        <w:tc>
          <w:tcPr>
            <w:tcW w:w="2154" w:type="dxa"/>
            <w:gridSpan w:val="2"/>
            <w:tcBorders>
              <w:top w:val="dotted" w:sz="4" w:space="0" w:color="auto"/>
              <w:bottom w:val="dotted" w:sz="4" w:space="0" w:color="auto"/>
            </w:tcBorders>
          </w:tcPr>
          <w:p w14:paraId="615AEFF0" w14:textId="77777777"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Scope of project and activity</w:t>
            </w:r>
          </w:p>
        </w:tc>
        <w:tc>
          <w:tcPr>
            <w:tcW w:w="6913" w:type="dxa"/>
            <w:gridSpan w:val="4"/>
            <w:tcBorders>
              <w:top w:val="dotted" w:sz="4" w:space="0" w:color="auto"/>
              <w:bottom w:val="dotted" w:sz="4" w:space="0" w:color="auto"/>
            </w:tcBorders>
          </w:tcPr>
          <w:p w14:paraId="78B3AE37"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p>
        </w:tc>
      </w:tr>
      <w:tr w:rsidR="00EE2CE9" w:rsidRPr="00AB7D1E" w14:paraId="45697212" w14:textId="77777777" w:rsidTr="00EE2CE9">
        <w:trPr>
          <w:trHeight w:val="1457"/>
        </w:trPr>
        <w:tc>
          <w:tcPr>
            <w:tcW w:w="2154" w:type="dxa"/>
            <w:gridSpan w:val="2"/>
            <w:tcBorders>
              <w:top w:val="dotted" w:sz="4" w:space="0" w:color="auto"/>
              <w:bottom w:val="dotted" w:sz="4" w:space="0" w:color="auto"/>
            </w:tcBorders>
          </w:tcPr>
          <w:p w14:paraId="549AC2A6" w14:textId="193C3574" w:rsidR="00EE2CE9" w:rsidRPr="00AB7D1E" w:rsidRDefault="00EE2CE9"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 xml:space="preserve">Institutional </w:t>
            </w:r>
            <w:r w:rsidRPr="00AB7D1E">
              <w:rPr>
                <w:rFonts w:eastAsia="Times New Roman" w:cstheme="minorHAnsi"/>
                <w:sz w:val="20"/>
                <w:szCs w:val="20"/>
                <w:lang w:val="en-US"/>
              </w:rPr>
              <w:br/>
              <w:t>arrangements</w:t>
            </w:r>
          </w:p>
          <w:p w14:paraId="35DB648E" w14:textId="1BDC1253" w:rsidR="00EE2CE9" w:rsidRPr="00AB7D1E" w:rsidRDefault="00EE2CE9" w:rsidP="00EE2CE9">
            <w:pPr>
              <w:suppressAutoHyphens w:val="0"/>
              <w:autoSpaceDN/>
              <w:spacing w:before="60" w:after="0" w:line="240" w:lineRule="auto"/>
              <w:jc w:val="center"/>
              <w:textAlignment w:val="auto"/>
              <w:rPr>
                <w:rFonts w:eastAsia="Times New Roman" w:cstheme="minorHAnsi"/>
                <w:sz w:val="20"/>
                <w:szCs w:val="20"/>
                <w:lang w:val="en-US"/>
              </w:rPr>
            </w:pPr>
            <w:r w:rsidRPr="00AB7D1E">
              <w:rPr>
                <w:rFonts w:eastAsia="Times New Roman" w:cstheme="minorHAnsi"/>
                <w:sz w:val="20"/>
                <w:szCs w:val="20"/>
                <w:lang w:val="en-US"/>
              </w:rPr>
              <w:t>(WB)</w:t>
            </w:r>
          </w:p>
          <w:p w14:paraId="502A430E" w14:textId="77777777" w:rsidR="00EE2CE9" w:rsidRPr="00AB7D1E" w:rsidRDefault="00EE2CE9"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(Name and contacts)</w:t>
            </w:r>
          </w:p>
        </w:tc>
        <w:tc>
          <w:tcPr>
            <w:tcW w:w="2094" w:type="dxa"/>
            <w:tcBorders>
              <w:top w:val="dotted" w:sz="4" w:space="0" w:color="auto"/>
              <w:bottom w:val="dotted" w:sz="4" w:space="0" w:color="auto"/>
            </w:tcBorders>
          </w:tcPr>
          <w:p w14:paraId="48CE1F2B" w14:textId="2777DC22" w:rsidR="00EE2CE9" w:rsidRPr="00AB7D1E" w:rsidRDefault="00494089"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 xml:space="preserve"> </w:t>
            </w:r>
            <w:r w:rsidR="00EE2CE9" w:rsidRPr="00AB7D1E">
              <w:rPr>
                <w:rFonts w:eastAsia="Times New Roman" w:cstheme="minorHAnsi"/>
                <w:sz w:val="16"/>
                <w:szCs w:val="16"/>
                <w:lang w:val="en-US"/>
              </w:rPr>
              <w:t>(Task Team Leader)</w:t>
            </w:r>
          </w:p>
          <w:p w14:paraId="268E80AD" w14:textId="77777777" w:rsidR="00EE2CE9" w:rsidRPr="00AB7D1E" w:rsidRDefault="00EE2CE9" w:rsidP="008F32A6">
            <w:pPr>
              <w:suppressAutoHyphens w:val="0"/>
              <w:autoSpaceDN/>
              <w:spacing w:before="60" w:after="0" w:line="240" w:lineRule="auto"/>
              <w:jc w:val="center"/>
              <w:textAlignment w:val="auto"/>
              <w:rPr>
                <w:rFonts w:eastAsia="Times New Roman" w:cstheme="minorHAnsi"/>
                <w:sz w:val="16"/>
                <w:szCs w:val="16"/>
                <w:lang w:val="en-US"/>
              </w:rPr>
            </w:pPr>
          </w:p>
        </w:tc>
        <w:tc>
          <w:tcPr>
            <w:tcW w:w="4819" w:type="dxa"/>
            <w:gridSpan w:val="3"/>
            <w:tcBorders>
              <w:top w:val="dotted" w:sz="4" w:space="0" w:color="auto"/>
              <w:bottom w:val="dotted" w:sz="4" w:space="0" w:color="auto"/>
            </w:tcBorders>
          </w:tcPr>
          <w:p w14:paraId="3F79F99A" w14:textId="48086F20" w:rsidR="00EE2CE9" w:rsidRPr="00AB7D1E" w:rsidRDefault="00D06D6E"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Environmental/</w:t>
            </w:r>
            <w:r w:rsidR="00EE2CE9" w:rsidRPr="00AB7D1E">
              <w:rPr>
                <w:rFonts w:eastAsia="Times New Roman" w:cstheme="minorHAnsi"/>
                <w:sz w:val="16"/>
                <w:szCs w:val="16"/>
                <w:lang w:val="en-US"/>
              </w:rPr>
              <w:t>Safeguards Specialists:</w:t>
            </w:r>
          </w:p>
        </w:tc>
      </w:tr>
      <w:tr w:rsidR="008F32A6" w:rsidRPr="00AB7D1E" w14:paraId="228D27ED" w14:textId="77777777" w:rsidTr="00EE2CE9">
        <w:trPr>
          <w:trHeight w:val="1070"/>
        </w:trPr>
        <w:tc>
          <w:tcPr>
            <w:tcW w:w="2154" w:type="dxa"/>
            <w:gridSpan w:val="2"/>
            <w:tcBorders>
              <w:top w:val="dotted" w:sz="4" w:space="0" w:color="auto"/>
              <w:bottom w:val="dotted" w:sz="4" w:space="0" w:color="auto"/>
            </w:tcBorders>
          </w:tcPr>
          <w:p w14:paraId="7949F04E" w14:textId="7CDC5034"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 xml:space="preserve">Implementation </w:t>
            </w:r>
            <w:r w:rsidRPr="00AB7D1E">
              <w:rPr>
                <w:rFonts w:eastAsia="Times New Roman" w:cstheme="minorHAnsi"/>
                <w:sz w:val="20"/>
                <w:szCs w:val="20"/>
                <w:lang w:val="en-US"/>
              </w:rPr>
              <w:br/>
              <w:t>arrangements</w:t>
            </w:r>
          </w:p>
          <w:p w14:paraId="2AFDE762" w14:textId="332BBD99" w:rsidR="00EE2CE9" w:rsidRPr="00AB7D1E" w:rsidRDefault="00EE2CE9" w:rsidP="00EE2CE9">
            <w:pPr>
              <w:suppressAutoHyphens w:val="0"/>
              <w:autoSpaceDN/>
              <w:spacing w:before="60" w:after="0" w:line="240" w:lineRule="auto"/>
              <w:jc w:val="center"/>
              <w:textAlignment w:val="auto"/>
              <w:rPr>
                <w:rFonts w:eastAsia="Times New Roman" w:cstheme="minorHAnsi"/>
                <w:sz w:val="20"/>
                <w:szCs w:val="20"/>
                <w:lang w:val="en-US"/>
              </w:rPr>
            </w:pPr>
            <w:r w:rsidRPr="00AB7D1E">
              <w:rPr>
                <w:rFonts w:eastAsia="Times New Roman" w:cstheme="minorHAnsi"/>
                <w:sz w:val="20"/>
                <w:szCs w:val="20"/>
                <w:lang w:val="en-US"/>
              </w:rPr>
              <w:t>(Borrower)</w:t>
            </w:r>
          </w:p>
          <w:p w14:paraId="2494E363" w14:textId="77777777" w:rsidR="008F32A6" w:rsidRPr="00AB7D1E" w:rsidRDefault="008F32A6" w:rsidP="008F32A6">
            <w:pPr>
              <w:suppressAutoHyphens w:val="0"/>
              <w:autoSpaceDN/>
              <w:spacing w:before="60" w:after="0" w:line="240" w:lineRule="auto"/>
              <w:jc w:val="right"/>
              <w:textAlignment w:val="auto"/>
              <w:rPr>
                <w:rFonts w:eastAsia="Times New Roman" w:cstheme="minorHAnsi"/>
                <w:sz w:val="20"/>
                <w:szCs w:val="20"/>
                <w:lang w:val="en-US"/>
              </w:rPr>
            </w:pPr>
            <w:r w:rsidRPr="00AB7D1E">
              <w:rPr>
                <w:rFonts w:eastAsia="Times New Roman" w:cstheme="minorHAnsi"/>
                <w:sz w:val="20"/>
                <w:szCs w:val="20"/>
                <w:lang w:val="en-US"/>
              </w:rPr>
              <w:t xml:space="preserve">(Name and contacts) </w:t>
            </w:r>
          </w:p>
        </w:tc>
        <w:tc>
          <w:tcPr>
            <w:tcW w:w="2094" w:type="dxa"/>
            <w:tcBorders>
              <w:top w:val="dotted" w:sz="4" w:space="0" w:color="auto"/>
              <w:bottom w:val="dotted" w:sz="4" w:space="0" w:color="auto"/>
            </w:tcBorders>
          </w:tcPr>
          <w:p w14:paraId="7EE41AF6" w14:textId="12EA648B"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Safeguard</w:t>
            </w:r>
            <w:r w:rsidR="00D60F92" w:rsidRPr="00AB7D1E">
              <w:rPr>
                <w:rFonts w:eastAsia="Times New Roman" w:cstheme="minorHAnsi"/>
                <w:sz w:val="16"/>
                <w:szCs w:val="16"/>
                <w:lang w:val="en-US"/>
              </w:rPr>
              <w:t>/Environment</w:t>
            </w:r>
            <w:r w:rsidRPr="00AB7D1E">
              <w:rPr>
                <w:rFonts w:eastAsia="Times New Roman" w:cstheme="minorHAnsi"/>
                <w:sz w:val="16"/>
                <w:szCs w:val="16"/>
                <w:lang w:val="en-US"/>
              </w:rPr>
              <w:t xml:space="preserve"> Supervision</w:t>
            </w:r>
          </w:p>
        </w:tc>
        <w:tc>
          <w:tcPr>
            <w:tcW w:w="1753" w:type="dxa"/>
            <w:tcBorders>
              <w:top w:val="dotted" w:sz="4" w:space="0" w:color="auto"/>
              <w:bottom w:val="dotted" w:sz="4" w:space="0" w:color="auto"/>
            </w:tcBorders>
          </w:tcPr>
          <w:p w14:paraId="0FEB52F2" w14:textId="595531CC" w:rsidR="008F32A6" w:rsidRPr="00AB7D1E" w:rsidRDefault="00EE2CE9"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Works supervisor</w:t>
            </w:r>
          </w:p>
        </w:tc>
        <w:tc>
          <w:tcPr>
            <w:tcW w:w="1565" w:type="dxa"/>
            <w:tcBorders>
              <w:top w:val="dotted" w:sz="4" w:space="0" w:color="auto"/>
              <w:bottom w:val="dotted" w:sz="4" w:space="0" w:color="auto"/>
            </w:tcBorders>
          </w:tcPr>
          <w:p w14:paraId="51D9BFE4"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Inspectorate Supervision</w:t>
            </w:r>
          </w:p>
          <w:p w14:paraId="29A36D97"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p>
          <w:p w14:paraId="7DAFF293"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p>
          <w:p w14:paraId="61F9DE7F"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p>
        </w:tc>
        <w:tc>
          <w:tcPr>
            <w:tcW w:w="1501" w:type="dxa"/>
            <w:tcBorders>
              <w:top w:val="dotted" w:sz="4" w:space="0" w:color="auto"/>
              <w:bottom w:val="dotted" w:sz="4" w:space="0" w:color="auto"/>
            </w:tcBorders>
          </w:tcPr>
          <w:p w14:paraId="49D999F5" w14:textId="3F09DB50" w:rsidR="008F32A6" w:rsidRPr="00AB7D1E" w:rsidRDefault="00EE2CE9" w:rsidP="008F32A6">
            <w:pPr>
              <w:suppressAutoHyphens w:val="0"/>
              <w:autoSpaceDN/>
              <w:spacing w:before="60" w:after="0" w:line="240" w:lineRule="auto"/>
              <w:jc w:val="center"/>
              <w:textAlignment w:val="auto"/>
              <w:rPr>
                <w:rFonts w:eastAsia="Times New Roman" w:cstheme="minorHAnsi"/>
                <w:sz w:val="16"/>
                <w:szCs w:val="16"/>
                <w:lang w:val="en-US"/>
              </w:rPr>
            </w:pPr>
            <w:r w:rsidRPr="00AB7D1E">
              <w:rPr>
                <w:rFonts w:eastAsia="Times New Roman" w:cstheme="minorHAnsi"/>
                <w:sz w:val="16"/>
                <w:szCs w:val="16"/>
                <w:lang w:val="en-US"/>
              </w:rPr>
              <w:t xml:space="preserve">Works </w:t>
            </w:r>
            <w:r w:rsidR="00494089" w:rsidRPr="00AB7D1E">
              <w:rPr>
                <w:rFonts w:eastAsia="Times New Roman" w:cstheme="minorHAnsi"/>
                <w:sz w:val="16"/>
                <w:szCs w:val="16"/>
                <w:lang w:val="en-US"/>
              </w:rPr>
              <w:t>Contactor</w:t>
            </w:r>
          </w:p>
          <w:p w14:paraId="3BF43474" w14:textId="77777777" w:rsidR="008F32A6" w:rsidRPr="00AB7D1E" w:rsidRDefault="008F32A6" w:rsidP="008F32A6">
            <w:pPr>
              <w:suppressAutoHyphens w:val="0"/>
              <w:autoSpaceDN/>
              <w:spacing w:before="60" w:after="0" w:line="240" w:lineRule="auto"/>
              <w:jc w:val="center"/>
              <w:textAlignment w:val="auto"/>
              <w:rPr>
                <w:rFonts w:eastAsia="Times New Roman" w:cstheme="minorHAnsi"/>
                <w:sz w:val="16"/>
                <w:szCs w:val="16"/>
                <w:lang w:val="en-US"/>
              </w:rPr>
            </w:pPr>
          </w:p>
        </w:tc>
      </w:tr>
      <w:tr w:rsidR="008F32A6" w:rsidRPr="00AB7D1E" w14:paraId="13ABD05D" w14:textId="77777777" w:rsidTr="008F32A6">
        <w:tc>
          <w:tcPr>
            <w:tcW w:w="9067" w:type="dxa"/>
            <w:gridSpan w:val="6"/>
            <w:tcBorders>
              <w:top w:val="dotted" w:sz="4" w:space="0" w:color="auto"/>
              <w:bottom w:val="dotted" w:sz="4" w:space="0" w:color="auto"/>
            </w:tcBorders>
            <w:shd w:val="clear" w:color="auto" w:fill="CEDBE6" w:themeFill="background2"/>
          </w:tcPr>
          <w:p w14:paraId="1C416426"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sz w:val="20"/>
                <w:szCs w:val="20"/>
                <w:lang w:val="en-US"/>
              </w:rPr>
              <w:t>SITE DESCRIPTION</w:t>
            </w:r>
          </w:p>
        </w:tc>
      </w:tr>
      <w:tr w:rsidR="008F32A6" w:rsidRPr="00AB7D1E" w14:paraId="6F709875" w14:textId="77777777" w:rsidTr="00201842">
        <w:tc>
          <w:tcPr>
            <w:tcW w:w="2154" w:type="dxa"/>
            <w:gridSpan w:val="2"/>
            <w:tcBorders>
              <w:top w:val="dotted" w:sz="4" w:space="0" w:color="auto"/>
              <w:bottom w:val="dotted" w:sz="4" w:space="0" w:color="auto"/>
            </w:tcBorders>
          </w:tcPr>
          <w:p w14:paraId="416528FF"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Name of site</w:t>
            </w:r>
          </w:p>
        </w:tc>
        <w:tc>
          <w:tcPr>
            <w:tcW w:w="6913" w:type="dxa"/>
            <w:gridSpan w:val="4"/>
            <w:tcBorders>
              <w:top w:val="dotted" w:sz="4" w:space="0" w:color="auto"/>
              <w:bottom w:val="dotted" w:sz="4" w:space="0" w:color="auto"/>
            </w:tcBorders>
          </w:tcPr>
          <w:p w14:paraId="60E294BA"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p>
        </w:tc>
      </w:tr>
      <w:tr w:rsidR="008F32A6" w:rsidRPr="00AB7D1E" w14:paraId="5584AFB8" w14:textId="77777777" w:rsidTr="00201842">
        <w:tc>
          <w:tcPr>
            <w:tcW w:w="2154" w:type="dxa"/>
            <w:gridSpan w:val="2"/>
            <w:tcBorders>
              <w:top w:val="dotted" w:sz="4" w:space="0" w:color="auto"/>
              <w:bottom w:val="dotted" w:sz="4" w:space="0" w:color="auto"/>
            </w:tcBorders>
          </w:tcPr>
          <w:p w14:paraId="4D95A821"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Describe site location</w:t>
            </w:r>
          </w:p>
        </w:tc>
        <w:tc>
          <w:tcPr>
            <w:tcW w:w="6913" w:type="dxa"/>
            <w:gridSpan w:val="4"/>
            <w:tcBorders>
              <w:top w:val="dotted" w:sz="4" w:space="0" w:color="auto"/>
              <w:bottom w:val="dotted" w:sz="4" w:space="0" w:color="auto"/>
            </w:tcBorders>
          </w:tcPr>
          <w:p w14:paraId="015FDBEC"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p>
        </w:tc>
      </w:tr>
      <w:tr w:rsidR="008F32A6" w:rsidRPr="00AB7D1E" w14:paraId="5FDD32D7" w14:textId="77777777" w:rsidTr="00201842">
        <w:tc>
          <w:tcPr>
            <w:tcW w:w="2154" w:type="dxa"/>
            <w:gridSpan w:val="2"/>
            <w:tcBorders>
              <w:top w:val="dotted" w:sz="4" w:space="0" w:color="auto"/>
              <w:bottom w:val="dotted" w:sz="4" w:space="0" w:color="auto"/>
            </w:tcBorders>
          </w:tcPr>
          <w:p w14:paraId="5E560E85"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lastRenderedPageBreak/>
              <w:t>Who owns the land?</w:t>
            </w:r>
          </w:p>
        </w:tc>
        <w:tc>
          <w:tcPr>
            <w:tcW w:w="6913" w:type="dxa"/>
            <w:gridSpan w:val="4"/>
            <w:tcBorders>
              <w:top w:val="dotted" w:sz="4" w:space="0" w:color="auto"/>
              <w:bottom w:val="dotted" w:sz="4" w:space="0" w:color="auto"/>
            </w:tcBorders>
          </w:tcPr>
          <w:p w14:paraId="2677E01B"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p>
        </w:tc>
      </w:tr>
      <w:tr w:rsidR="008F32A6" w:rsidRPr="00AB7D1E" w14:paraId="07E8A4F4" w14:textId="77777777" w:rsidTr="00201842">
        <w:tc>
          <w:tcPr>
            <w:tcW w:w="2154" w:type="dxa"/>
            <w:gridSpan w:val="2"/>
            <w:tcBorders>
              <w:top w:val="dotted" w:sz="4" w:space="0" w:color="auto"/>
              <w:bottom w:val="dotted" w:sz="4" w:space="0" w:color="auto"/>
            </w:tcBorders>
          </w:tcPr>
          <w:p w14:paraId="43F44370" w14:textId="77777777" w:rsidR="008F32A6" w:rsidRPr="00AB7D1E" w:rsidRDefault="008F32A6" w:rsidP="008F32A6">
            <w:pP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Valid operating permit, licenses, approvals etc.</w:t>
            </w:r>
          </w:p>
        </w:tc>
        <w:tc>
          <w:tcPr>
            <w:tcW w:w="6913" w:type="dxa"/>
            <w:gridSpan w:val="4"/>
            <w:tcBorders>
              <w:top w:val="dotted" w:sz="4" w:space="0" w:color="auto"/>
              <w:bottom w:val="dotted" w:sz="4" w:space="0" w:color="auto"/>
            </w:tcBorders>
          </w:tcPr>
          <w:p w14:paraId="0CCBF7A8" w14:textId="77777777" w:rsidR="008F32A6" w:rsidRPr="00AB7D1E" w:rsidRDefault="008F32A6" w:rsidP="008F32A6">
            <w:pPr>
              <w:suppressAutoHyphens w:val="0"/>
              <w:autoSpaceDN/>
              <w:spacing w:before="60" w:after="0" w:line="240" w:lineRule="auto"/>
              <w:jc w:val="left"/>
              <w:textAlignment w:val="auto"/>
              <w:rPr>
                <w:rFonts w:eastAsia="Times New Roman" w:cstheme="minorHAnsi"/>
                <w:b/>
                <w:sz w:val="20"/>
                <w:szCs w:val="20"/>
                <w:lang w:val="en-US"/>
              </w:rPr>
            </w:pPr>
          </w:p>
        </w:tc>
      </w:tr>
      <w:tr w:rsidR="008F32A6" w:rsidRPr="00AB7D1E" w14:paraId="1CEBBE2C" w14:textId="77777777" w:rsidTr="004749CE">
        <w:tblPrEx>
          <w:tblLook w:val="0000" w:firstRow="0" w:lastRow="0" w:firstColumn="0" w:lastColumn="0" w:noHBand="0" w:noVBand="0"/>
        </w:tblPrEx>
        <w:trPr>
          <w:trHeight w:val="170"/>
        </w:trPr>
        <w:tc>
          <w:tcPr>
            <w:tcW w:w="9067" w:type="dxa"/>
            <w:gridSpan w:val="6"/>
            <w:shd w:val="clear" w:color="auto" w:fill="CEDBE6" w:themeFill="background2"/>
          </w:tcPr>
          <w:p w14:paraId="030CCB9B"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sz w:val="20"/>
                <w:szCs w:val="20"/>
                <w:lang w:val="en-US"/>
              </w:rPr>
              <w:t>LEGISLATION</w:t>
            </w:r>
          </w:p>
        </w:tc>
      </w:tr>
      <w:tr w:rsidR="008F32A6" w:rsidRPr="00AB7D1E" w14:paraId="5C0ACADD" w14:textId="77777777" w:rsidTr="00201842">
        <w:tblPrEx>
          <w:tblLook w:val="0000" w:firstRow="0" w:lastRow="0" w:firstColumn="0" w:lastColumn="0" w:noHBand="0" w:noVBand="0"/>
        </w:tblPrEx>
        <w:tc>
          <w:tcPr>
            <w:tcW w:w="2122" w:type="dxa"/>
          </w:tcPr>
          <w:p w14:paraId="1AEB4EB1"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Identify national &amp;local legislation &amp; permits that apply to sub-project activity(s)</w:t>
            </w:r>
          </w:p>
        </w:tc>
        <w:tc>
          <w:tcPr>
            <w:tcW w:w="6945" w:type="dxa"/>
            <w:gridSpan w:val="5"/>
            <w:shd w:val="clear" w:color="auto" w:fill="FFFFFF"/>
          </w:tcPr>
          <w:p w14:paraId="5036A954" w14:textId="77777777" w:rsidR="008F32A6" w:rsidRPr="00AB7D1E" w:rsidRDefault="008F32A6" w:rsidP="008F32A6">
            <w:pPr>
              <w:pBdr>
                <w:top w:val="nil"/>
                <w:left w:val="nil"/>
                <w:bottom w:val="nil"/>
                <w:right w:val="nil"/>
                <w:between w:val="nil"/>
                <w:bar w:val="nil"/>
              </w:pBdr>
              <w:suppressAutoHyphens w:val="0"/>
              <w:autoSpaceDN/>
              <w:spacing w:before="0" w:after="160" w:line="259" w:lineRule="auto"/>
              <w:ind w:left="720"/>
              <w:jc w:val="left"/>
              <w:textAlignment w:val="auto"/>
              <w:rPr>
                <w:rFonts w:cstheme="minorHAnsi"/>
                <w:b/>
                <w:bCs/>
                <w:color w:val="000000"/>
                <w:sz w:val="20"/>
                <w:szCs w:val="20"/>
                <w:u w:color="000000"/>
                <w:bdr w:val="nil"/>
                <w:lang w:val="en-US" w:eastAsia="mk-MK"/>
              </w:rPr>
            </w:pPr>
          </w:p>
        </w:tc>
      </w:tr>
      <w:tr w:rsidR="008F32A6" w:rsidRPr="00AB7D1E" w14:paraId="413D57A1" w14:textId="77777777" w:rsidTr="004749CE">
        <w:tblPrEx>
          <w:tblLook w:val="0000" w:firstRow="0" w:lastRow="0" w:firstColumn="0" w:lastColumn="0" w:noHBand="0" w:noVBand="0"/>
        </w:tblPrEx>
        <w:tc>
          <w:tcPr>
            <w:tcW w:w="9067" w:type="dxa"/>
            <w:gridSpan w:val="6"/>
            <w:shd w:val="clear" w:color="auto" w:fill="CEDBE6" w:themeFill="background2"/>
          </w:tcPr>
          <w:p w14:paraId="251567D7"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sz w:val="20"/>
                <w:szCs w:val="20"/>
                <w:lang w:val="en-US"/>
              </w:rPr>
              <w:t>PUBLIC CONSULTATION</w:t>
            </w:r>
          </w:p>
        </w:tc>
      </w:tr>
      <w:tr w:rsidR="008F32A6" w:rsidRPr="00AB7D1E" w14:paraId="0EFFB75A" w14:textId="77777777" w:rsidTr="00201842">
        <w:tblPrEx>
          <w:tblLook w:val="0000" w:firstRow="0" w:lastRow="0" w:firstColumn="0" w:lastColumn="0" w:noHBand="0" w:noVBand="0"/>
        </w:tblPrEx>
        <w:tc>
          <w:tcPr>
            <w:tcW w:w="2122" w:type="dxa"/>
          </w:tcPr>
          <w:p w14:paraId="6957A1FD"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Identify when / where the public consultation process took place and what were the remarks from the consulted stakeholders</w:t>
            </w:r>
          </w:p>
        </w:tc>
        <w:tc>
          <w:tcPr>
            <w:tcW w:w="6945" w:type="dxa"/>
            <w:gridSpan w:val="5"/>
            <w:shd w:val="clear" w:color="auto" w:fill="FFFFFF"/>
          </w:tcPr>
          <w:p w14:paraId="61EE5354" w14:textId="77777777" w:rsidR="008F32A6" w:rsidRPr="00AB7D1E" w:rsidRDefault="008F32A6" w:rsidP="008F32A6">
            <w:pPr>
              <w:pBdr>
                <w:top w:val="nil"/>
                <w:left w:val="nil"/>
                <w:bottom w:val="nil"/>
                <w:right w:val="nil"/>
                <w:between w:val="nil"/>
                <w:bar w:val="nil"/>
              </w:pBdr>
              <w:suppressAutoHyphens w:val="0"/>
              <w:autoSpaceDN/>
              <w:spacing w:before="0" w:after="160" w:line="259" w:lineRule="auto"/>
              <w:jc w:val="left"/>
              <w:textAlignment w:val="auto"/>
              <w:rPr>
                <w:rFonts w:cstheme="minorHAnsi"/>
                <w:b/>
                <w:bCs/>
                <w:color w:val="000000"/>
                <w:sz w:val="20"/>
                <w:szCs w:val="20"/>
                <w:u w:color="000000"/>
                <w:bdr w:val="nil"/>
                <w:lang w:val="en-US" w:eastAsia="mk-MK"/>
              </w:rPr>
            </w:pPr>
          </w:p>
        </w:tc>
      </w:tr>
      <w:tr w:rsidR="008F32A6" w:rsidRPr="00AB7D1E" w14:paraId="729831A2" w14:textId="77777777" w:rsidTr="004749CE">
        <w:tblPrEx>
          <w:tblLook w:val="0000" w:firstRow="0" w:lastRow="0" w:firstColumn="0" w:lastColumn="0" w:noHBand="0" w:noVBand="0"/>
        </w:tblPrEx>
        <w:tc>
          <w:tcPr>
            <w:tcW w:w="9067" w:type="dxa"/>
            <w:gridSpan w:val="6"/>
            <w:shd w:val="clear" w:color="auto" w:fill="CEDBE6" w:themeFill="background2"/>
          </w:tcPr>
          <w:p w14:paraId="0329B883"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b/>
                <w:sz w:val="20"/>
                <w:szCs w:val="20"/>
                <w:lang w:val="en-US"/>
              </w:rPr>
            </w:pPr>
            <w:r w:rsidRPr="00AB7D1E">
              <w:rPr>
                <w:rFonts w:eastAsia="Times New Roman" w:cstheme="minorHAnsi"/>
                <w:b/>
                <w:sz w:val="20"/>
                <w:szCs w:val="20"/>
                <w:lang w:val="en-US"/>
              </w:rPr>
              <w:t>INSTITUTIONAL CAPACITY BUILDING</w:t>
            </w:r>
          </w:p>
        </w:tc>
      </w:tr>
      <w:tr w:rsidR="008F32A6" w:rsidRPr="00AB7D1E" w14:paraId="33FFF999" w14:textId="77777777" w:rsidTr="00201842">
        <w:tblPrEx>
          <w:tblLook w:val="0000" w:firstRow="0" w:lastRow="0" w:firstColumn="0" w:lastColumn="0" w:noHBand="0" w:noVBand="0"/>
        </w:tblPrEx>
        <w:tc>
          <w:tcPr>
            <w:tcW w:w="2122" w:type="dxa"/>
          </w:tcPr>
          <w:p w14:paraId="53B50EF6" w14:textId="77777777" w:rsidR="008F32A6" w:rsidRPr="00AB7D1E" w:rsidRDefault="008F32A6" w:rsidP="008F32A6">
            <w:pPr>
              <w:pBdr>
                <w:top w:val="nil"/>
                <w:left w:val="nil"/>
                <w:bottom w:val="nil"/>
                <w:right w:val="nil"/>
                <w:between w:val="nil"/>
                <w:bar w:val="nil"/>
              </w:pBdr>
              <w:suppressAutoHyphens w:val="0"/>
              <w:autoSpaceDN/>
              <w:spacing w:before="60" w:after="0" w:line="240" w:lineRule="auto"/>
              <w:jc w:val="left"/>
              <w:textAlignment w:val="auto"/>
              <w:rPr>
                <w:rFonts w:eastAsia="Times New Roman" w:cstheme="minorHAnsi"/>
                <w:sz w:val="20"/>
                <w:szCs w:val="20"/>
                <w:lang w:val="en-US"/>
              </w:rPr>
            </w:pPr>
            <w:r w:rsidRPr="00AB7D1E">
              <w:rPr>
                <w:rFonts w:eastAsia="Times New Roman" w:cstheme="minorHAnsi"/>
                <w:sz w:val="20"/>
                <w:szCs w:val="20"/>
                <w:lang w:val="en-US"/>
              </w:rPr>
              <w:t>Will there be any capacity building?</w:t>
            </w:r>
          </w:p>
        </w:tc>
        <w:tc>
          <w:tcPr>
            <w:tcW w:w="6945" w:type="dxa"/>
            <w:gridSpan w:val="5"/>
            <w:shd w:val="clear" w:color="auto" w:fill="FFFFFF"/>
          </w:tcPr>
          <w:p w14:paraId="640BCE8E" w14:textId="77777777" w:rsidR="008F32A6" w:rsidRPr="00AB7D1E" w:rsidRDefault="008F32A6" w:rsidP="008F32A6">
            <w:pPr>
              <w:pBdr>
                <w:top w:val="nil"/>
                <w:left w:val="nil"/>
                <w:bottom w:val="nil"/>
                <w:right w:val="nil"/>
                <w:between w:val="nil"/>
                <w:bar w:val="nil"/>
              </w:pBdr>
              <w:suppressAutoHyphens w:val="0"/>
              <w:autoSpaceDN/>
              <w:spacing w:before="0" w:after="160" w:line="259" w:lineRule="auto"/>
              <w:jc w:val="left"/>
              <w:textAlignment w:val="auto"/>
              <w:rPr>
                <w:rFonts w:cstheme="minorHAnsi"/>
                <w:b/>
                <w:bCs/>
                <w:color w:val="000000"/>
                <w:sz w:val="20"/>
                <w:szCs w:val="20"/>
                <w:u w:color="000000"/>
                <w:bdr w:val="nil"/>
                <w:lang w:val="en-US" w:eastAsia="mk-MK"/>
              </w:rPr>
            </w:pPr>
            <w:r w:rsidRPr="00AB7D1E">
              <w:rPr>
                <w:rFonts w:cstheme="minorHAnsi"/>
                <w:b/>
                <w:bCs/>
                <w:color w:val="000000"/>
                <w:sz w:val="20"/>
                <w:szCs w:val="20"/>
                <w:u w:color="000000"/>
                <w:bdr w:val="nil"/>
                <w:lang w:val="en-US" w:eastAsia="mk-MK"/>
              </w:rPr>
              <w:t xml:space="preserve">[] N or []Y </w:t>
            </w:r>
          </w:p>
        </w:tc>
      </w:tr>
      <w:tr w:rsidR="00EE2CE9" w:rsidRPr="00AB7D1E" w14:paraId="25E56A71" w14:textId="77777777" w:rsidTr="00EE2CE9">
        <w:tblPrEx>
          <w:tblLook w:val="0000" w:firstRow="0" w:lastRow="0" w:firstColumn="0" w:lastColumn="0" w:noHBand="0" w:noVBand="0"/>
        </w:tblPrEx>
        <w:tc>
          <w:tcPr>
            <w:tcW w:w="9067" w:type="dxa"/>
            <w:gridSpan w:val="6"/>
            <w:shd w:val="clear" w:color="auto" w:fill="CEDBE6" w:themeFill="background2"/>
            <w:vAlign w:val="center"/>
          </w:tcPr>
          <w:p w14:paraId="3F5473A6" w14:textId="5D76CA0F" w:rsidR="00EE2CE9" w:rsidRPr="00AB7D1E" w:rsidRDefault="00EE2CE9" w:rsidP="008F32A6">
            <w:pPr>
              <w:pBdr>
                <w:top w:val="nil"/>
                <w:left w:val="nil"/>
                <w:bottom w:val="nil"/>
                <w:right w:val="nil"/>
                <w:between w:val="nil"/>
                <w:bar w:val="nil"/>
              </w:pBdr>
              <w:suppressAutoHyphens w:val="0"/>
              <w:autoSpaceDN/>
              <w:spacing w:before="0" w:after="160" w:line="259" w:lineRule="auto"/>
              <w:jc w:val="left"/>
              <w:textAlignment w:val="auto"/>
              <w:rPr>
                <w:rFonts w:cstheme="minorHAnsi"/>
                <w:b/>
                <w:bCs/>
                <w:color w:val="000000"/>
                <w:sz w:val="20"/>
                <w:szCs w:val="20"/>
                <w:u w:color="000000"/>
                <w:bdr w:val="nil"/>
                <w:lang w:val="en-US" w:eastAsia="mk-MK"/>
              </w:rPr>
            </w:pPr>
            <w:r w:rsidRPr="00AB7D1E">
              <w:rPr>
                <w:rFonts w:cstheme="minorHAnsi"/>
                <w:b/>
                <w:bCs/>
                <w:color w:val="000000"/>
                <w:sz w:val="20"/>
                <w:szCs w:val="20"/>
                <w:u w:color="000000"/>
                <w:bdr w:val="nil"/>
                <w:lang w:val="en-US" w:eastAsia="mk-MK"/>
              </w:rPr>
              <w:t>ATTACHEMENTS</w:t>
            </w:r>
          </w:p>
        </w:tc>
      </w:tr>
      <w:tr w:rsidR="00EE2CE9" w:rsidRPr="00AB7D1E" w14:paraId="55555363" w14:textId="77777777" w:rsidTr="00DC1886">
        <w:tblPrEx>
          <w:tblLook w:val="0000" w:firstRow="0" w:lastRow="0" w:firstColumn="0" w:lastColumn="0" w:noHBand="0" w:noVBand="0"/>
        </w:tblPrEx>
        <w:tc>
          <w:tcPr>
            <w:tcW w:w="9067" w:type="dxa"/>
            <w:gridSpan w:val="6"/>
          </w:tcPr>
          <w:p w14:paraId="4D5D6065" w14:textId="77777777" w:rsidR="00EE2CE9" w:rsidRPr="00AB7D1E" w:rsidRDefault="00EE2CE9" w:rsidP="00EE2CE9">
            <w:pPr>
              <w:pBdr>
                <w:top w:val="nil"/>
                <w:left w:val="nil"/>
                <w:bottom w:val="nil"/>
                <w:right w:val="nil"/>
                <w:between w:val="nil"/>
                <w:bar w:val="nil"/>
              </w:pBdr>
              <w:suppressAutoHyphens w:val="0"/>
              <w:autoSpaceDN/>
              <w:spacing w:before="0" w:after="160" w:line="259" w:lineRule="auto"/>
              <w:jc w:val="left"/>
              <w:textAlignment w:val="auto"/>
              <w:rPr>
                <w:rFonts w:cstheme="minorHAnsi"/>
                <w:color w:val="000000"/>
                <w:sz w:val="20"/>
                <w:szCs w:val="20"/>
                <w:u w:color="000000"/>
                <w:bdr w:val="nil"/>
                <w:lang w:val="en-US" w:eastAsia="mk-MK"/>
              </w:rPr>
            </w:pPr>
            <w:r w:rsidRPr="00AB7D1E">
              <w:rPr>
                <w:rFonts w:cstheme="minorHAnsi"/>
                <w:color w:val="000000"/>
                <w:sz w:val="20"/>
                <w:szCs w:val="20"/>
                <w:u w:color="000000"/>
                <w:bdr w:val="nil"/>
                <w:lang w:val="en-US" w:eastAsia="mk-MK"/>
              </w:rPr>
              <w:t>Attachment 1: Site plan / photo</w:t>
            </w:r>
          </w:p>
          <w:p w14:paraId="6C96000A" w14:textId="0A35805E" w:rsidR="00EE2CE9" w:rsidRPr="00AB7D1E" w:rsidRDefault="00EE2CE9" w:rsidP="00EE2CE9">
            <w:pPr>
              <w:pBdr>
                <w:top w:val="nil"/>
                <w:left w:val="nil"/>
                <w:bottom w:val="nil"/>
                <w:right w:val="nil"/>
                <w:between w:val="nil"/>
                <w:bar w:val="nil"/>
              </w:pBdr>
              <w:suppressAutoHyphens w:val="0"/>
              <w:autoSpaceDN/>
              <w:spacing w:before="0" w:after="160" w:line="259" w:lineRule="auto"/>
              <w:jc w:val="left"/>
              <w:textAlignment w:val="auto"/>
              <w:rPr>
                <w:rFonts w:cstheme="minorHAnsi"/>
                <w:color w:val="000000"/>
                <w:sz w:val="20"/>
                <w:szCs w:val="20"/>
                <w:u w:color="000000"/>
                <w:bdr w:val="nil"/>
                <w:lang w:val="en-US" w:eastAsia="mk-MK"/>
              </w:rPr>
            </w:pPr>
            <w:r w:rsidRPr="00AB7D1E">
              <w:rPr>
                <w:rFonts w:cstheme="minorHAnsi"/>
                <w:color w:val="000000"/>
                <w:sz w:val="20"/>
                <w:szCs w:val="20"/>
                <w:u w:color="000000"/>
                <w:bdr w:val="nil"/>
                <w:lang w:val="en-US" w:eastAsia="mk-MK"/>
              </w:rPr>
              <w:t>Attachment 2: Agreement for waste disposal</w:t>
            </w:r>
          </w:p>
          <w:p w14:paraId="3E6F77D7" w14:textId="518C616A" w:rsidR="00EE2CE9" w:rsidRPr="00AB7D1E" w:rsidRDefault="00EE2CE9" w:rsidP="00EE2CE9">
            <w:pPr>
              <w:pBdr>
                <w:top w:val="nil"/>
                <w:left w:val="nil"/>
                <w:bottom w:val="nil"/>
                <w:right w:val="nil"/>
                <w:between w:val="nil"/>
                <w:bar w:val="nil"/>
              </w:pBdr>
              <w:suppressAutoHyphens w:val="0"/>
              <w:autoSpaceDN/>
              <w:spacing w:before="0" w:after="160" w:line="259" w:lineRule="auto"/>
              <w:jc w:val="left"/>
              <w:textAlignment w:val="auto"/>
              <w:rPr>
                <w:rFonts w:cstheme="minorHAnsi"/>
                <w:color w:val="000000"/>
                <w:sz w:val="20"/>
                <w:szCs w:val="20"/>
                <w:u w:color="000000"/>
                <w:bdr w:val="nil"/>
                <w:lang w:val="en-US" w:eastAsia="mk-MK"/>
              </w:rPr>
            </w:pPr>
            <w:r w:rsidRPr="00AB7D1E">
              <w:rPr>
                <w:rFonts w:cstheme="minorHAnsi"/>
                <w:color w:val="000000"/>
                <w:sz w:val="20"/>
                <w:szCs w:val="20"/>
                <w:u w:color="000000"/>
                <w:bdr w:val="nil"/>
                <w:lang w:val="en-US" w:eastAsia="mk-MK"/>
              </w:rPr>
              <w:t>Other permits/agreements – as required</w:t>
            </w:r>
          </w:p>
        </w:tc>
      </w:tr>
    </w:tbl>
    <w:p w14:paraId="77360CFA" w14:textId="77777777" w:rsidR="008F32A6" w:rsidRPr="00AB7D1E" w:rsidRDefault="008F32A6" w:rsidP="007E1E7D">
      <w:pPr>
        <w:rPr>
          <w:lang w:val="en-US"/>
        </w:rPr>
        <w:sectPr w:rsidR="008F32A6" w:rsidRPr="00AB7D1E" w:rsidSect="00D333F6">
          <w:pgSz w:w="11906" w:h="16838"/>
          <w:pgMar w:top="1440" w:right="1440" w:bottom="1440" w:left="1440" w:header="720" w:footer="720" w:gutter="0"/>
          <w:cols w:space="720"/>
          <w:docGrid w:linePitch="299"/>
        </w:sectPr>
      </w:pPr>
    </w:p>
    <w:p w14:paraId="4722FE05" w14:textId="51A04C21" w:rsidR="008F32A6" w:rsidRPr="00AB7D1E" w:rsidRDefault="008F32A6" w:rsidP="007D1E1B">
      <w:pPr>
        <w:pStyle w:val="Style1"/>
      </w:pPr>
      <w:bookmarkStart w:id="270" w:name="_Toc56952726"/>
      <w:bookmarkStart w:id="271" w:name="_Hlk47997622"/>
      <w:r w:rsidRPr="00AB7D1E">
        <w:lastRenderedPageBreak/>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26</w:t>
      </w:r>
      <w:r w:rsidR="00DF4A34" w:rsidRPr="00AB7D1E">
        <w:fldChar w:fldCharType="end"/>
      </w:r>
      <w:r w:rsidRPr="00AB7D1E">
        <w:t xml:space="preserve">. </w:t>
      </w:r>
      <w:r w:rsidR="001C17B2" w:rsidRPr="00AB7D1E">
        <w:t xml:space="preserve">Part II - </w:t>
      </w:r>
      <w:r w:rsidRPr="00AB7D1E">
        <w:t>Environmental/Social screening</w:t>
      </w:r>
      <w:bookmarkEnd w:id="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2"/>
        <w:gridCol w:w="2664"/>
        <w:gridCol w:w="4681"/>
      </w:tblGrid>
      <w:tr w:rsidR="008F32A6" w:rsidRPr="00AB7D1E" w14:paraId="56064A85" w14:textId="77777777" w:rsidTr="007C680A">
        <w:trPr>
          <w:trHeight w:val="132"/>
          <w:tblHeader/>
          <w:jc w:val="center"/>
        </w:trPr>
        <w:tc>
          <w:tcPr>
            <w:tcW w:w="5000" w:type="pct"/>
            <w:gridSpan w:val="4"/>
            <w:shd w:val="clear" w:color="auto" w:fill="CEDBE6" w:themeFill="background2"/>
            <w:vAlign w:val="center"/>
          </w:tcPr>
          <w:bookmarkEnd w:id="271"/>
          <w:p w14:paraId="5FCCFCAC" w14:textId="77777777" w:rsidR="008F32A6" w:rsidRPr="00AB7D1E" w:rsidRDefault="008F32A6" w:rsidP="008F32A6">
            <w:pPr>
              <w:suppressAutoHyphens w:val="0"/>
              <w:autoSpaceDN/>
              <w:spacing w:before="0" w:after="160" w:line="259" w:lineRule="auto"/>
              <w:jc w:val="left"/>
              <w:textAlignment w:val="auto"/>
              <w:rPr>
                <w:rFonts w:eastAsia="NSimSun" w:cstheme="minorHAnsi"/>
                <w:b/>
                <w:sz w:val="20"/>
                <w:szCs w:val="20"/>
                <w:lang w:val="en-US"/>
              </w:rPr>
            </w:pPr>
            <w:r w:rsidRPr="00AB7D1E">
              <w:rPr>
                <w:rFonts w:eastAsia="NSimSun" w:cstheme="minorHAnsi"/>
                <w:b/>
                <w:sz w:val="20"/>
                <w:szCs w:val="20"/>
                <w:lang w:val="en-US"/>
              </w:rPr>
              <w:t>PART 2: ENVIRONMENTAL /SOCIAL SCREENING</w:t>
            </w:r>
          </w:p>
        </w:tc>
      </w:tr>
      <w:tr w:rsidR="008F32A6" w:rsidRPr="00AB7D1E" w14:paraId="3605454A" w14:textId="77777777" w:rsidTr="007C680A">
        <w:trPr>
          <w:trHeight w:val="287"/>
          <w:jc w:val="center"/>
        </w:trPr>
        <w:tc>
          <w:tcPr>
            <w:tcW w:w="710" w:type="pct"/>
            <w:vMerge w:val="restart"/>
          </w:tcPr>
          <w:p w14:paraId="4A65A9B5" w14:textId="09622547" w:rsidR="008F32A6" w:rsidRPr="00AB7D1E" w:rsidRDefault="008F32A6" w:rsidP="008F32A6">
            <w:pPr>
              <w:suppressAutoHyphens w:val="0"/>
              <w:autoSpaceDN/>
              <w:spacing w:before="0" w:after="160" w:line="259" w:lineRule="auto"/>
              <w:jc w:val="left"/>
              <w:textAlignment w:val="auto"/>
              <w:rPr>
                <w:rFonts w:eastAsia="NSimSun" w:cstheme="minorHAnsi"/>
                <w:sz w:val="20"/>
                <w:szCs w:val="20"/>
                <w:lang w:val="en-US"/>
              </w:rPr>
            </w:pPr>
            <w:r w:rsidRPr="00AB7D1E">
              <w:rPr>
                <w:rFonts w:eastAsia="NSimSun" w:cstheme="minorHAnsi"/>
                <w:sz w:val="20"/>
                <w:szCs w:val="20"/>
                <w:lang w:val="en-US"/>
              </w:rPr>
              <w:t>Will the site activity include</w:t>
            </w:r>
            <w:r w:rsidR="00C537BB" w:rsidRPr="00AB7D1E">
              <w:rPr>
                <w:rFonts w:eastAsia="NSimSun" w:cstheme="minorHAnsi"/>
                <w:sz w:val="20"/>
                <w:szCs w:val="20"/>
                <w:lang w:val="en-US"/>
              </w:rPr>
              <w:t xml:space="preserve"> </w:t>
            </w:r>
            <w:r w:rsidRPr="00AB7D1E">
              <w:rPr>
                <w:rFonts w:eastAsia="NSimSun" w:cstheme="minorHAnsi"/>
                <w:sz w:val="20"/>
                <w:szCs w:val="20"/>
                <w:lang w:val="en-US"/>
              </w:rPr>
              <w:t>/</w:t>
            </w:r>
            <w:r w:rsidR="00C537BB" w:rsidRPr="00AB7D1E">
              <w:rPr>
                <w:rFonts w:eastAsia="NSimSun" w:cstheme="minorHAnsi"/>
                <w:sz w:val="20"/>
                <w:szCs w:val="20"/>
                <w:lang w:val="en-US"/>
              </w:rPr>
              <w:t xml:space="preserve"> </w:t>
            </w:r>
            <w:r w:rsidRPr="00AB7D1E">
              <w:rPr>
                <w:rFonts w:eastAsia="NSimSun" w:cstheme="minorHAnsi"/>
                <w:sz w:val="20"/>
                <w:szCs w:val="20"/>
                <w:lang w:val="en-US"/>
              </w:rPr>
              <w:t>involve any of the following potential issues</w:t>
            </w:r>
            <w:r w:rsidR="00C537BB" w:rsidRPr="00AB7D1E">
              <w:rPr>
                <w:rFonts w:eastAsia="NSimSun" w:cstheme="minorHAnsi"/>
                <w:sz w:val="20"/>
                <w:szCs w:val="20"/>
                <w:lang w:val="en-US"/>
              </w:rPr>
              <w:t xml:space="preserve"> </w:t>
            </w:r>
            <w:r w:rsidRPr="00AB7D1E">
              <w:rPr>
                <w:rFonts w:eastAsia="NSimSun" w:cstheme="minorHAnsi"/>
                <w:sz w:val="20"/>
                <w:szCs w:val="20"/>
                <w:lang w:val="en-US"/>
              </w:rPr>
              <w:t>/</w:t>
            </w:r>
            <w:r w:rsidR="00C537BB" w:rsidRPr="00AB7D1E">
              <w:rPr>
                <w:rFonts w:eastAsia="NSimSun" w:cstheme="minorHAnsi"/>
                <w:sz w:val="20"/>
                <w:szCs w:val="20"/>
                <w:lang w:val="en-US"/>
              </w:rPr>
              <w:t xml:space="preserve"> </w:t>
            </w:r>
            <w:r w:rsidRPr="00AB7D1E">
              <w:rPr>
                <w:rFonts w:eastAsia="NSimSun" w:cstheme="minorHAnsi"/>
                <w:sz w:val="20"/>
                <w:szCs w:val="20"/>
                <w:lang w:val="en-US"/>
              </w:rPr>
              <w:t xml:space="preserve">risks: </w:t>
            </w:r>
          </w:p>
        </w:tc>
        <w:tc>
          <w:tcPr>
            <w:tcW w:w="1657" w:type="pct"/>
          </w:tcPr>
          <w:p w14:paraId="392C52FB" w14:textId="77777777" w:rsidR="008F32A6" w:rsidRPr="00AB7D1E" w:rsidRDefault="008F32A6" w:rsidP="008F32A6">
            <w:pPr>
              <w:suppressAutoHyphens w:val="0"/>
              <w:autoSpaceDN/>
              <w:spacing w:before="0" w:after="160" w:line="259" w:lineRule="auto"/>
              <w:jc w:val="left"/>
              <w:textAlignment w:val="auto"/>
              <w:rPr>
                <w:rFonts w:eastAsia="NSimSun" w:cstheme="minorHAnsi"/>
                <w:b/>
                <w:sz w:val="20"/>
                <w:szCs w:val="20"/>
                <w:lang w:val="en-US"/>
              </w:rPr>
            </w:pPr>
            <w:r w:rsidRPr="00AB7D1E">
              <w:rPr>
                <w:rFonts w:eastAsia="NSimSun" w:cstheme="minorHAnsi"/>
                <w:b/>
                <w:sz w:val="20"/>
                <w:szCs w:val="20"/>
                <w:lang w:val="en-US"/>
              </w:rPr>
              <w:t>Activity</w:t>
            </w:r>
          </w:p>
        </w:tc>
        <w:tc>
          <w:tcPr>
            <w:tcW w:w="955" w:type="pct"/>
          </w:tcPr>
          <w:p w14:paraId="747832EF" w14:textId="77777777" w:rsidR="008F32A6" w:rsidRPr="00AB7D1E" w:rsidRDefault="008F32A6" w:rsidP="008F32A6">
            <w:pPr>
              <w:suppressAutoHyphens w:val="0"/>
              <w:autoSpaceDN/>
              <w:spacing w:before="0" w:after="160" w:line="259" w:lineRule="auto"/>
              <w:jc w:val="center"/>
              <w:textAlignment w:val="auto"/>
              <w:rPr>
                <w:rFonts w:eastAsia="NSimSun" w:cstheme="minorHAnsi"/>
                <w:b/>
                <w:sz w:val="20"/>
                <w:szCs w:val="20"/>
                <w:lang w:val="en-US"/>
              </w:rPr>
            </w:pPr>
            <w:r w:rsidRPr="00AB7D1E">
              <w:rPr>
                <w:rFonts w:eastAsia="NSimSun" w:cstheme="minorHAnsi"/>
                <w:b/>
                <w:sz w:val="20"/>
                <w:szCs w:val="20"/>
                <w:lang w:val="en-US"/>
              </w:rPr>
              <w:t>Status</w:t>
            </w:r>
          </w:p>
        </w:tc>
        <w:tc>
          <w:tcPr>
            <w:tcW w:w="1678" w:type="pct"/>
          </w:tcPr>
          <w:p w14:paraId="4246ED2A" w14:textId="77777777" w:rsidR="008F32A6" w:rsidRPr="00AB7D1E" w:rsidRDefault="008F32A6" w:rsidP="008F32A6">
            <w:pPr>
              <w:suppressAutoHyphens w:val="0"/>
              <w:autoSpaceDN/>
              <w:spacing w:before="0" w:after="160" w:line="259" w:lineRule="auto"/>
              <w:jc w:val="left"/>
              <w:textAlignment w:val="auto"/>
              <w:rPr>
                <w:rFonts w:eastAsia="NSimSun" w:cstheme="minorHAnsi"/>
                <w:b/>
                <w:sz w:val="20"/>
                <w:szCs w:val="20"/>
                <w:lang w:val="en-US"/>
              </w:rPr>
            </w:pPr>
            <w:r w:rsidRPr="00AB7D1E">
              <w:rPr>
                <w:rFonts w:eastAsia="NSimSun" w:cstheme="minorHAnsi"/>
                <w:b/>
                <w:sz w:val="20"/>
                <w:szCs w:val="20"/>
                <w:lang w:val="en-US"/>
              </w:rPr>
              <w:t>Additional references</w:t>
            </w:r>
          </w:p>
        </w:tc>
      </w:tr>
      <w:tr w:rsidR="008F32A6" w:rsidRPr="00AB7D1E" w14:paraId="719A5D76" w14:textId="77777777" w:rsidTr="007C680A">
        <w:trPr>
          <w:trHeight w:val="58"/>
          <w:jc w:val="center"/>
        </w:trPr>
        <w:tc>
          <w:tcPr>
            <w:tcW w:w="710" w:type="pct"/>
            <w:vMerge/>
          </w:tcPr>
          <w:p w14:paraId="03400A58"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4AD97902" w14:textId="7B908D27" w:rsidR="008F32A6" w:rsidRPr="00AB7D1E" w:rsidRDefault="008F32A6" w:rsidP="008F32A6">
            <w:pPr>
              <w:suppressAutoHyphens w:val="0"/>
              <w:autoSpaceDN/>
              <w:spacing w:before="0" w:after="160" w:line="259" w:lineRule="auto"/>
              <w:jc w:val="left"/>
              <w:textAlignment w:val="auto"/>
              <w:rPr>
                <w:rFonts w:cstheme="minorHAnsi"/>
                <w:b/>
                <w:color w:val="000000"/>
                <w:sz w:val="20"/>
                <w:szCs w:val="20"/>
                <w:lang w:val="en-US"/>
              </w:rPr>
            </w:pPr>
            <w:r w:rsidRPr="00AB7D1E">
              <w:rPr>
                <w:rFonts w:cstheme="minorHAnsi"/>
                <w:color w:val="000000"/>
                <w:sz w:val="20"/>
                <w:szCs w:val="20"/>
                <w:lang w:val="en-US"/>
              </w:rPr>
              <w:t>A. General conditions</w:t>
            </w:r>
            <w:r w:rsidR="00AD699A" w:rsidRPr="00AB7D1E">
              <w:rPr>
                <w:rFonts w:cstheme="minorHAnsi"/>
                <w:color w:val="000000"/>
                <w:sz w:val="20"/>
                <w:szCs w:val="20"/>
                <w:lang w:val="en-US"/>
              </w:rPr>
              <w:t xml:space="preserve"> </w:t>
            </w:r>
            <w:r w:rsidR="00EE43FA" w:rsidRPr="00AB7D1E">
              <w:rPr>
                <w:rFonts w:cstheme="minorHAnsi"/>
                <w:color w:val="000000"/>
                <w:sz w:val="20"/>
                <w:szCs w:val="20"/>
                <w:lang w:val="en-US"/>
              </w:rPr>
              <w:t xml:space="preserve">and social risk management </w:t>
            </w:r>
          </w:p>
        </w:tc>
        <w:tc>
          <w:tcPr>
            <w:tcW w:w="955" w:type="pct"/>
            <w:vAlign w:val="center"/>
          </w:tcPr>
          <w:p w14:paraId="14040D8F" w14:textId="77777777" w:rsidR="008F32A6" w:rsidRPr="00AB7D1E" w:rsidRDefault="008F32A6" w:rsidP="008F32A6">
            <w:pPr>
              <w:suppressAutoHyphens w:val="0"/>
              <w:autoSpaceDN/>
              <w:spacing w:before="0" w:after="160" w:line="259" w:lineRule="auto"/>
              <w:jc w:val="left"/>
              <w:textAlignment w:val="auto"/>
              <w:rPr>
                <w:rFonts w:cstheme="minorHAnsi"/>
                <w:sz w:val="20"/>
                <w:szCs w:val="20"/>
                <w:lang w:val="en-US"/>
              </w:rPr>
            </w:pPr>
          </w:p>
        </w:tc>
        <w:tc>
          <w:tcPr>
            <w:tcW w:w="1678" w:type="pct"/>
            <w:vAlign w:val="center"/>
          </w:tcPr>
          <w:p w14:paraId="7A88EA88" w14:textId="77777777"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sz w:val="20"/>
                <w:szCs w:val="20"/>
                <w:lang w:val="en-US"/>
              </w:rPr>
              <w:t xml:space="preserve">See Section </w:t>
            </w:r>
            <w:r w:rsidRPr="00AB7D1E">
              <w:rPr>
                <w:rFonts w:cstheme="minorHAnsi"/>
                <w:b/>
                <w:sz w:val="20"/>
                <w:szCs w:val="20"/>
                <w:lang w:val="en-US"/>
              </w:rPr>
              <w:t>A</w:t>
            </w:r>
          </w:p>
        </w:tc>
      </w:tr>
      <w:tr w:rsidR="008F32A6" w:rsidRPr="00AB7D1E" w14:paraId="3CCBEF33" w14:textId="77777777" w:rsidTr="007C680A">
        <w:trPr>
          <w:trHeight w:val="58"/>
          <w:jc w:val="center"/>
        </w:trPr>
        <w:tc>
          <w:tcPr>
            <w:tcW w:w="710" w:type="pct"/>
            <w:vMerge/>
          </w:tcPr>
          <w:p w14:paraId="77FF82F3"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204FAC80" w14:textId="780795BD" w:rsidR="008F32A6" w:rsidRPr="00AB7D1E" w:rsidRDefault="001B1D20" w:rsidP="008F32A6">
            <w:pPr>
              <w:suppressAutoHyphens w:val="0"/>
              <w:autoSpaceDN/>
              <w:spacing w:before="0" w:after="160" w:line="259" w:lineRule="auto"/>
              <w:jc w:val="left"/>
              <w:textAlignment w:val="auto"/>
              <w:rPr>
                <w:rFonts w:cstheme="minorHAnsi"/>
                <w:strike/>
                <w:color w:val="000000"/>
                <w:sz w:val="20"/>
                <w:szCs w:val="20"/>
                <w:lang w:val="en-US"/>
              </w:rPr>
            </w:pPr>
            <w:r w:rsidRPr="00AB7D1E">
              <w:rPr>
                <w:rFonts w:cstheme="minorHAnsi"/>
                <w:color w:val="000000"/>
                <w:sz w:val="20"/>
                <w:szCs w:val="20"/>
                <w:lang w:val="en-US"/>
              </w:rPr>
              <w:t>B</w:t>
            </w:r>
            <w:r w:rsidR="008F32A6" w:rsidRPr="00AB7D1E">
              <w:rPr>
                <w:rFonts w:cstheme="minorHAnsi"/>
                <w:color w:val="000000"/>
                <w:sz w:val="20"/>
                <w:szCs w:val="20"/>
                <w:lang w:val="en-US"/>
              </w:rPr>
              <w:t xml:space="preserve">. </w:t>
            </w:r>
            <w:r w:rsidR="007C6CA1" w:rsidRPr="00AB7D1E">
              <w:rPr>
                <w:rFonts w:cstheme="minorHAnsi"/>
                <w:color w:val="000000"/>
                <w:sz w:val="20"/>
                <w:szCs w:val="20"/>
                <w:lang w:val="en-US"/>
              </w:rPr>
              <w:t>Repair</w:t>
            </w:r>
            <w:r w:rsidR="008F32A6" w:rsidRPr="00AB7D1E">
              <w:rPr>
                <w:rFonts w:cstheme="minorHAnsi"/>
                <w:color w:val="000000"/>
                <w:sz w:val="20"/>
                <w:szCs w:val="20"/>
                <w:lang w:val="en-US"/>
              </w:rPr>
              <w:t xml:space="preserve"> / rehabilitation </w:t>
            </w:r>
          </w:p>
          <w:p w14:paraId="2B9966AB" w14:textId="069C031C"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eastAsia="Times New Roman" w:cstheme="minorHAnsi"/>
                <w:color w:val="000000"/>
                <w:sz w:val="20"/>
                <w:szCs w:val="20"/>
                <w:lang w:val="en-US"/>
              </w:rPr>
              <w:t xml:space="preserve">Increase in dust from </w:t>
            </w:r>
            <w:r w:rsidR="007C6CA1" w:rsidRPr="00AB7D1E">
              <w:rPr>
                <w:rFonts w:eastAsia="Times New Roman" w:cstheme="minorHAnsi"/>
                <w:color w:val="000000"/>
                <w:sz w:val="20"/>
                <w:szCs w:val="20"/>
                <w:lang w:val="en-US"/>
              </w:rPr>
              <w:t>repair</w:t>
            </w:r>
            <w:r w:rsidR="00D60F92" w:rsidRPr="00AB7D1E">
              <w:rPr>
                <w:rFonts w:eastAsia="Times New Roman" w:cstheme="minorHAnsi"/>
                <w:color w:val="000000"/>
                <w:sz w:val="20"/>
                <w:szCs w:val="20"/>
                <w:lang w:val="en-US"/>
              </w:rPr>
              <w:t>/</w:t>
            </w:r>
            <w:r w:rsidRPr="00AB7D1E">
              <w:rPr>
                <w:rFonts w:eastAsia="Times New Roman" w:cstheme="minorHAnsi"/>
                <w:color w:val="000000"/>
                <w:sz w:val="20"/>
                <w:szCs w:val="20"/>
                <w:lang w:val="en-US"/>
              </w:rPr>
              <w:t>rehabilitation activities</w:t>
            </w:r>
          </w:p>
          <w:p w14:paraId="3704827E"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AB7D1E">
              <w:rPr>
                <w:rFonts w:eastAsia="Times New Roman" w:cstheme="minorHAnsi"/>
                <w:color w:val="000000"/>
                <w:sz w:val="20"/>
                <w:szCs w:val="20"/>
                <w:lang w:val="en-US"/>
              </w:rPr>
              <w:t xml:space="preserve">Transport of materials </w:t>
            </w:r>
          </w:p>
          <w:p w14:paraId="430EE37B"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AB7D1E">
              <w:rPr>
                <w:rFonts w:cstheme="minorHAnsi"/>
                <w:color w:val="000000"/>
                <w:sz w:val="20"/>
                <w:szCs w:val="20"/>
                <w:lang w:val="en-US"/>
              </w:rPr>
              <w:t>Increase noise level</w:t>
            </w:r>
          </w:p>
          <w:p w14:paraId="2D39B901"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eastAsia="Times New Roman" w:cstheme="minorHAnsi"/>
                <w:color w:val="000000"/>
                <w:sz w:val="20"/>
                <w:szCs w:val="20"/>
                <w:lang w:val="en-US"/>
              </w:rPr>
              <w:t>Increase in sediments loads in water bodies</w:t>
            </w:r>
          </w:p>
          <w:p w14:paraId="1A7B349B"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eastAsia="Times New Roman" w:cstheme="minorHAnsi"/>
                <w:color w:val="000000"/>
                <w:sz w:val="20"/>
                <w:szCs w:val="20"/>
                <w:lang w:val="en-US"/>
              </w:rPr>
              <w:t xml:space="preserve">Changes of water flow </w:t>
            </w:r>
          </w:p>
          <w:p w14:paraId="039DDE9A" w14:textId="5EB22E41"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AB7D1E">
              <w:rPr>
                <w:rFonts w:eastAsia="Times New Roman" w:cstheme="minorHAnsi"/>
                <w:color w:val="000000"/>
                <w:sz w:val="20"/>
                <w:szCs w:val="20"/>
                <w:lang w:val="en-US"/>
              </w:rPr>
              <w:t xml:space="preserve">Pollution of water/soil due to temporary waste, </w:t>
            </w:r>
            <w:r w:rsidR="00D60F92" w:rsidRPr="00AB7D1E">
              <w:rPr>
                <w:rFonts w:eastAsia="Times New Roman" w:cstheme="minorHAnsi"/>
                <w:color w:val="000000"/>
                <w:sz w:val="20"/>
                <w:szCs w:val="20"/>
                <w:lang w:val="en-US"/>
              </w:rPr>
              <w:t>fuel</w:t>
            </w:r>
            <w:r w:rsidRPr="00AB7D1E">
              <w:rPr>
                <w:rFonts w:eastAsia="Times New Roman" w:cstheme="minorHAnsi"/>
                <w:color w:val="000000"/>
                <w:sz w:val="20"/>
                <w:szCs w:val="20"/>
                <w:lang w:val="en-US"/>
              </w:rPr>
              <w:t xml:space="preserve">, lubricants </w:t>
            </w:r>
            <w:r w:rsidR="00D60F92" w:rsidRPr="00AB7D1E">
              <w:rPr>
                <w:rFonts w:eastAsia="Times New Roman" w:cstheme="minorHAnsi"/>
                <w:color w:val="000000"/>
                <w:sz w:val="20"/>
                <w:szCs w:val="20"/>
                <w:lang w:val="en-US"/>
              </w:rPr>
              <w:t>storage</w:t>
            </w:r>
            <w:r w:rsidRPr="00AB7D1E">
              <w:rPr>
                <w:rFonts w:eastAsia="Times New Roman" w:cstheme="minorHAnsi"/>
                <w:color w:val="000000"/>
                <w:sz w:val="20"/>
                <w:szCs w:val="20"/>
                <w:lang w:val="en-US"/>
              </w:rPr>
              <w:t xml:space="preserve"> or spill leakage</w:t>
            </w:r>
          </w:p>
        </w:tc>
        <w:tc>
          <w:tcPr>
            <w:tcW w:w="955" w:type="pct"/>
            <w:vAlign w:val="center"/>
          </w:tcPr>
          <w:p w14:paraId="5A716793" w14:textId="77777777"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sz w:val="20"/>
                <w:szCs w:val="20"/>
                <w:lang w:val="en-US"/>
              </w:rPr>
              <w:t>[ ] Yes [ ] No</w:t>
            </w:r>
          </w:p>
        </w:tc>
        <w:tc>
          <w:tcPr>
            <w:tcW w:w="1678" w:type="pct"/>
            <w:vAlign w:val="center"/>
          </w:tcPr>
          <w:p w14:paraId="4B9F63FE" w14:textId="028E426A"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sz w:val="20"/>
                <w:szCs w:val="20"/>
                <w:lang w:val="en-US"/>
              </w:rPr>
              <w:t xml:space="preserve">If “Yes”, See Section A, </w:t>
            </w:r>
            <w:r w:rsidR="007C6CA1" w:rsidRPr="00AB7D1E">
              <w:rPr>
                <w:rFonts w:cstheme="minorHAnsi"/>
                <w:sz w:val="20"/>
                <w:szCs w:val="20"/>
                <w:lang w:val="en-US"/>
              </w:rPr>
              <w:t>B</w:t>
            </w:r>
            <w:r w:rsidRPr="00AB7D1E">
              <w:rPr>
                <w:rFonts w:cstheme="minorHAnsi"/>
                <w:sz w:val="20"/>
                <w:szCs w:val="20"/>
                <w:lang w:val="en-US"/>
              </w:rPr>
              <w:t>, F</w:t>
            </w:r>
            <w:r w:rsidRPr="00AB7D1E">
              <w:rPr>
                <w:rFonts w:cstheme="minorHAnsi"/>
                <w:b/>
                <w:sz w:val="20"/>
                <w:szCs w:val="20"/>
                <w:lang w:val="en-US"/>
              </w:rPr>
              <w:t xml:space="preserve"> </w:t>
            </w:r>
            <w:r w:rsidRPr="00AB7D1E">
              <w:rPr>
                <w:rFonts w:cstheme="minorHAnsi"/>
                <w:sz w:val="20"/>
                <w:szCs w:val="20"/>
                <w:lang w:val="en-US"/>
              </w:rPr>
              <w:t>below</w:t>
            </w:r>
          </w:p>
        </w:tc>
      </w:tr>
      <w:tr w:rsidR="008F32A6" w:rsidRPr="00AB7D1E" w14:paraId="1AC56CB3" w14:textId="77777777" w:rsidTr="007C680A">
        <w:trPr>
          <w:trHeight w:val="58"/>
          <w:jc w:val="center"/>
        </w:trPr>
        <w:tc>
          <w:tcPr>
            <w:tcW w:w="710" w:type="pct"/>
            <w:vMerge/>
          </w:tcPr>
          <w:p w14:paraId="76A44EE4"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18737917" w14:textId="7A263EFB" w:rsidR="008F32A6" w:rsidRPr="00AB7D1E" w:rsidRDefault="001B1D20" w:rsidP="008F32A6">
            <w:pPr>
              <w:suppressAutoHyphens w:val="0"/>
              <w:autoSpaceDN/>
              <w:spacing w:before="0" w:after="160" w:line="259" w:lineRule="auto"/>
              <w:jc w:val="left"/>
              <w:textAlignment w:val="auto"/>
              <w:rPr>
                <w:rFonts w:cstheme="minorHAnsi"/>
                <w:b/>
                <w:color w:val="000000"/>
                <w:sz w:val="20"/>
                <w:szCs w:val="20"/>
                <w:lang w:val="en-US"/>
              </w:rPr>
            </w:pPr>
            <w:r w:rsidRPr="00AB7D1E">
              <w:rPr>
                <w:rFonts w:cstheme="minorHAnsi"/>
                <w:color w:val="000000"/>
                <w:sz w:val="20"/>
                <w:szCs w:val="20"/>
                <w:lang w:val="en-US"/>
              </w:rPr>
              <w:t>C</w:t>
            </w:r>
            <w:r w:rsidR="008F32A6" w:rsidRPr="00AB7D1E">
              <w:rPr>
                <w:rFonts w:cstheme="minorHAnsi"/>
                <w:color w:val="000000"/>
                <w:sz w:val="20"/>
                <w:szCs w:val="20"/>
                <w:lang w:val="en-US"/>
              </w:rPr>
              <w:t xml:space="preserve">. </w:t>
            </w:r>
            <w:r w:rsidR="008700CF" w:rsidRPr="00AB7D1E">
              <w:rPr>
                <w:rFonts w:cstheme="minorHAnsi"/>
                <w:color w:val="000000"/>
                <w:sz w:val="20"/>
                <w:szCs w:val="20"/>
                <w:lang w:val="en-US"/>
              </w:rPr>
              <w:t>C</w:t>
            </w:r>
            <w:r w:rsidR="008F32A6" w:rsidRPr="00AB7D1E">
              <w:rPr>
                <w:rFonts w:cstheme="minorHAnsi"/>
                <w:color w:val="000000"/>
                <w:sz w:val="20"/>
                <w:szCs w:val="20"/>
                <w:lang w:val="en-US"/>
              </w:rPr>
              <w:t>ultural and historical heritage</w:t>
            </w:r>
          </w:p>
          <w:p w14:paraId="7D8B5980" w14:textId="77777777" w:rsidR="00B25314" w:rsidRPr="00B25314" w:rsidRDefault="00B25314"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B25314">
              <w:rPr>
                <w:rFonts w:cstheme="minorHAnsi"/>
                <w:color w:val="000000"/>
                <w:sz w:val="20"/>
                <w:szCs w:val="20"/>
                <w:lang w:val="en-US"/>
              </w:rPr>
              <w:t>Risk of damage to known/unknown historical buildings/cultural and historical area</w:t>
            </w:r>
          </w:p>
          <w:p w14:paraId="129ACB9E" w14:textId="65F576F6" w:rsidR="00B25314" w:rsidRPr="00AB7D1E" w:rsidRDefault="00B25314" w:rsidP="00BE60A0">
            <w:pPr>
              <w:numPr>
                <w:ilvl w:val="0"/>
                <w:numId w:val="43"/>
              </w:numPr>
              <w:suppressAutoHyphens w:val="0"/>
              <w:autoSpaceDN/>
              <w:spacing w:before="0" w:after="0" w:line="240" w:lineRule="auto"/>
              <w:contextualSpacing/>
              <w:jc w:val="left"/>
              <w:textAlignment w:val="auto"/>
              <w:rPr>
                <w:rFonts w:cstheme="minorHAnsi"/>
                <w:color w:val="000000"/>
                <w:sz w:val="20"/>
                <w:szCs w:val="20"/>
                <w:lang w:val="en-US"/>
              </w:rPr>
            </w:pPr>
            <w:r w:rsidRPr="00B25314">
              <w:rPr>
                <w:rFonts w:cstheme="minorHAnsi"/>
                <w:color w:val="000000"/>
                <w:sz w:val="20"/>
                <w:szCs w:val="20"/>
                <w:lang w:val="en-US"/>
              </w:rPr>
              <w:t>Chance finds are encountered</w:t>
            </w:r>
          </w:p>
        </w:tc>
        <w:tc>
          <w:tcPr>
            <w:tcW w:w="955" w:type="pct"/>
            <w:vAlign w:val="center"/>
          </w:tcPr>
          <w:p w14:paraId="57823527" w14:textId="77777777"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color w:val="000000"/>
                <w:sz w:val="20"/>
                <w:szCs w:val="20"/>
                <w:lang w:val="en-US"/>
              </w:rPr>
              <w:t>[ ] Yes [ ] No</w:t>
            </w:r>
          </w:p>
        </w:tc>
        <w:tc>
          <w:tcPr>
            <w:tcW w:w="1678" w:type="pct"/>
            <w:vAlign w:val="center"/>
          </w:tcPr>
          <w:p w14:paraId="393E0152" w14:textId="08D3EA84"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color w:val="000000"/>
                <w:sz w:val="20"/>
                <w:szCs w:val="20"/>
                <w:lang w:val="en-US"/>
              </w:rPr>
              <w:t>If “Yes”, S</w:t>
            </w:r>
            <w:r w:rsidRPr="00AB7D1E">
              <w:rPr>
                <w:rFonts w:eastAsia="NSimSun" w:cstheme="minorHAnsi"/>
                <w:sz w:val="20"/>
                <w:szCs w:val="20"/>
                <w:lang w:val="en-US"/>
              </w:rPr>
              <w:t xml:space="preserve">ee Section </w:t>
            </w:r>
            <w:r w:rsidR="007C6CA1" w:rsidRPr="00AB7D1E">
              <w:rPr>
                <w:rFonts w:eastAsia="NSimSun" w:cstheme="minorHAnsi"/>
                <w:sz w:val="20"/>
                <w:szCs w:val="20"/>
                <w:lang w:val="en-US"/>
              </w:rPr>
              <w:t>C</w:t>
            </w:r>
            <w:r w:rsidRPr="00AB7D1E">
              <w:rPr>
                <w:rFonts w:eastAsia="NSimSun" w:cstheme="minorHAnsi"/>
                <w:sz w:val="20"/>
                <w:szCs w:val="20"/>
                <w:lang w:val="en-US"/>
              </w:rPr>
              <w:t xml:space="preserve"> below</w:t>
            </w:r>
          </w:p>
        </w:tc>
      </w:tr>
      <w:tr w:rsidR="008F32A6" w:rsidRPr="00AB7D1E" w14:paraId="4F3ABB9B" w14:textId="77777777" w:rsidTr="007C680A">
        <w:trPr>
          <w:trHeight w:val="58"/>
          <w:jc w:val="center"/>
        </w:trPr>
        <w:tc>
          <w:tcPr>
            <w:tcW w:w="710" w:type="pct"/>
            <w:vMerge/>
          </w:tcPr>
          <w:p w14:paraId="22E7D490"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32D2615E" w14:textId="48981238" w:rsidR="008F32A6" w:rsidRPr="00AB7D1E" w:rsidRDefault="001B1D20" w:rsidP="008F32A6">
            <w:pPr>
              <w:suppressAutoHyphens w:val="0"/>
              <w:autoSpaceDN/>
              <w:spacing w:before="0" w:after="160" w:line="259" w:lineRule="auto"/>
              <w:jc w:val="left"/>
              <w:textAlignment w:val="auto"/>
              <w:rPr>
                <w:rFonts w:cstheme="minorHAnsi"/>
                <w:b/>
                <w:color w:val="000000"/>
                <w:sz w:val="20"/>
                <w:szCs w:val="20"/>
                <w:lang w:val="en-US"/>
              </w:rPr>
            </w:pPr>
            <w:r w:rsidRPr="00AB7D1E">
              <w:rPr>
                <w:rFonts w:cstheme="minorHAnsi"/>
                <w:color w:val="000000"/>
                <w:sz w:val="20"/>
                <w:szCs w:val="20"/>
                <w:lang w:val="en-US"/>
              </w:rPr>
              <w:t>D</w:t>
            </w:r>
            <w:r w:rsidR="008F32A6" w:rsidRPr="00AB7D1E">
              <w:rPr>
                <w:rFonts w:cstheme="minorHAnsi"/>
                <w:color w:val="000000"/>
                <w:sz w:val="20"/>
                <w:szCs w:val="20"/>
                <w:lang w:val="en-US"/>
              </w:rPr>
              <w:t xml:space="preserve">. Biodiversity </w:t>
            </w:r>
          </w:p>
          <w:p w14:paraId="4BEE30CF"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sz w:val="20"/>
                <w:szCs w:val="20"/>
                <w:lang w:val="en-US"/>
              </w:rPr>
            </w:pPr>
            <w:r w:rsidRPr="00AB7D1E">
              <w:rPr>
                <w:rFonts w:cstheme="minorHAnsi"/>
                <w:sz w:val="20"/>
                <w:szCs w:val="20"/>
                <w:lang w:val="en-US"/>
              </w:rPr>
              <w:t>Vicinity of recognized protection area or ecological network</w:t>
            </w:r>
          </w:p>
          <w:p w14:paraId="0BD350FD"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sz w:val="20"/>
                <w:szCs w:val="20"/>
                <w:lang w:val="en-US"/>
              </w:rPr>
            </w:pPr>
            <w:r w:rsidRPr="00AB7D1E">
              <w:rPr>
                <w:rFonts w:cstheme="minorHAnsi"/>
                <w:sz w:val="20"/>
                <w:szCs w:val="20"/>
                <w:lang w:val="en-US"/>
              </w:rPr>
              <w:t>Disturbance of protected animal habitats</w:t>
            </w:r>
          </w:p>
          <w:p w14:paraId="44D6C0F1"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cstheme="minorHAnsi"/>
                <w:sz w:val="20"/>
                <w:szCs w:val="20"/>
                <w:lang w:val="en-US"/>
              </w:rPr>
              <w:t>Cutting of trees/forest</w:t>
            </w:r>
          </w:p>
        </w:tc>
        <w:tc>
          <w:tcPr>
            <w:tcW w:w="955" w:type="pct"/>
            <w:vAlign w:val="center"/>
          </w:tcPr>
          <w:p w14:paraId="7DB4BEE1" w14:textId="77777777"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color w:val="000000"/>
                <w:sz w:val="20"/>
                <w:szCs w:val="20"/>
                <w:lang w:val="en-US"/>
              </w:rPr>
              <w:t>[ ] Yes [ ] No</w:t>
            </w:r>
          </w:p>
        </w:tc>
        <w:tc>
          <w:tcPr>
            <w:tcW w:w="1678" w:type="pct"/>
            <w:vAlign w:val="center"/>
          </w:tcPr>
          <w:p w14:paraId="1A0BBC12" w14:textId="40425748" w:rsidR="008F32A6" w:rsidRPr="00AB7D1E" w:rsidRDefault="008F32A6" w:rsidP="008F32A6">
            <w:pPr>
              <w:suppressAutoHyphens w:val="0"/>
              <w:autoSpaceDN/>
              <w:spacing w:before="0" w:after="160" w:line="259" w:lineRule="auto"/>
              <w:jc w:val="center"/>
              <w:textAlignment w:val="auto"/>
              <w:rPr>
                <w:rFonts w:cstheme="minorHAnsi"/>
                <w:color w:val="000000"/>
                <w:sz w:val="20"/>
                <w:szCs w:val="20"/>
                <w:lang w:val="en-US"/>
              </w:rPr>
            </w:pPr>
            <w:r w:rsidRPr="00AB7D1E">
              <w:rPr>
                <w:rFonts w:cstheme="minorHAnsi"/>
                <w:color w:val="000000"/>
                <w:sz w:val="20"/>
                <w:szCs w:val="20"/>
                <w:lang w:val="en-US"/>
              </w:rPr>
              <w:t>If “Yes”, S</w:t>
            </w:r>
            <w:r w:rsidRPr="00AB7D1E">
              <w:rPr>
                <w:rFonts w:eastAsia="NSimSun" w:cstheme="minorHAnsi"/>
                <w:sz w:val="20"/>
                <w:szCs w:val="20"/>
                <w:lang w:val="en-US"/>
              </w:rPr>
              <w:t xml:space="preserve">ee Section </w:t>
            </w:r>
            <w:r w:rsidR="007C6CA1" w:rsidRPr="00AB7D1E">
              <w:rPr>
                <w:rFonts w:eastAsia="NSimSun" w:cstheme="minorHAnsi"/>
                <w:sz w:val="20"/>
                <w:szCs w:val="20"/>
                <w:lang w:val="en-US"/>
              </w:rPr>
              <w:t>D</w:t>
            </w:r>
            <w:r w:rsidRPr="00AB7D1E">
              <w:rPr>
                <w:rFonts w:eastAsia="NSimSun" w:cstheme="minorHAnsi"/>
                <w:b/>
                <w:sz w:val="20"/>
                <w:szCs w:val="20"/>
                <w:lang w:val="en-US"/>
              </w:rPr>
              <w:t xml:space="preserve"> </w:t>
            </w:r>
            <w:r w:rsidRPr="00AB7D1E">
              <w:rPr>
                <w:rFonts w:eastAsia="NSimSun" w:cstheme="minorHAnsi"/>
                <w:sz w:val="20"/>
                <w:szCs w:val="20"/>
                <w:lang w:val="en-US"/>
              </w:rPr>
              <w:t>below</w:t>
            </w:r>
          </w:p>
        </w:tc>
      </w:tr>
      <w:tr w:rsidR="008F32A6" w:rsidRPr="00AB7D1E" w14:paraId="4FA5BE68" w14:textId="77777777" w:rsidTr="007C680A">
        <w:trPr>
          <w:trHeight w:val="58"/>
          <w:jc w:val="center"/>
        </w:trPr>
        <w:tc>
          <w:tcPr>
            <w:tcW w:w="710" w:type="pct"/>
            <w:vMerge/>
          </w:tcPr>
          <w:p w14:paraId="1B3C0493"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68883804" w14:textId="4D2AF3AD" w:rsidR="008F32A6" w:rsidRPr="00AB7D1E" w:rsidRDefault="001B1D20" w:rsidP="008F32A6">
            <w:pPr>
              <w:suppressAutoHyphens w:val="0"/>
              <w:autoSpaceDN/>
              <w:spacing w:before="0" w:after="160" w:line="259" w:lineRule="auto"/>
              <w:jc w:val="left"/>
              <w:textAlignment w:val="auto"/>
              <w:rPr>
                <w:rFonts w:cstheme="minorHAnsi"/>
                <w:color w:val="000000"/>
                <w:sz w:val="20"/>
                <w:szCs w:val="20"/>
                <w:lang w:val="en-US"/>
              </w:rPr>
            </w:pPr>
            <w:r w:rsidRPr="00AB7D1E">
              <w:rPr>
                <w:rFonts w:cstheme="minorHAnsi"/>
                <w:color w:val="000000"/>
                <w:sz w:val="20"/>
                <w:szCs w:val="20"/>
                <w:lang w:val="en-US"/>
              </w:rPr>
              <w:t>E</w:t>
            </w:r>
            <w:r w:rsidR="008F32A6" w:rsidRPr="00AB7D1E">
              <w:rPr>
                <w:rFonts w:cstheme="minorHAnsi"/>
                <w:color w:val="000000"/>
                <w:sz w:val="20"/>
                <w:szCs w:val="20"/>
                <w:lang w:val="en-US"/>
              </w:rPr>
              <w:t>. Waste generation and management</w:t>
            </w:r>
          </w:p>
          <w:p w14:paraId="4CD9EFA2"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b/>
                <w:sz w:val="20"/>
                <w:szCs w:val="20"/>
                <w:lang w:val="en-US"/>
              </w:rPr>
            </w:pPr>
            <w:r w:rsidRPr="00AB7D1E">
              <w:rPr>
                <w:rFonts w:eastAsia="Times New Roman" w:cstheme="minorHAnsi"/>
                <w:color w:val="000000"/>
                <w:sz w:val="20"/>
                <w:szCs w:val="20"/>
                <w:lang w:val="en-US"/>
              </w:rPr>
              <w:t>Generation of waste</w:t>
            </w:r>
          </w:p>
        </w:tc>
        <w:tc>
          <w:tcPr>
            <w:tcW w:w="955" w:type="pct"/>
            <w:vAlign w:val="center"/>
          </w:tcPr>
          <w:p w14:paraId="5FCAEF31" w14:textId="77777777"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color w:val="000000"/>
                <w:sz w:val="20"/>
                <w:szCs w:val="20"/>
                <w:lang w:val="en-US"/>
              </w:rPr>
              <w:t>[ ] Yes [ ] No</w:t>
            </w:r>
          </w:p>
        </w:tc>
        <w:tc>
          <w:tcPr>
            <w:tcW w:w="1678" w:type="pct"/>
            <w:vAlign w:val="center"/>
          </w:tcPr>
          <w:p w14:paraId="074726BC" w14:textId="5AE671E9"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color w:val="000000"/>
                <w:sz w:val="20"/>
                <w:szCs w:val="20"/>
                <w:lang w:val="en-US"/>
              </w:rPr>
              <w:t>If “Yes”, S</w:t>
            </w:r>
            <w:r w:rsidRPr="00AB7D1E">
              <w:rPr>
                <w:rFonts w:eastAsia="NSimSun" w:cstheme="minorHAnsi"/>
                <w:sz w:val="20"/>
                <w:szCs w:val="20"/>
                <w:lang w:val="en-US"/>
              </w:rPr>
              <w:t xml:space="preserve">ee Section </w:t>
            </w:r>
            <w:r w:rsidR="007C6CA1" w:rsidRPr="00AB7D1E">
              <w:rPr>
                <w:rFonts w:eastAsia="NSimSun" w:cstheme="minorHAnsi"/>
                <w:sz w:val="20"/>
                <w:szCs w:val="20"/>
                <w:lang w:val="en-US"/>
              </w:rPr>
              <w:t xml:space="preserve">E </w:t>
            </w:r>
            <w:r w:rsidRPr="00AB7D1E">
              <w:rPr>
                <w:rFonts w:eastAsia="NSimSun" w:cstheme="minorHAnsi"/>
                <w:sz w:val="20"/>
                <w:szCs w:val="20"/>
                <w:lang w:val="en-US"/>
              </w:rPr>
              <w:t>below</w:t>
            </w:r>
          </w:p>
        </w:tc>
      </w:tr>
      <w:tr w:rsidR="008F32A6" w:rsidRPr="00AB7D1E" w14:paraId="33BF7DA7" w14:textId="77777777" w:rsidTr="007C680A">
        <w:trPr>
          <w:trHeight w:val="58"/>
          <w:jc w:val="center"/>
        </w:trPr>
        <w:tc>
          <w:tcPr>
            <w:tcW w:w="710" w:type="pct"/>
            <w:vMerge/>
          </w:tcPr>
          <w:p w14:paraId="248679E5" w14:textId="77777777" w:rsidR="008F32A6" w:rsidRPr="00AB7D1E" w:rsidRDefault="008F32A6" w:rsidP="008F32A6">
            <w:pPr>
              <w:suppressAutoHyphens w:val="0"/>
              <w:autoSpaceDN/>
              <w:spacing w:before="0" w:after="160" w:line="259" w:lineRule="auto"/>
              <w:jc w:val="center"/>
              <w:textAlignment w:val="auto"/>
              <w:rPr>
                <w:rFonts w:eastAsia="NSimSun" w:cstheme="minorHAnsi"/>
                <w:sz w:val="20"/>
                <w:szCs w:val="20"/>
                <w:highlight w:val="yellow"/>
                <w:lang w:val="en-US"/>
              </w:rPr>
            </w:pPr>
          </w:p>
        </w:tc>
        <w:tc>
          <w:tcPr>
            <w:tcW w:w="1657" w:type="pct"/>
            <w:vAlign w:val="center"/>
          </w:tcPr>
          <w:p w14:paraId="55FEFF10" w14:textId="51A73748" w:rsidR="008F32A6" w:rsidRPr="00AB7D1E" w:rsidRDefault="001B1D20" w:rsidP="008F32A6">
            <w:pPr>
              <w:suppressAutoHyphens w:val="0"/>
              <w:autoSpaceDN/>
              <w:spacing w:before="0" w:after="160" w:line="259" w:lineRule="auto"/>
              <w:jc w:val="left"/>
              <w:textAlignment w:val="auto"/>
              <w:rPr>
                <w:rFonts w:cstheme="minorHAnsi"/>
                <w:b/>
                <w:color w:val="000000"/>
                <w:sz w:val="20"/>
                <w:szCs w:val="20"/>
                <w:lang w:val="en-US"/>
              </w:rPr>
            </w:pPr>
            <w:r w:rsidRPr="00AB7D1E">
              <w:rPr>
                <w:rFonts w:cstheme="minorHAnsi"/>
                <w:color w:val="000000"/>
                <w:sz w:val="20"/>
                <w:szCs w:val="20"/>
                <w:lang w:val="en-US"/>
              </w:rPr>
              <w:t>F</w:t>
            </w:r>
            <w:r w:rsidR="008F32A6" w:rsidRPr="00AB7D1E">
              <w:rPr>
                <w:rFonts w:cstheme="minorHAnsi"/>
                <w:color w:val="000000"/>
                <w:sz w:val="20"/>
                <w:szCs w:val="20"/>
                <w:lang w:val="en-US"/>
              </w:rPr>
              <w:t>. Traffic disturbance</w:t>
            </w:r>
          </w:p>
          <w:p w14:paraId="328BDD7C"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eastAsia="Times New Roman" w:cstheme="minorHAnsi"/>
                <w:color w:val="000000"/>
                <w:sz w:val="20"/>
                <w:szCs w:val="20"/>
                <w:lang w:val="en-US"/>
              </w:rPr>
            </w:pPr>
            <w:r w:rsidRPr="00AB7D1E">
              <w:rPr>
                <w:rFonts w:eastAsia="Times New Roman" w:cstheme="minorHAnsi"/>
                <w:color w:val="000000"/>
                <w:sz w:val="20"/>
                <w:szCs w:val="20"/>
                <w:lang w:val="en-US"/>
              </w:rPr>
              <w:t>Site specific vehicular traffic</w:t>
            </w:r>
          </w:p>
          <w:p w14:paraId="3ABC9B44" w14:textId="77777777" w:rsidR="008F32A6" w:rsidRPr="00AB7D1E" w:rsidRDefault="008F32A6" w:rsidP="00BE60A0">
            <w:pPr>
              <w:numPr>
                <w:ilvl w:val="0"/>
                <w:numId w:val="43"/>
              </w:numPr>
              <w:suppressAutoHyphens w:val="0"/>
              <w:autoSpaceDN/>
              <w:spacing w:before="0" w:after="0" w:line="240" w:lineRule="auto"/>
              <w:contextualSpacing/>
              <w:jc w:val="left"/>
              <w:textAlignment w:val="auto"/>
              <w:rPr>
                <w:rFonts w:cstheme="minorHAnsi"/>
                <w:sz w:val="20"/>
                <w:szCs w:val="20"/>
                <w:lang w:val="en-US"/>
              </w:rPr>
            </w:pPr>
            <w:r w:rsidRPr="00AB7D1E">
              <w:rPr>
                <w:rFonts w:eastAsia="Times New Roman" w:cstheme="minorHAnsi"/>
                <w:color w:val="000000"/>
                <w:sz w:val="20"/>
                <w:szCs w:val="20"/>
                <w:lang w:val="en-US"/>
              </w:rPr>
              <w:t>Site is in a populated area</w:t>
            </w:r>
          </w:p>
        </w:tc>
        <w:tc>
          <w:tcPr>
            <w:tcW w:w="955" w:type="pct"/>
            <w:vAlign w:val="center"/>
          </w:tcPr>
          <w:p w14:paraId="709D4289" w14:textId="77777777"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color w:val="000000"/>
                <w:sz w:val="20"/>
                <w:szCs w:val="20"/>
                <w:lang w:val="en-US"/>
              </w:rPr>
              <w:t>[ ] Yes [ ] No</w:t>
            </w:r>
          </w:p>
        </w:tc>
        <w:tc>
          <w:tcPr>
            <w:tcW w:w="1678" w:type="pct"/>
            <w:vAlign w:val="center"/>
          </w:tcPr>
          <w:p w14:paraId="5C0E82DF" w14:textId="2F176AF3" w:rsidR="008F32A6" w:rsidRPr="00AB7D1E" w:rsidRDefault="008F32A6" w:rsidP="008F32A6">
            <w:pPr>
              <w:suppressAutoHyphens w:val="0"/>
              <w:autoSpaceDN/>
              <w:spacing w:before="0" w:after="160" w:line="259" w:lineRule="auto"/>
              <w:jc w:val="center"/>
              <w:textAlignment w:val="auto"/>
              <w:rPr>
                <w:rFonts w:cstheme="minorHAnsi"/>
                <w:sz w:val="20"/>
                <w:szCs w:val="20"/>
                <w:lang w:val="en-US"/>
              </w:rPr>
            </w:pPr>
            <w:r w:rsidRPr="00AB7D1E">
              <w:rPr>
                <w:rFonts w:cstheme="minorHAnsi"/>
                <w:color w:val="000000"/>
                <w:sz w:val="20"/>
                <w:szCs w:val="20"/>
                <w:lang w:val="en-US"/>
              </w:rPr>
              <w:t>If “Yes”, S</w:t>
            </w:r>
            <w:r w:rsidRPr="00AB7D1E">
              <w:rPr>
                <w:rFonts w:eastAsia="NSimSun" w:cstheme="minorHAnsi"/>
                <w:sz w:val="20"/>
                <w:szCs w:val="20"/>
                <w:lang w:val="en-US"/>
              </w:rPr>
              <w:t>ee Section A,</w:t>
            </w:r>
            <w:r w:rsidR="007C6CA1" w:rsidRPr="00AB7D1E">
              <w:rPr>
                <w:rFonts w:eastAsia="NSimSun" w:cstheme="minorHAnsi"/>
                <w:sz w:val="20"/>
                <w:szCs w:val="20"/>
                <w:lang w:val="en-US"/>
              </w:rPr>
              <w:t xml:space="preserve"> B,</w:t>
            </w:r>
            <w:r w:rsidRPr="00AB7D1E">
              <w:rPr>
                <w:rFonts w:eastAsia="NSimSun" w:cstheme="minorHAnsi"/>
                <w:sz w:val="20"/>
                <w:szCs w:val="20"/>
                <w:lang w:val="en-US"/>
              </w:rPr>
              <w:t xml:space="preserve"> </w:t>
            </w:r>
            <w:r w:rsidR="007C6CA1" w:rsidRPr="00AB7D1E">
              <w:rPr>
                <w:rFonts w:eastAsia="NSimSun" w:cstheme="minorHAnsi"/>
                <w:sz w:val="20"/>
                <w:szCs w:val="20"/>
                <w:lang w:val="en-US"/>
              </w:rPr>
              <w:t xml:space="preserve">F </w:t>
            </w:r>
            <w:r w:rsidRPr="00AB7D1E">
              <w:rPr>
                <w:rFonts w:eastAsia="NSimSun" w:cstheme="minorHAnsi"/>
                <w:sz w:val="20"/>
                <w:szCs w:val="20"/>
                <w:lang w:val="en-US"/>
              </w:rPr>
              <w:t>below</w:t>
            </w:r>
          </w:p>
        </w:tc>
      </w:tr>
    </w:tbl>
    <w:p w14:paraId="08D5E872" w14:textId="77777777" w:rsidR="009F23D8" w:rsidRDefault="009F23D8" w:rsidP="009F23D8">
      <w:pPr>
        <w:suppressAutoHyphens w:val="0"/>
        <w:autoSpaceDN/>
        <w:spacing w:line="259" w:lineRule="auto"/>
        <w:jc w:val="left"/>
        <w:textAlignment w:val="auto"/>
        <w:rPr>
          <w:rFonts w:ascii="Calibri" w:hAnsi="Calibri"/>
          <w:b/>
          <w:bCs/>
          <w:i/>
          <w:iCs/>
          <w:u w:val="single"/>
          <w:lang w:val="en-US"/>
        </w:rPr>
      </w:pPr>
    </w:p>
    <w:p w14:paraId="538D1C47" w14:textId="77777777" w:rsidR="009F23D8" w:rsidRDefault="009F23D8" w:rsidP="009F23D8">
      <w:pPr>
        <w:suppressAutoHyphens w:val="0"/>
        <w:autoSpaceDN/>
        <w:spacing w:line="259" w:lineRule="auto"/>
        <w:jc w:val="left"/>
        <w:textAlignment w:val="auto"/>
        <w:rPr>
          <w:rFonts w:ascii="Calibri" w:hAnsi="Calibri"/>
          <w:b/>
          <w:bCs/>
          <w:i/>
          <w:iCs/>
          <w:u w:val="single"/>
          <w:lang w:val="en-US"/>
        </w:rPr>
      </w:pPr>
    </w:p>
    <w:p w14:paraId="722BF988" w14:textId="114307C0" w:rsidR="004749CE" w:rsidRPr="00AB7D1E" w:rsidRDefault="004749CE" w:rsidP="009F23D8">
      <w:pPr>
        <w:suppressAutoHyphens w:val="0"/>
        <w:autoSpaceDN/>
        <w:spacing w:line="259" w:lineRule="auto"/>
        <w:jc w:val="left"/>
        <w:textAlignment w:val="auto"/>
        <w:rPr>
          <w:rFonts w:ascii="Calibri" w:hAnsi="Calibri"/>
          <w:b/>
          <w:bCs/>
          <w:i/>
          <w:iCs/>
          <w:u w:val="single"/>
          <w:lang w:val="en-US"/>
        </w:rPr>
      </w:pPr>
      <w:r w:rsidRPr="00AB7D1E">
        <w:rPr>
          <w:rFonts w:ascii="Calibri" w:hAnsi="Calibri"/>
          <w:b/>
          <w:bCs/>
          <w:i/>
          <w:iCs/>
          <w:u w:val="single"/>
          <w:lang w:val="en-US"/>
        </w:rPr>
        <w:t xml:space="preserve">Mitigation measures </w:t>
      </w:r>
    </w:p>
    <w:p w14:paraId="1C10C36E" w14:textId="5375E2AE"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bookmarkStart w:id="272" w:name="_Hlk48514068"/>
      <w:r w:rsidRPr="00AB7D1E">
        <w:rPr>
          <w:rFonts w:ascii="Calibri" w:hAnsi="Calibri"/>
          <w:lang w:val="en-US"/>
        </w:rPr>
        <w:t>General conditions</w:t>
      </w:r>
      <w:r w:rsidR="00494089" w:rsidRPr="00AB7D1E">
        <w:rPr>
          <w:rFonts w:ascii="Calibri" w:hAnsi="Calibri"/>
          <w:lang w:val="en-US"/>
        </w:rPr>
        <w:t xml:space="preserve"> and social risk management</w:t>
      </w:r>
    </w:p>
    <w:p w14:paraId="317B3538" w14:textId="37A1FCDC" w:rsidR="004749CE" w:rsidRPr="00AB7D1E" w:rsidRDefault="00AA4828"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Repair</w:t>
      </w:r>
      <w:r w:rsidR="004749CE" w:rsidRPr="00AB7D1E">
        <w:rPr>
          <w:rFonts w:ascii="Calibri" w:hAnsi="Calibri"/>
          <w:lang w:val="en-US"/>
        </w:rPr>
        <w:t xml:space="preserve"> / r</w:t>
      </w:r>
      <w:r w:rsidR="004749CE" w:rsidRPr="00AB7D1E">
        <w:rPr>
          <w:rFonts w:ascii="Calibri" w:hAnsi="Calibri"/>
          <w:bCs/>
          <w:lang w:val="en-US"/>
        </w:rPr>
        <w:t xml:space="preserve">ehabilitation </w:t>
      </w:r>
      <w:r w:rsidR="004749CE" w:rsidRPr="00AB7D1E">
        <w:rPr>
          <w:rFonts w:ascii="Calibri" w:hAnsi="Calibri"/>
          <w:lang w:val="en-US"/>
        </w:rPr>
        <w:t>activities</w:t>
      </w:r>
    </w:p>
    <w:p w14:paraId="5EB582A1" w14:textId="40FF2E11"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 xml:space="preserve">Cultural </w:t>
      </w:r>
      <w:r w:rsidR="008700CF" w:rsidRPr="00AB7D1E">
        <w:rPr>
          <w:rFonts w:ascii="Calibri" w:hAnsi="Calibri"/>
          <w:lang w:val="en-US"/>
        </w:rPr>
        <w:t xml:space="preserve">and historical </w:t>
      </w:r>
      <w:r w:rsidRPr="00AB7D1E">
        <w:rPr>
          <w:rFonts w:ascii="Calibri" w:hAnsi="Calibri"/>
          <w:lang w:val="en-US"/>
        </w:rPr>
        <w:t xml:space="preserve">heritage </w:t>
      </w:r>
      <w:r w:rsidR="008700CF" w:rsidRPr="00AB7D1E">
        <w:rPr>
          <w:rFonts w:ascii="Calibri" w:hAnsi="Calibri"/>
          <w:lang w:val="en-US"/>
        </w:rPr>
        <w:t>(</w:t>
      </w:r>
      <w:r w:rsidRPr="00AB7D1E">
        <w:rPr>
          <w:rFonts w:ascii="Calibri" w:hAnsi="Calibri"/>
          <w:lang w:val="en-US"/>
        </w:rPr>
        <w:t>chance finds</w:t>
      </w:r>
      <w:r w:rsidR="008700CF" w:rsidRPr="00AB7D1E">
        <w:rPr>
          <w:rFonts w:ascii="Calibri" w:hAnsi="Calibri"/>
          <w:lang w:val="en-US"/>
        </w:rPr>
        <w:t>)</w:t>
      </w:r>
    </w:p>
    <w:p w14:paraId="746139CB" w14:textId="77777777"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Biodiversity</w:t>
      </w:r>
    </w:p>
    <w:p w14:paraId="50F322BF" w14:textId="77777777"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Waste generation and management</w:t>
      </w:r>
    </w:p>
    <w:p w14:paraId="1A88D8EC" w14:textId="77777777" w:rsidR="004749CE" w:rsidRPr="00AB7D1E" w:rsidRDefault="004749CE" w:rsidP="004749CE">
      <w:pPr>
        <w:numPr>
          <w:ilvl w:val="0"/>
          <w:numId w:val="9"/>
        </w:numPr>
        <w:suppressAutoHyphens w:val="0"/>
        <w:autoSpaceDN/>
        <w:spacing w:before="0" w:after="160" w:line="259" w:lineRule="auto"/>
        <w:jc w:val="left"/>
        <w:textAlignment w:val="auto"/>
        <w:rPr>
          <w:rFonts w:ascii="Calibri" w:hAnsi="Calibri"/>
          <w:lang w:val="en-US"/>
        </w:rPr>
      </w:pPr>
      <w:r w:rsidRPr="00AB7D1E">
        <w:rPr>
          <w:rFonts w:ascii="Calibri" w:hAnsi="Calibri"/>
          <w:lang w:val="en-US"/>
        </w:rPr>
        <w:t>Traffic disturbance</w:t>
      </w:r>
    </w:p>
    <w:p w14:paraId="464EFA0D" w14:textId="1EE08F4C" w:rsidR="004749CE" w:rsidRPr="00AB7D1E" w:rsidRDefault="004749CE" w:rsidP="007D1E1B">
      <w:pPr>
        <w:pStyle w:val="Style1"/>
      </w:pPr>
      <w:bookmarkStart w:id="273" w:name="_Toc56952727"/>
      <w:bookmarkEnd w:id="272"/>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27</w:t>
      </w:r>
      <w:r w:rsidR="00DF4A34" w:rsidRPr="00AB7D1E">
        <w:fldChar w:fldCharType="end"/>
      </w:r>
      <w:r w:rsidRPr="00AB7D1E">
        <w:t xml:space="preserve">. </w:t>
      </w:r>
      <w:r w:rsidR="001C17B2" w:rsidRPr="00AB7D1E">
        <w:t xml:space="preserve">Part III - </w:t>
      </w:r>
      <w:r w:rsidRPr="00AB7D1E">
        <w:t>Environmental and social mitigation measures</w:t>
      </w:r>
      <w:bookmarkEnd w:id="273"/>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35"/>
        <w:gridCol w:w="2742"/>
        <w:gridCol w:w="8315"/>
      </w:tblGrid>
      <w:tr w:rsidR="004749CE" w:rsidRPr="00AB7D1E" w14:paraId="4AF90E36" w14:textId="77777777" w:rsidTr="004749CE">
        <w:trPr>
          <w:tblHeader/>
        </w:trPr>
        <w:tc>
          <w:tcPr>
            <w:tcW w:w="2935" w:type="dxa"/>
            <w:shd w:val="clear" w:color="auto" w:fill="CEDBE6" w:themeFill="background2"/>
            <w:tcMar>
              <w:top w:w="0" w:type="dxa"/>
              <w:left w:w="108" w:type="dxa"/>
              <w:bottom w:w="0" w:type="dxa"/>
              <w:right w:w="108" w:type="dxa"/>
            </w:tcMar>
            <w:vAlign w:val="center"/>
          </w:tcPr>
          <w:p w14:paraId="00AA7C48" w14:textId="77777777" w:rsidR="004749CE" w:rsidRPr="00AB7D1E" w:rsidRDefault="004749CE" w:rsidP="004749CE">
            <w:pPr>
              <w:widowControl w:val="0"/>
              <w:suppressAutoHyphens w:val="0"/>
              <w:autoSpaceDN/>
              <w:spacing w:before="0" w:after="0" w:line="240" w:lineRule="auto"/>
              <w:jc w:val="center"/>
              <w:textAlignment w:val="auto"/>
              <w:rPr>
                <w:rFonts w:ascii="Calibri" w:eastAsia="Times New Roman" w:hAnsi="Calibri" w:cs="Calibri"/>
                <w:b/>
                <w:bCs/>
                <w:sz w:val="20"/>
                <w:szCs w:val="20"/>
                <w:lang w:val="en-US"/>
              </w:rPr>
            </w:pPr>
            <w:r w:rsidRPr="00AB7D1E">
              <w:rPr>
                <w:rFonts w:ascii="Calibri" w:eastAsia="Times New Roman" w:hAnsi="Calibri" w:cs="Calibri"/>
                <w:b/>
                <w:bCs/>
                <w:sz w:val="20"/>
                <w:szCs w:val="20"/>
                <w:lang w:val="en-US"/>
              </w:rPr>
              <w:t>Activity</w:t>
            </w:r>
          </w:p>
        </w:tc>
        <w:tc>
          <w:tcPr>
            <w:tcW w:w="2742" w:type="dxa"/>
            <w:shd w:val="clear" w:color="auto" w:fill="CEDBE6" w:themeFill="background2"/>
            <w:tcMar>
              <w:top w:w="0" w:type="dxa"/>
              <w:left w:w="108" w:type="dxa"/>
              <w:bottom w:w="0" w:type="dxa"/>
              <w:right w:w="108" w:type="dxa"/>
            </w:tcMar>
            <w:vAlign w:val="center"/>
          </w:tcPr>
          <w:p w14:paraId="276E8883" w14:textId="77777777" w:rsidR="004749CE" w:rsidRPr="00AB7D1E" w:rsidRDefault="004749CE" w:rsidP="004749CE">
            <w:pPr>
              <w:widowControl w:val="0"/>
              <w:suppressAutoHyphens w:val="0"/>
              <w:autoSpaceDN/>
              <w:spacing w:before="0" w:after="0" w:line="240" w:lineRule="auto"/>
              <w:ind w:left="219" w:right="323"/>
              <w:jc w:val="center"/>
              <w:textAlignment w:val="auto"/>
              <w:rPr>
                <w:rFonts w:ascii="Calibri" w:eastAsia="Times New Roman" w:hAnsi="Calibri" w:cs="Calibri"/>
                <w:b/>
                <w:sz w:val="20"/>
                <w:szCs w:val="20"/>
                <w:lang w:val="en-US"/>
              </w:rPr>
            </w:pPr>
            <w:r w:rsidRPr="00AB7D1E">
              <w:rPr>
                <w:rFonts w:ascii="Calibri" w:eastAsia="Times New Roman" w:hAnsi="Calibri" w:cs="Calibri"/>
                <w:b/>
                <w:sz w:val="20"/>
                <w:szCs w:val="20"/>
                <w:lang w:val="en-US"/>
              </w:rPr>
              <w:t>Parameter</w:t>
            </w:r>
          </w:p>
        </w:tc>
        <w:tc>
          <w:tcPr>
            <w:tcW w:w="8315" w:type="dxa"/>
            <w:shd w:val="clear" w:color="auto" w:fill="CEDBE6" w:themeFill="background2"/>
            <w:tcMar>
              <w:top w:w="0" w:type="dxa"/>
              <w:left w:w="108" w:type="dxa"/>
              <w:bottom w:w="0" w:type="dxa"/>
              <w:right w:w="108" w:type="dxa"/>
            </w:tcMar>
            <w:vAlign w:val="center"/>
          </w:tcPr>
          <w:p w14:paraId="5677BF77" w14:textId="77777777" w:rsidR="004749CE" w:rsidRPr="00AB7D1E" w:rsidRDefault="004749CE" w:rsidP="004749CE">
            <w:pPr>
              <w:widowControl w:val="0"/>
              <w:suppressAutoHyphens w:val="0"/>
              <w:autoSpaceDN/>
              <w:spacing w:before="0" w:after="0" w:line="240" w:lineRule="auto"/>
              <w:ind w:right="323"/>
              <w:jc w:val="center"/>
              <w:textAlignment w:val="auto"/>
              <w:rPr>
                <w:rFonts w:ascii="Calibri" w:eastAsia="Times New Roman" w:hAnsi="Calibri" w:cs="Calibri"/>
                <w:b/>
                <w:sz w:val="20"/>
                <w:szCs w:val="20"/>
                <w:lang w:val="en-US"/>
              </w:rPr>
            </w:pPr>
            <w:r w:rsidRPr="00AB7D1E">
              <w:rPr>
                <w:rFonts w:ascii="Calibri" w:eastAsia="Times New Roman" w:hAnsi="Calibri" w:cs="Calibri"/>
                <w:b/>
                <w:sz w:val="20"/>
                <w:szCs w:val="20"/>
                <w:lang w:val="en-US"/>
              </w:rPr>
              <w:t>Mitigation measures checklist</w:t>
            </w:r>
          </w:p>
        </w:tc>
      </w:tr>
      <w:tr w:rsidR="004749CE" w:rsidRPr="00AB7D1E" w14:paraId="0D43A753" w14:textId="77777777" w:rsidTr="00201842">
        <w:tc>
          <w:tcPr>
            <w:tcW w:w="2935" w:type="dxa"/>
            <w:shd w:val="clear" w:color="auto" w:fill="auto"/>
            <w:tcMar>
              <w:top w:w="0" w:type="dxa"/>
              <w:left w:w="108" w:type="dxa"/>
              <w:bottom w:w="0" w:type="dxa"/>
              <w:right w:w="108" w:type="dxa"/>
            </w:tcMar>
          </w:tcPr>
          <w:p w14:paraId="4FA304D5" w14:textId="0FFE3D07" w:rsidR="004749CE" w:rsidRPr="00AB7D1E" w:rsidRDefault="004749CE" w:rsidP="004749CE">
            <w:pPr>
              <w:widowControl w:val="0"/>
              <w:suppressAutoHyphens w:val="0"/>
              <w:autoSpaceDN/>
              <w:spacing w:before="0" w:after="200" w:line="276" w:lineRule="auto"/>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t>A General conditions</w:t>
            </w:r>
            <w:r w:rsidR="00494089" w:rsidRPr="00AB7D1E">
              <w:rPr>
                <w:rFonts w:ascii="Calibri" w:eastAsia="Times New Roman" w:hAnsi="Calibri" w:cs="Calibri"/>
                <w:bCs/>
                <w:sz w:val="20"/>
                <w:szCs w:val="20"/>
                <w:lang w:val="en-US"/>
              </w:rPr>
              <w:t xml:space="preserve"> and social risk management</w:t>
            </w:r>
          </w:p>
        </w:tc>
        <w:tc>
          <w:tcPr>
            <w:tcW w:w="2742" w:type="dxa"/>
            <w:shd w:val="clear" w:color="auto" w:fill="auto"/>
            <w:tcMar>
              <w:top w:w="0" w:type="dxa"/>
              <w:left w:w="108" w:type="dxa"/>
              <w:bottom w:w="0" w:type="dxa"/>
              <w:right w:w="108" w:type="dxa"/>
            </w:tcMar>
          </w:tcPr>
          <w:p w14:paraId="3BFD49B4" w14:textId="17796A62" w:rsidR="004749CE" w:rsidRPr="00AB7D1E" w:rsidRDefault="004749CE" w:rsidP="004749CE">
            <w:pPr>
              <w:widowControl w:val="0"/>
              <w:suppressAutoHyphens w:val="0"/>
              <w:autoSpaceDN/>
              <w:spacing w:before="0" w:after="0" w:line="240" w:lineRule="auto"/>
              <w:ind w:left="219"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Site organization, occupational and health safety, permits and certificates </w:t>
            </w:r>
          </w:p>
        </w:tc>
        <w:tc>
          <w:tcPr>
            <w:tcW w:w="8315" w:type="dxa"/>
            <w:shd w:val="clear" w:color="auto" w:fill="auto"/>
            <w:tcMar>
              <w:top w:w="0" w:type="dxa"/>
              <w:left w:w="108" w:type="dxa"/>
              <w:bottom w:w="0" w:type="dxa"/>
              <w:right w:w="108" w:type="dxa"/>
            </w:tcMar>
          </w:tcPr>
          <w:p w14:paraId="7F014E8F" w14:textId="2DE79683"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the state inspectorate has been notified of upcoming activities and the copy of notification is available at the construction site,</w:t>
            </w:r>
          </w:p>
          <w:p w14:paraId="702FD1C9" w14:textId="482CDD9B"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construction Work Plan is available at the construction site (in case that two or more contractors perform construction activities),</w:t>
            </w:r>
          </w:p>
          <w:p w14:paraId="7712593E" w14:textId="4210100D" w:rsidR="001F1A77" w:rsidRPr="00AB7D1E" w:rsidRDefault="001F1A77" w:rsidP="00BE60A0">
            <w:pPr>
              <w:pStyle w:val="ListParagraph"/>
              <w:numPr>
                <w:ilvl w:val="0"/>
                <w:numId w:val="45"/>
              </w:numPr>
              <w:spacing w:before="0" w:after="0"/>
              <w:rPr>
                <w:rFonts w:ascii="Calibri" w:eastAsia="Times New Roman" w:hAnsi="Calibri" w:cs="Calibri"/>
                <w:sz w:val="20"/>
                <w:szCs w:val="20"/>
                <w:lang w:val="en-US"/>
              </w:rPr>
            </w:pPr>
            <w:r w:rsidRPr="00AB7D1E">
              <w:rPr>
                <w:rFonts w:ascii="Calibri" w:eastAsia="Times New Roman" w:hAnsi="Calibri" w:cs="Calibri"/>
                <w:sz w:val="20"/>
                <w:szCs w:val="20"/>
                <w:lang w:val="en-US"/>
              </w:rPr>
              <w:t>assign person who is in charge of communication with and receiving requests/complaints from local population</w:t>
            </w:r>
            <w:r w:rsidR="00912C2F" w:rsidRPr="00AB7D1E">
              <w:rPr>
                <w:rFonts w:ascii="Calibri" w:eastAsia="Times New Roman" w:hAnsi="Calibri" w:cs="Calibri"/>
                <w:sz w:val="20"/>
                <w:szCs w:val="20"/>
                <w:lang w:val="en-US"/>
              </w:rPr>
              <w:t>,</w:t>
            </w:r>
          </w:p>
          <w:p w14:paraId="2B009886" w14:textId="7D449DD5" w:rsidR="0096003A" w:rsidRPr="00AB7D1E" w:rsidRDefault="0096003A" w:rsidP="00BE60A0">
            <w:pPr>
              <w:pStyle w:val="ListParagraph"/>
              <w:numPr>
                <w:ilvl w:val="0"/>
                <w:numId w:val="45"/>
              </w:numPr>
              <w:spacing w:before="0" w:after="0"/>
              <w:rPr>
                <w:rFonts w:ascii="Calibri" w:eastAsia="Times New Roman" w:hAnsi="Calibri" w:cs="Calibri"/>
                <w:sz w:val="20"/>
                <w:szCs w:val="20"/>
                <w:lang w:val="en-US"/>
              </w:rPr>
            </w:pPr>
            <w:r w:rsidRPr="00AB7D1E">
              <w:rPr>
                <w:rFonts w:ascii="Calibri" w:eastAsia="Times New Roman" w:hAnsi="Calibri" w:cs="Calibri"/>
                <w:sz w:val="20"/>
                <w:szCs w:val="20"/>
                <w:lang w:val="en-US"/>
              </w:rPr>
              <w:t>try to limit construction activities at night. When necessary, carefully schedule night work and inform affected community beforehand</w:t>
            </w:r>
            <w:r w:rsidR="00912C2F" w:rsidRPr="00AB7D1E">
              <w:rPr>
                <w:rFonts w:ascii="Calibri" w:eastAsia="Times New Roman" w:hAnsi="Calibri" w:cs="Calibri"/>
                <w:sz w:val="20"/>
                <w:szCs w:val="20"/>
                <w:lang w:val="en-US"/>
              </w:rPr>
              <w:t>,</w:t>
            </w:r>
          </w:p>
          <w:p w14:paraId="75900660" w14:textId="60DD2D5F"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all legally required permits have been acquired and are kept on site,</w:t>
            </w:r>
          </w:p>
          <w:p w14:paraId="3151828B"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contractor/subcontractors have valid operating licenses,</w:t>
            </w:r>
          </w:p>
          <w:p w14:paraId="1F09D71B" w14:textId="284CBF8F"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all work </w:t>
            </w:r>
            <w:r w:rsidR="00D60F92" w:rsidRPr="00AB7D1E">
              <w:rPr>
                <w:rFonts w:ascii="Calibri" w:eastAsia="Times New Roman" w:hAnsi="Calibri" w:cs="Calibri"/>
                <w:sz w:val="20"/>
                <w:szCs w:val="20"/>
                <w:lang w:val="en-US"/>
              </w:rPr>
              <w:t>is</w:t>
            </w:r>
            <w:r w:rsidRPr="00AB7D1E">
              <w:rPr>
                <w:rFonts w:ascii="Calibri" w:eastAsia="Times New Roman" w:hAnsi="Calibri" w:cs="Calibri"/>
                <w:sz w:val="20"/>
                <w:szCs w:val="20"/>
                <w:lang w:val="en-US"/>
              </w:rPr>
              <w:t xml:space="preserve"> carried out in a safe and disciplined manner designed to minimize impacts on </w:t>
            </w:r>
            <w:proofErr w:type="spellStart"/>
            <w:r w:rsidRPr="00AB7D1E">
              <w:rPr>
                <w:rFonts w:ascii="Calibri" w:eastAsia="Times New Roman" w:hAnsi="Calibri" w:cs="Calibri"/>
                <w:sz w:val="20"/>
                <w:szCs w:val="20"/>
                <w:lang w:val="en-US"/>
              </w:rPr>
              <w:t>neighbouring</w:t>
            </w:r>
            <w:proofErr w:type="spellEnd"/>
            <w:r w:rsidRPr="00AB7D1E">
              <w:rPr>
                <w:rFonts w:ascii="Calibri" w:eastAsia="Times New Roman" w:hAnsi="Calibri" w:cs="Calibri"/>
                <w:sz w:val="20"/>
                <w:szCs w:val="20"/>
                <w:lang w:val="en-US"/>
              </w:rPr>
              <w:t xml:space="preserve"> residents and environment,</w:t>
            </w:r>
          </w:p>
          <w:p w14:paraId="578DDAA8" w14:textId="74CC6CCE"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mandatory use of protective equipment, workers’ personal protective equipment and safety procedures comply with legislation and international good practice (e.g. wearing protective helmets, masks and safety glasses, harnesses and safety boots, etc.),</w:t>
            </w:r>
          </w:p>
          <w:p w14:paraId="780A538B" w14:textId="7C0D8613"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appropriate informative and warning signposting of the sites inform workers of key rules and regulations to follow,</w:t>
            </w:r>
          </w:p>
          <w:p w14:paraId="3F33E6A5"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the construction location is fenced and marked,</w:t>
            </w:r>
          </w:p>
          <w:p w14:paraId="45241831"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public is informed on the works through appropriate notification in the media and/or at </w:t>
            </w:r>
            <w:r w:rsidRPr="00AB7D1E">
              <w:rPr>
                <w:rFonts w:ascii="Calibri" w:eastAsia="Times New Roman" w:hAnsi="Calibri" w:cs="Calibri"/>
                <w:sz w:val="20"/>
                <w:szCs w:val="20"/>
                <w:lang w:val="en-US"/>
              </w:rPr>
              <w:lastRenderedPageBreak/>
              <w:t>publicly accessible sites (including the site of the works),</w:t>
            </w:r>
          </w:p>
          <w:p w14:paraId="14C0D7E2" w14:textId="2484005A"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entry for unemployed person within the project location is prohibited (within the warning tapes and fences when/where deem needed),</w:t>
            </w:r>
          </w:p>
          <w:p w14:paraId="4526C8E6"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open pits are covered and clearly marked when not worked on,</w:t>
            </w:r>
          </w:p>
          <w:p w14:paraId="7BF60A8D" w14:textId="6C1CFD1F"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the surrounding area near the project </w:t>
            </w:r>
            <w:r w:rsidR="00AA45A8" w:rsidRPr="00AB7D1E">
              <w:rPr>
                <w:rFonts w:ascii="Calibri" w:eastAsia="Times New Roman" w:hAnsi="Calibri" w:cs="Calibri"/>
                <w:sz w:val="20"/>
                <w:szCs w:val="20"/>
                <w:lang w:val="en-US"/>
              </w:rPr>
              <w:t>is</w:t>
            </w:r>
            <w:r w:rsidRPr="00AB7D1E">
              <w:rPr>
                <w:rFonts w:ascii="Calibri" w:eastAsia="Times New Roman" w:hAnsi="Calibri" w:cs="Calibri"/>
                <w:sz w:val="20"/>
                <w:szCs w:val="20"/>
                <w:lang w:val="en-US"/>
              </w:rPr>
              <w:t xml:space="preserve"> kept clean,</w:t>
            </w:r>
          </w:p>
          <w:p w14:paraId="28FFABC0" w14:textId="659FADA8"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machines </w:t>
            </w:r>
            <w:r w:rsidR="00AA45A8" w:rsidRPr="00AB7D1E">
              <w:rPr>
                <w:rFonts w:ascii="Calibri" w:eastAsia="Times New Roman" w:hAnsi="Calibri" w:cs="Calibri"/>
                <w:sz w:val="20"/>
                <w:szCs w:val="20"/>
                <w:lang w:val="en-US"/>
              </w:rPr>
              <w:t>are</w:t>
            </w:r>
            <w:r w:rsidRPr="00AB7D1E">
              <w:rPr>
                <w:rFonts w:ascii="Calibri" w:eastAsia="Times New Roman" w:hAnsi="Calibri" w:cs="Calibri"/>
                <w:sz w:val="20"/>
                <w:szCs w:val="20"/>
                <w:lang w:val="en-US"/>
              </w:rPr>
              <w:t xml:space="preserve"> handled only by experienced and appropriately trained personnel, thus reducing the risk of accidents,</w:t>
            </w:r>
          </w:p>
          <w:p w14:paraId="4A66D227" w14:textId="77777777" w:rsidR="00912C2F"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devices, equipment and fire extinguishers </w:t>
            </w:r>
            <w:r w:rsidR="00AA45A8" w:rsidRPr="00AB7D1E">
              <w:rPr>
                <w:rFonts w:ascii="Calibri" w:eastAsia="Times New Roman" w:hAnsi="Calibri" w:cs="Calibri"/>
                <w:sz w:val="20"/>
                <w:szCs w:val="20"/>
                <w:lang w:val="en-US"/>
              </w:rPr>
              <w:t>are</w:t>
            </w:r>
            <w:r w:rsidRPr="00AB7D1E">
              <w:rPr>
                <w:rFonts w:ascii="Calibri" w:eastAsia="Times New Roman" w:hAnsi="Calibri" w:cs="Calibri"/>
                <w:sz w:val="20"/>
                <w:szCs w:val="20"/>
                <w:lang w:val="en-US"/>
              </w:rPr>
              <w:t xml:space="preserve"> always functional, so in case of need they could be used rapidly and efficiently. </w:t>
            </w:r>
          </w:p>
          <w:p w14:paraId="736CA735" w14:textId="119ABDDB" w:rsidR="004749CE" w:rsidRPr="00AB7D1E" w:rsidRDefault="00912C2F"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f</w:t>
            </w:r>
            <w:r w:rsidR="004749CE" w:rsidRPr="00AB7D1E">
              <w:rPr>
                <w:rFonts w:ascii="Calibri" w:eastAsia="Times New Roman" w:hAnsi="Calibri" w:cs="Calibri"/>
                <w:sz w:val="20"/>
                <w:szCs w:val="20"/>
                <w:lang w:val="en-US"/>
              </w:rPr>
              <w:t xml:space="preserve">irst aid kits </w:t>
            </w:r>
            <w:r w:rsidRPr="00AB7D1E">
              <w:rPr>
                <w:rFonts w:ascii="Calibri" w:eastAsia="Times New Roman" w:hAnsi="Calibri" w:cs="Calibri"/>
                <w:sz w:val="20"/>
                <w:szCs w:val="20"/>
                <w:lang w:val="en-US"/>
              </w:rPr>
              <w:t>are</w:t>
            </w:r>
            <w:r w:rsidR="004749CE" w:rsidRPr="00AB7D1E">
              <w:rPr>
                <w:rFonts w:ascii="Calibri" w:eastAsia="Times New Roman" w:hAnsi="Calibri" w:cs="Calibri"/>
                <w:sz w:val="20"/>
                <w:szCs w:val="20"/>
                <w:lang w:val="en-US"/>
              </w:rPr>
              <w:t xml:space="preserve"> available on the site and personnel trained to use it,</w:t>
            </w:r>
          </w:p>
          <w:p w14:paraId="2A57A0E1" w14:textId="496CF93B"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staff is properly trained for the positions and work performed, workers hold valid workers certificates for e.g. certificates for electrical safety (for li-censed electrician),</w:t>
            </w:r>
            <w:r w:rsidR="008700CF" w:rsidRPr="00AB7D1E">
              <w:rPr>
                <w:rFonts w:ascii="Calibri" w:eastAsia="Times New Roman" w:hAnsi="Calibri" w:cs="Calibri"/>
                <w:sz w:val="20"/>
                <w:szCs w:val="20"/>
                <w:lang w:val="en-US"/>
              </w:rPr>
              <w:t xml:space="preserve"> </w:t>
            </w:r>
            <w:proofErr w:type="spellStart"/>
            <w:r w:rsidRPr="00AB7D1E">
              <w:rPr>
                <w:rFonts w:ascii="Calibri" w:eastAsia="Times New Roman" w:hAnsi="Calibri" w:cs="Calibri"/>
                <w:sz w:val="20"/>
                <w:szCs w:val="20"/>
                <w:lang w:val="en-US"/>
              </w:rPr>
              <w:t>etc</w:t>
            </w:r>
            <w:proofErr w:type="spellEnd"/>
            <w:r w:rsidRPr="00AB7D1E">
              <w:rPr>
                <w:rFonts w:ascii="Calibri" w:eastAsia="Times New Roman" w:hAnsi="Calibri" w:cs="Calibri"/>
                <w:sz w:val="20"/>
                <w:szCs w:val="20"/>
                <w:lang w:val="en-US"/>
              </w:rPr>
              <w:t>,</w:t>
            </w:r>
          </w:p>
          <w:p w14:paraId="7EC39EB1" w14:textId="77777777"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procedures for cases of emergency (including spills, accidents, etc.) are available at the site,</w:t>
            </w:r>
          </w:p>
          <w:p w14:paraId="0272A54A" w14:textId="79FC1BE7" w:rsidR="00231170" w:rsidRPr="00AB7D1E" w:rsidRDefault="001F1A77"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w:t>
            </w:r>
            <w:r w:rsidR="00231170" w:rsidRPr="00AB7D1E">
              <w:rPr>
                <w:rFonts w:ascii="Calibri" w:eastAsia="Times New Roman" w:hAnsi="Calibri" w:cs="Calibri"/>
                <w:sz w:val="20"/>
                <w:szCs w:val="20"/>
                <w:lang w:val="en-US"/>
              </w:rPr>
              <w:t>rovide adequate lavatory facilities (toilets and washing areas) in the work site with adequate supplies of hot and cold running water, soap, and hand drying devices</w:t>
            </w:r>
            <w:r w:rsidR="00756ED3" w:rsidRPr="00AB7D1E">
              <w:rPr>
                <w:rFonts w:ascii="Calibri" w:eastAsia="Times New Roman" w:hAnsi="Calibri" w:cs="Calibri"/>
                <w:sz w:val="20"/>
                <w:szCs w:val="20"/>
                <w:lang w:val="en-US"/>
              </w:rPr>
              <w:t>,</w:t>
            </w:r>
          </w:p>
          <w:p w14:paraId="2BB101C8" w14:textId="715446A5"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purchased equipment installed and used respecting all safety measures prescribed by the producer of equipment and best practices,</w:t>
            </w:r>
          </w:p>
          <w:p w14:paraId="28B7626F" w14:textId="74A221A0" w:rsidR="004749CE" w:rsidRPr="00AB7D1E" w:rsidRDefault="004749CE"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in the case of </w:t>
            </w:r>
            <w:r w:rsidR="00AA4828" w:rsidRPr="00AB7D1E">
              <w:rPr>
                <w:rFonts w:ascii="Calibri" w:eastAsia="Times New Roman" w:hAnsi="Calibri" w:cs="Calibri"/>
                <w:sz w:val="20"/>
                <w:szCs w:val="20"/>
                <w:lang w:val="en-US"/>
              </w:rPr>
              <w:t>repair</w:t>
            </w:r>
            <w:r w:rsidRPr="00AB7D1E">
              <w:rPr>
                <w:rFonts w:ascii="Calibri" w:eastAsia="Times New Roman" w:hAnsi="Calibri" w:cs="Calibri"/>
                <w:sz w:val="20"/>
                <w:szCs w:val="20"/>
                <w:lang w:val="en-US"/>
              </w:rPr>
              <w:t>/ rehabilitation activities, if construction site is of such a nature that it is not possible, in line with construction practice, to disable access to the construction site to anyone except work site workers, then it is necessary to provide adequate replacement nearby</w:t>
            </w:r>
            <w:r w:rsidR="008700CF" w:rsidRPr="00AB7D1E">
              <w:rPr>
                <w:rFonts w:ascii="Calibri" w:eastAsia="Times New Roman" w:hAnsi="Calibri" w:cs="Calibri"/>
                <w:sz w:val="20"/>
                <w:szCs w:val="20"/>
                <w:lang w:val="en-US"/>
              </w:rPr>
              <w:t>,</w:t>
            </w:r>
          </w:p>
          <w:p w14:paraId="61C52F82" w14:textId="0CA2076C" w:rsidR="00AA45A8" w:rsidRDefault="00756ED3" w:rsidP="00BE60A0">
            <w:pPr>
              <w:pStyle w:val="ListParagraph"/>
              <w:numPr>
                <w:ilvl w:val="0"/>
                <w:numId w:val="45"/>
              </w:numPr>
              <w:spacing w:before="0" w:after="0" w:line="240" w:lineRule="auto"/>
              <w:rPr>
                <w:rFonts w:ascii="Calibri" w:eastAsia="Times New Roman" w:hAnsi="Calibri" w:cs="Calibri"/>
                <w:sz w:val="20"/>
                <w:szCs w:val="20"/>
                <w:lang w:val="en-US"/>
              </w:rPr>
            </w:pPr>
            <w:r w:rsidRPr="00AB7D1E">
              <w:rPr>
                <w:rFonts w:ascii="Calibri" w:eastAsia="Times New Roman" w:hAnsi="Calibri" w:cs="Calibri"/>
                <w:sz w:val="20"/>
                <w:szCs w:val="20"/>
                <w:lang w:val="en-US"/>
              </w:rPr>
              <w:t>n</w:t>
            </w:r>
            <w:r w:rsidR="00B37EF4" w:rsidRPr="00AB7D1E">
              <w:rPr>
                <w:rFonts w:ascii="Calibri" w:eastAsia="Times New Roman" w:hAnsi="Calibri" w:cs="Calibri"/>
                <w:sz w:val="20"/>
                <w:szCs w:val="20"/>
                <w:lang w:val="en-US"/>
              </w:rPr>
              <w:t>o temporary storage of construction materials and waste occurs within any type of private property</w:t>
            </w:r>
            <w:r w:rsidRPr="00AB7D1E">
              <w:rPr>
                <w:rFonts w:ascii="Calibri" w:eastAsia="Times New Roman" w:hAnsi="Calibri" w:cs="Calibri"/>
                <w:sz w:val="20"/>
                <w:szCs w:val="20"/>
                <w:lang w:val="en-US"/>
              </w:rPr>
              <w:t>,</w:t>
            </w:r>
          </w:p>
          <w:p w14:paraId="3F0367DE" w14:textId="2FE450D4" w:rsidR="00264944" w:rsidRPr="00AB7D1E" w:rsidRDefault="00264944" w:rsidP="00BE60A0">
            <w:pPr>
              <w:pStyle w:val="ListParagraph"/>
              <w:numPr>
                <w:ilvl w:val="0"/>
                <w:numId w:val="45"/>
              </w:numPr>
              <w:spacing w:before="0"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 xml:space="preserve"> </w:t>
            </w:r>
            <w:r w:rsidRPr="00264944">
              <w:rPr>
                <w:rFonts w:ascii="Calibri" w:eastAsia="Times New Roman" w:hAnsi="Calibri" w:cs="Calibri"/>
                <w:sz w:val="20"/>
                <w:szCs w:val="20"/>
                <w:lang w:val="en-US"/>
              </w:rPr>
              <w:t>In addition to the World Bank Group EHS Guidelines, follow internal protocols for proper handling and storage of samples, reagents, pharmaceuticals and medical supplies</w:t>
            </w:r>
            <w:r>
              <w:rPr>
                <w:rFonts w:ascii="Calibri" w:eastAsia="Times New Roman" w:hAnsi="Calibri" w:cs="Calibri"/>
                <w:sz w:val="20"/>
                <w:szCs w:val="20"/>
                <w:lang w:val="en-US"/>
              </w:rPr>
              <w:t>. Materials and chemicals have to be handled by professionally trained persons according to Material Safety Data Sheet.</w:t>
            </w:r>
          </w:p>
          <w:p w14:paraId="27108865" w14:textId="77777777" w:rsidR="00377AF0" w:rsidRPr="00AB7D1E" w:rsidRDefault="00377AF0" w:rsidP="00BE60A0">
            <w:pPr>
              <w:pStyle w:val="ListParagraph"/>
              <w:numPr>
                <w:ilvl w:val="0"/>
                <w:numId w:val="45"/>
              </w:numPr>
              <w:spacing w:before="0" w:after="0" w:line="240" w:lineRule="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ensure suitable arrangements for all necessary welfare and hygiene requirements and for the prevention of COVID-19 epidemics (regular delivery PPEs, ensure protocols for regular disinfection of rooms, equipment, tools, are in place and followed, ensure handwashing and other sanitary stations are always supplied with clean water, soap, and disinfectant, </w:t>
            </w:r>
            <w:proofErr w:type="spellStart"/>
            <w:r w:rsidRPr="00AB7D1E">
              <w:rPr>
                <w:rFonts w:ascii="Calibri" w:eastAsia="Times New Roman" w:hAnsi="Calibri" w:cs="Calibri"/>
                <w:sz w:val="20"/>
                <w:szCs w:val="20"/>
                <w:lang w:val="en-US"/>
              </w:rPr>
              <w:t>etc</w:t>
            </w:r>
            <w:proofErr w:type="spellEnd"/>
            <w:r w:rsidRPr="00AB7D1E">
              <w:rPr>
                <w:rFonts w:ascii="Calibri" w:eastAsia="Times New Roman" w:hAnsi="Calibri" w:cs="Calibri"/>
                <w:sz w:val="20"/>
                <w:szCs w:val="20"/>
                <w:lang w:val="en-US"/>
              </w:rPr>
              <w:t>)</w:t>
            </w:r>
          </w:p>
          <w:p w14:paraId="783452E8" w14:textId="77777777" w:rsidR="00377AF0" w:rsidRDefault="006C4CE6" w:rsidP="00BE60A0">
            <w:pPr>
              <w:pStyle w:val="ListParagraph"/>
              <w:numPr>
                <w:ilvl w:val="0"/>
                <w:numId w:val="45"/>
              </w:numPr>
              <w:spacing w:before="0" w:after="0" w:line="240" w:lineRule="auto"/>
              <w:rPr>
                <w:rFonts w:ascii="Calibri" w:eastAsia="Times New Roman" w:hAnsi="Calibri" w:cs="Calibri"/>
                <w:sz w:val="20"/>
                <w:szCs w:val="20"/>
                <w:lang w:val="en-US"/>
              </w:rPr>
            </w:pPr>
            <w:r w:rsidRPr="00AB7D1E">
              <w:rPr>
                <w:rFonts w:ascii="Calibri" w:eastAsia="Times New Roman" w:hAnsi="Calibri" w:cs="Calibri"/>
                <w:sz w:val="20"/>
                <w:szCs w:val="20"/>
                <w:lang w:val="en-US"/>
              </w:rPr>
              <w:t>e</w:t>
            </w:r>
            <w:r w:rsidR="00377AF0" w:rsidRPr="00AB7D1E">
              <w:rPr>
                <w:rFonts w:ascii="Calibri" w:eastAsia="Times New Roman" w:hAnsi="Calibri" w:cs="Calibri"/>
                <w:sz w:val="20"/>
                <w:szCs w:val="20"/>
                <w:lang w:val="en-US"/>
              </w:rPr>
              <w:t>nsure trainings for workers on hygiene and other preventative measures against COVID-19 are carried out</w:t>
            </w:r>
            <w:r w:rsidR="001F1A77" w:rsidRPr="00AB7D1E">
              <w:rPr>
                <w:rFonts w:ascii="Calibri" w:eastAsia="Times New Roman" w:hAnsi="Calibri" w:cs="Calibri"/>
                <w:sz w:val="20"/>
                <w:szCs w:val="20"/>
                <w:lang w:val="en-US"/>
              </w:rPr>
              <w:t>.</w:t>
            </w:r>
          </w:p>
          <w:p w14:paraId="409E2023" w14:textId="76B2B4B9" w:rsidR="00636043" w:rsidRPr="005B4CC2" w:rsidRDefault="00636043" w:rsidP="00BE60A0">
            <w:pPr>
              <w:widowControl w:val="0"/>
              <w:numPr>
                <w:ilvl w:val="0"/>
                <w:numId w:val="4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lastRenderedPageBreak/>
              <w:t>in accordance with the epidemiological situation in the country, it is necessary to follow the WHO (</w:t>
            </w:r>
            <w:hyperlink r:id="rId70" w:history="1">
              <w:r w:rsidRPr="00AB7D1E">
                <w:rPr>
                  <w:rFonts w:ascii="Calibri" w:hAnsi="Calibri" w:cs="Calibri"/>
                  <w:color w:val="0563C1"/>
                  <w:sz w:val="20"/>
                  <w:szCs w:val="20"/>
                  <w:u w:val="single"/>
                  <w:lang w:val="en-US"/>
                </w:rPr>
                <w:t>https://www.who.int/emergencies/diseases/novel-coronavirus-2019/advice-for-public</w:t>
              </w:r>
            </w:hyperlink>
            <w:r w:rsidRPr="00AB7D1E">
              <w:rPr>
                <w:rFonts w:ascii="Calibri" w:eastAsia="Times New Roman" w:hAnsi="Calibri" w:cs="Calibri"/>
                <w:sz w:val="20"/>
                <w:szCs w:val="20"/>
                <w:lang w:val="en-US"/>
              </w:rPr>
              <w:t>) recommendations and the recommendations at the</w:t>
            </w:r>
            <w:r w:rsidRPr="00AB7D1E">
              <w:rPr>
                <w:rFonts w:ascii="Calibri" w:hAnsi="Calibri" w:cs="Calibri"/>
                <w:sz w:val="20"/>
                <w:szCs w:val="20"/>
                <w:lang w:val="en-US"/>
              </w:rPr>
              <w:t xml:space="preserve"> </w:t>
            </w:r>
            <w:r w:rsidRPr="00AB7D1E">
              <w:rPr>
                <w:rFonts w:ascii="Calibri" w:eastAsia="Times New Roman" w:hAnsi="Calibri" w:cs="Calibri"/>
                <w:sz w:val="20"/>
                <w:szCs w:val="20"/>
                <w:lang w:val="en-US"/>
              </w:rPr>
              <w:t>official Government website for accurate and verified information on COVID19 (</w:t>
            </w:r>
            <w:hyperlink r:id="rId71" w:history="1">
              <w:r w:rsidRPr="00AB7D1E">
                <w:rPr>
                  <w:rFonts w:ascii="Calibri" w:hAnsi="Calibri" w:cs="Calibri"/>
                  <w:color w:val="0563C1"/>
                  <w:sz w:val="20"/>
                  <w:szCs w:val="20"/>
                  <w:u w:val="single"/>
                  <w:lang w:val="en-US"/>
                </w:rPr>
                <w:t>https://koronavirus.hr/en</w:t>
              </w:r>
            </w:hyperlink>
            <w:r w:rsidRPr="00AB7D1E">
              <w:rPr>
                <w:rFonts w:ascii="Calibri" w:hAnsi="Calibri" w:cs="Calibri"/>
                <w:sz w:val="20"/>
                <w:szCs w:val="20"/>
                <w:lang w:val="en-US"/>
              </w:rPr>
              <w:t>)</w:t>
            </w:r>
          </w:p>
        </w:tc>
      </w:tr>
      <w:tr w:rsidR="004749CE" w:rsidRPr="00AB7D1E" w14:paraId="49F38095" w14:textId="77777777" w:rsidTr="00201842">
        <w:tc>
          <w:tcPr>
            <w:tcW w:w="2935" w:type="dxa"/>
            <w:vMerge w:val="restart"/>
            <w:shd w:val="clear" w:color="auto" w:fill="auto"/>
            <w:tcMar>
              <w:top w:w="0" w:type="dxa"/>
              <w:left w:w="108" w:type="dxa"/>
              <w:bottom w:w="0" w:type="dxa"/>
              <w:right w:w="108" w:type="dxa"/>
            </w:tcMar>
          </w:tcPr>
          <w:p w14:paraId="16A9359E" w14:textId="0DF8AE0A" w:rsidR="004749CE" w:rsidRPr="00AB7D1E" w:rsidRDefault="001B1D20" w:rsidP="004749CE">
            <w:pPr>
              <w:widowControl w:val="0"/>
              <w:suppressAutoHyphens w:val="0"/>
              <w:autoSpaceDN/>
              <w:spacing w:before="0" w:after="200" w:line="276" w:lineRule="auto"/>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lastRenderedPageBreak/>
              <w:t>B</w:t>
            </w:r>
            <w:r w:rsidR="004749CE" w:rsidRPr="00AB7D1E">
              <w:rPr>
                <w:rFonts w:ascii="Calibri" w:eastAsia="Times New Roman" w:hAnsi="Calibri" w:cs="Calibri"/>
                <w:bCs/>
                <w:sz w:val="20"/>
                <w:szCs w:val="20"/>
                <w:lang w:val="en-US"/>
              </w:rPr>
              <w:t xml:space="preserve"> </w:t>
            </w:r>
            <w:r w:rsidRPr="00AB7D1E">
              <w:rPr>
                <w:rFonts w:ascii="Calibri" w:eastAsia="Times New Roman" w:hAnsi="Calibri" w:cs="Calibri"/>
                <w:bCs/>
                <w:sz w:val="20"/>
                <w:szCs w:val="20"/>
                <w:lang w:val="en-US"/>
              </w:rPr>
              <w:t>Repair</w:t>
            </w:r>
            <w:r w:rsidR="004749CE" w:rsidRPr="00AB7D1E">
              <w:rPr>
                <w:rFonts w:ascii="Calibri" w:eastAsia="Times New Roman" w:hAnsi="Calibri" w:cs="Calibri"/>
                <w:bCs/>
                <w:sz w:val="20"/>
                <w:szCs w:val="20"/>
                <w:lang w:val="en-US"/>
              </w:rPr>
              <w:t xml:space="preserve"> / rehabilitation </w:t>
            </w:r>
          </w:p>
        </w:tc>
        <w:tc>
          <w:tcPr>
            <w:tcW w:w="2742" w:type="dxa"/>
            <w:shd w:val="clear" w:color="auto" w:fill="auto"/>
            <w:tcMar>
              <w:top w:w="0" w:type="dxa"/>
              <w:left w:w="108" w:type="dxa"/>
              <w:bottom w:w="0" w:type="dxa"/>
              <w:right w:w="108" w:type="dxa"/>
            </w:tcMar>
          </w:tcPr>
          <w:p w14:paraId="747AAD7C"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hAnsi="Calibri" w:cs="Calibri"/>
                <w:sz w:val="20"/>
                <w:szCs w:val="20"/>
                <w:lang w:val="en-US"/>
              </w:rPr>
            </w:pPr>
            <w:r w:rsidRPr="00AB7D1E">
              <w:rPr>
                <w:rFonts w:ascii="Calibri" w:eastAsia="Times New Roman" w:hAnsi="Calibri" w:cs="Calibri"/>
                <w:bCs/>
                <w:sz w:val="20"/>
                <w:szCs w:val="20"/>
                <w:lang w:val="en-US"/>
              </w:rPr>
              <w:t>Air Quality</w:t>
            </w:r>
          </w:p>
        </w:tc>
        <w:tc>
          <w:tcPr>
            <w:tcW w:w="8315" w:type="dxa"/>
            <w:shd w:val="clear" w:color="auto" w:fill="auto"/>
            <w:tcMar>
              <w:top w:w="0" w:type="dxa"/>
              <w:left w:w="108" w:type="dxa"/>
              <w:bottom w:w="0" w:type="dxa"/>
              <w:right w:w="108" w:type="dxa"/>
            </w:tcMar>
          </w:tcPr>
          <w:p w14:paraId="215E6C01"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sprinkle water to limit dust emissions in the area near the construction materials and non-asphalted roads. Use water with all land clearing, grubbing, scraping, excavation, land levelling, grading, cut and fill and demolition activities which may cause dusting and particles emissions,</w:t>
            </w:r>
          </w:p>
          <w:p w14:paraId="3E6222E1"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cover surfaces with plastic coverings during material storage and transportation, </w:t>
            </w:r>
          </w:p>
          <w:p w14:paraId="55E0D446"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adequate locations for storage, mixing and loading of construction materials should be established,</w:t>
            </w:r>
          </w:p>
          <w:p w14:paraId="2D3C66A9"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limit vehicles speed (30 km/h) in the area and access roads, </w:t>
            </w:r>
          </w:p>
          <w:p w14:paraId="013B2416"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periodically clean location and access roads from debris,</w:t>
            </w:r>
          </w:p>
          <w:p w14:paraId="54E4066E"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use modern attested construction machinery to minimize emissions, provided with mufflers and maintained in good and efficient operation condition,</w:t>
            </w:r>
          </w:p>
          <w:p w14:paraId="4AD78AC5" w14:textId="77777777" w:rsidR="004749CE" w:rsidRPr="00AB7D1E" w:rsidRDefault="004749CE" w:rsidP="00BE60A0">
            <w:pPr>
              <w:widowControl w:val="0"/>
              <w:numPr>
                <w:ilvl w:val="0"/>
                <w:numId w:val="17"/>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additionally, to minimize dust (mainly PM10) from construction material collection, material retention time at the site should be reduced to a minimum, in order to minimize exposure to wind.</w:t>
            </w:r>
          </w:p>
        </w:tc>
      </w:tr>
      <w:tr w:rsidR="004749CE" w:rsidRPr="00AB7D1E" w14:paraId="6E89070D" w14:textId="77777777" w:rsidTr="00201842">
        <w:tc>
          <w:tcPr>
            <w:tcW w:w="2935" w:type="dxa"/>
            <w:vMerge/>
            <w:shd w:val="clear" w:color="auto" w:fill="auto"/>
            <w:tcMar>
              <w:top w:w="0" w:type="dxa"/>
              <w:left w:w="108" w:type="dxa"/>
              <w:bottom w:w="0" w:type="dxa"/>
              <w:right w:w="108" w:type="dxa"/>
            </w:tcMar>
          </w:tcPr>
          <w:p w14:paraId="1D98A5E1"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p>
        </w:tc>
        <w:tc>
          <w:tcPr>
            <w:tcW w:w="2742" w:type="dxa"/>
            <w:shd w:val="clear" w:color="auto" w:fill="auto"/>
            <w:tcMar>
              <w:top w:w="0" w:type="dxa"/>
              <w:left w:w="108" w:type="dxa"/>
              <w:bottom w:w="0" w:type="dxa"/>
              <w:right w:w="108" w:type="dxa"/>
            </w:tcMar>
          </w:tcPr>
          <w:p w14:paraId="042062BD"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Noise</w:t>
            </w:r>
          </w:p>
        </w:tc>
        <w:tc>
          <w:tcPr>
            <w:tcW w:w="8315" w:type="dxa"/>
            <w:shd w:val="clear" w:color="auto" w:fill="auto"/>
            <w:tcMar>
              <w:top w:w="0" w:type="dxa"/>
              <w:left w:w="108" w:type="dxa"/>
              <w:bottom w:w="0" w:type="dxa"/>
              <w:right w:w="108" w:type="dxa"/>
            </w:tcMar>
          </w:tcPr>
          <w:p w14:paraId="69789066"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maximum permissible noise level for the construction site is 65dB. It is allowed to exceed that level for additional 5 dB in the period from 8 to 18 hours. It is desirable to carry out works in the period from 8 to 18 hours and not to carry works during the nights, </w:t>
            </w:r>
          </w:p>
          <w:p w14:paraId="51488B8B"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community should be informed in advance of any work activities to occur outside of normal working hours or on weekends,</w:t>
            </w:r>
          </w:p>
          <w:p w14:paraId="671E4250"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all equipment must be maintained in good operating condition and be attested,</w:t>
            </w:r>
          </w:p>
          <w:p w14:paraId="0EE2E9B5"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employees have to be asked to use personal hearing protection equipment</w:t>
            </w:r>
            <w:r w:rsidRPr="00AB7D1E" w:rsidDel="005A7218">
              <w:rPr>
                <w:rFonts w:ascii="Calibri" w:eastAsia="Times New Roman" w:hAnsi="Calibri" w:cs="Calibri"/>
                <w:sz w:val="20"/>
                <w:szCs w:val="20"/>
                <w:lang w:val="en-US"/>
              </w:rPr>
              <w:t xml:space="preserve"> </w:t>
            </w:r>
            <w:r w:rsidRPr="00AB7D1E">
              <w:rPr>
                <w:rFonts w:ascii="Calibri" w:eastAsia="Times New Roman" w:hAnsi="Calibri" w:cs="Calibri"/>
                <w:sz w:val="20"/>
                <w:szCs w:val="20"/>
                <w:lang w:val="en-US"/>
              </w:rPr>
              <w:t>in the cases defined by the article 8 of Ordinance on the protection of workers from noise exposure at work (OG 46/08),</w:t>
            </w:r>
          </w:p>
          <w:p w14:paraId="322C74C9" w14:textId="77777777" w:rsidR="004749CE" w:rsidRPr="00AB7D1E" w:rsidRDefault="004749CE" w:rsidP="00BE60A0">
            <w:pPr>
              <w:widowControl w:val="0"/>
              <w:numPr>
                <w:ilvl w:val="0"/>
                <w:numId w:val="10"/>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during operations the engine covers of generators, air compressors and other powered mechanical equipment shall be closed, and equipment placed as far away from residential areas as possible.</w:t>
            </w:r>
          </w:p>
        </w:tc>
      </w:tr>
      <w:tr w:rsidR="004749CE" w:rsidRPr="00AB7D1E" w14:paraId="6D4C7B6F" w14:textId="77777777" w:rsidTr="00201842">
        <w:tc>
          <w:tcPr>
            <w:tcW w:w="2935" w:type="dxa"/>
            <w:vMerge/>
            <w:shd w:val="clear" w:color="auto" w:fill="auto"/>
            <w:tcMar>
              <w:top w:w="0" w:type="dxa"/>
              <w:left w:w="108" w:type="dxa"/>
              <w:bottom w:w="0" w:type="dxa"/>
              <w:right w:w="108" w:type="dxa"/>
            </w:tcMar>
          </w:tcPr>
          <w:p w14:paraId="19E07B3B"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p>
        </w:tc>
        <w:tc>
          <w:tcPr>
            <w:tcW w:w="2742" w:type="dxa"/>
            <w:shd w:val="clear" w:color="auto" w:fill="auto"/>
            <w:tcMar>
              <w:top w:w="0" w:type="dxa"/>
              <w:left w:w="108" w:type="dxa"/>
              <w:bottom w:w="0" w:type="dxa"/>
              <w:right w:w="108" w:type="dxa"/>
            </w:tcMar>
          </w:tcPr>
          <w:p w14:paraId="53E44380"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Water quality</w:t>
            </w:r>
          </w:p>
        </w:tc>
        <w:tc>
          <w:tcPr>
            <w:tcW w:w="8315" w:type="dxa"/>
            <w:shd w:val="clear" w:color="auto" w:fill="auto"/>
            <w:tcMar>
              <w:top w:w="0" w:type="dxa"/>
              <w:left w:w="108" w:type="dxa"/>
              <w:bottom w:w="0" w:type="dxa"/>
              <w:right w:w="108" w:type="dxa"/>
            </w:tcMar>
          </w:tcPr>
          <w:p w14:paraId="76FE60C2"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responsible handle the liquid waste,</w:t>
            </w:r>
          </w:p>
          <w:p w14:paraId="17D2FBD3"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adding oil activities carry out on the part of the construction site that is derived from an impermeable working surface,</w:t>
            </w:r>
          </w:p>
          <w:p w14:paraId="14137F2F"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lastRenderedPageBreak/>
              <w:t>handle all materials in accordance with instructions included in Material safety data sheets (MSDS) which have to be available at the construction site,</w:t>
            </w:r>
          </w:p>
          <w:p w14:paraId="4B02E406"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in the case of an accident, any hazardous liquid remove from the soil using adsorption materials such as sand, sawdust or mineral adsorbents. Such waste material you have to collect in tanks, store in the space provided for hazardous waste storage and hand over to authorized companies,</w:t>
            </w:r>
          </w:p>
          <w:p w14:paraId="48F28BA0"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ensure that water pumped back to natural waterways never exceeds the regulatory water quality standards</w:t>
            </w:r>
          </w:p>
          <w:p w14:paraId="1BE363FA"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trike/>
                <w:sz w:val="20"/>
                <w:szCs w:val="20"/>
                <w:lang w:val="en-US"/>
              </w:rPr>
            </w:pPr>
            <w:r w:rsidRPr="00AB7D1E">
              <w:rPr>
                <w:rFonts w:ascii="Calibri" w:eastAsia="Times New Roman" w:hAnsi="Calibri" w:cs="Calibri"/>
                <w:sz w:val="20"/>
                <w:szCs w:val="20"/>
                <w:lang w:val="en-US"/>
              </w:rPr>
              <w:t>prevent hazardous spillage coming from tanks, containers (mandatory secondary containment system, e.g. double walled or bunded containers), construction equipment and vehicles (regular maintenance and check-ups of oil and gas tanks, tend to park (manipulate) machinery and vehicles only on asphalted or concrete surfaces with surface runoff water collecting system,</w:t>
            </w:r>
          </w:p>
          <w:p w14:paraId="7D7F220B"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organize and cover material storage areas,</w:t>
            </w:r>
          </w:p>
          <w:p w14:paraId="1149F0FE"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isolate wash down areas of concrete and other equipment from watercourse by selecting areas for washing that are not free draining directly or indirectly into watercourse,</w:t>
            </w:r>
          </w:p>
          <w:p w14:paraId="5CAEF073" w14:textId="77777777"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do not extract groundwater on unregulated way, nor discharge cement slurries, or any other contaminated waters into the ground or adjacent streams or rivers on uncontrolled way,</w:t>
            </w:r>
          </w:p>
          <w:p w14:paraId="3E4B641D" w14:textId="44808D1F" w:rsidR="004749CE" w:rsidRPr="00AB7D1E" w:rsidRDefault="004749CE" w:rsidP="00BE60A0">
            <w:pPr>
              <w:widowControl w:val="0"/>
              <w:numPr>
                <w:ilvl w:val="0"/>
                <w:numId w:val="11"/>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ensure proper storm water drainage systems installed and take care not to silt, pollute, block or otherwise negatively impact natural streams, rivers, ponds and lakes by </w:t>
            </w:r>
            <w:r w:rsidR="00854BED" w:rsidRPr="00AB7D1E">
              <w:rPr>
                <w:rFonts w:ascii="Calibri" w:eastAsia="Times New Roman" w:hAnsi="Calibri" w:cs="Calibri"/>
                <w:sz w:val="20"/>
                <w:szCs w:val="20"/>
                <w:lang w:val="en-US"/>
              </w:rPr>
              <w:t xml:space="preserve">repair / </w:t>
            </w:r>
            <w:r w:rsidRPr="00AB7D1E">
              <w:rPr>
                <w:rFonts w:ascii="Calibri" w:eastAsia="Times New Roman" w:hAnsi="Calibri" w:cs="Calibri"/>
                <w:sz w:val="20"/>
                <w:szCs w:val="20"/>
                <w:lang w:val="en-US"/>
              </w:rPr>
              <w:t>rehabilitation activities.</w:t>
            </w:r>
          </w:p>
        </w:tc>
      </w:tr>
      <w:tr w:rsidR="004749CE" w:rsidRPr="00AB7D1E" w14:paraId="770A5423" w14:textId="77777777" w:rsidTr="00201842">
        <w:tc>
          <w:tcPr>
            <w:tcW w:w="2935" w:type="dxa"/>
            <w:vMerge/>
            <w:shd w:val="clear" w:color="auto" w:fill="auto"/>
            <w:tcMar>
              <w:top w:w="0" w:type="dxa"/>
              <w:left w:w="108" w:type="dxa"/>
              <w:bottom w:w="0" w:type="dxa"/>
              <w:right w:w="108" w:type="dxa"/>
            </w:tcMar>
          </w:tcPr>
          <w:p w14:paraId="2A28356E"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p>
        </w:tc>
        <w:tc>
          <w:tcPr>
            <w:tcW w:w="2742" w:type="dxa"/>
            <w:shd w:val="clear" w:color="auto" w:fill="auto"/>
            <w:tcMar>
              <w:top w:w="0" w:type="dxa"/>
              <w:left w:w="108" w:type="dxa"/>
              <w:bottom w:w="0" w:type="dxa"/>
              <w:right w:w="108" w:type="dxa"/>
            </w:tcMar>
          </w:tcPr>
          <w:p w14:paraId="63968A36"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Soil</w:t>
            </w:r>
          </w:p>
        </w:tc>
        <w:tc>
          <w:tcPr>
            <w:tcW w:w="8315" w:type="dxa"/>
            <w:shd w:val="clear" w:color="auto" w:fill="auto"/>
            <w:tcMar>
              <w:top w:w="0" w:type="dxa"/>
              <w:left w:w="108" w:type="dxa"/>
              <w:bottom w:w="0" w:type="dxa"/>
              <w:right w:w="108" w:type="dxa"/>
            </w:tcMar>
          </w:tcPr>
          <w:p w14:paraId="21411DE0"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regular maintain and service the construction machines,</w:t>
            </w:r>
          </w:p>
          <w:p w14:paraId="5A23CF33"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adhere the measures and standards for construction machinery,</w:t>
            </w:r>
          </w:p>
          <w:p w14:paraId="2AD0B38A"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try to avoid fuel and lubricant storage on construction site,</w:t>
            </w:r>
          </w:p>
          <w:p w14:paraId="23849112"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if installation of fuel storage tanks will be needed, they should have secondary tanks with sufficient volume to contain a spill from the largest fuel tank in the structure. The containment area has to have a device (pump) to remove accumulated water,</w:t>
            </w:r>
          </w:p>
          <w:p w14:paraId="2FBE3482"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the containers with hazardous substances should be kept in a leak-proof container to prevent spillage and leaking. This container should possess secondary containment system such as bunds (e.g. bunded-container), double walls, or similar. Secondary containment system must be free of cracks, able to contain the spill, and be emptied quickly,</w:t>
            </w:r>
          </w:p>
          <w:p w14:paraId="2EF13851" w14:textId="77777777" w:rsidR="004749CE" w:rsidRPr="00AB7D1E" w:rsidRDefault="004749CE" w:rsidP="00BE60A0">
            <w:pPr>
              <w:widowControl w:val="0"/>
              <w:numPr>
                <w:ilvl w:val="0"/>
                <w:numId w:val="12"/>
              </w:numPr>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the containers with hazardous substances must be kept closed, except when adding or </w:t>
            </w:r>
            <w:r w:rsidRPr="00AB7D1E">
              <w:rPr>
                <w:rFonts w:ascii="Calibri" w:eastAsia="Times New Roman" w:hAnsi="Calibri" w:cs="Calibri"/>
                <w:sz w:val="20"/>
                <w:szCs w:val="20"/>
                <w:lang w:val="en-US"/>
              </w:rPr>
              <w:lastRenderedPageBreak/>
              <w:t>removing materials/waste. They must not be handled, opened, or stored in a manner that may cause them to leak.</w:t>
            </w:r>
          </w:p>
        </w:tc>
      </w:tr>
      <w:tr w:rsidR="004749CE" w:rsidRPr="00AB7D1E" w14:paraId="26113991" w14:textId="77777777" w:rsidTr="00201842">
        <w:tc>
          <w:tcPr>
            <w:tcW w:w="2935" w:type="dxa"/>
            <w:shd w:val="clear" w:color="auto" w:fill="auto"/>
            <w:tcMar>
              <w:top w:w="0" w:type="dxa"/>
              <w:left w:w="108" w:type="dxa"/>
              <w:bottom w:w="0" w:type="dxa"/>
              <w:right w:w="108" w:type="dxa"/>
            </w:tcMar>
          </w:tcPr>
          <w:p w14:paraId="624AC550" w14:textId="669AB1CF" w:rsidR="004749CE" w:rsidRPr="00AB7D1E" w:rsidRDefault="00AA4828"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t>C</w:t>
            </w:r>
            <w:r w:rsidR="004749CE" w:rsidRPr="00AB7D1E">
              <w:rPr>
                <w:rFonts w:ascii="Calibri" w:eastAsia="Times New Roman" w:hAnsi="Calibri" w:cs="Calibri"/>
                <w:bCs/>
                <w:sz w:val="20"/>
                <w:szCs w:val="20"/>
                <w:lang w:val="en-US"/>
              </w:rPr>
              <w:t xml:space="preserve"> </w:t>
            </w:r>
            <w:r w:rsidR="008700CF" w:rsidRPr="00AB7D1E">
              <w:rPr>
                <w:rFonts w:ascii="Calibri" w:eastAsia="Times New Roman" w:hAnsi="Calibri" w:cs="Calibri"/>
                <w:bCs/>
                <w:sz w:val="20"/>
                <w:szCs w:val="20"/>
                <w:lang w:val="en-US"/>
              </w:rPr>
              <w:t>C</w:t>
            </w:r>
            <w:r w:rsidR="004749CE" w:rsidRPr="00AB7D1E">
              <w:rPr>
                <w:rFonts w:ascii="Calibri" w:eastAsia="Times New Roman" w:hAnsi="Calibri" w:cs="Calibri"/>
                <w:bCs/>
                <w:sz w:val="20"/>
                <w:szCs w:val="20"/>
                <w:lang w:val="en-US"/>
              </w:rPr>
              <w:t>ultural and historical heritage</w:t>
            </w:r>
          </w:p>
        </w:tc>
        <w:tc>
          <w:tcPr>
            <w:tcW w:w="2742" w:type="dxa"/>
            <w:shd w:val="clear" w:color="auto" w:fill="auto"/>
            <w:tcMar>
              <w:top w:w="0" w:type="dxa"/>
              <w:left w:w="108" w:type="dxa"/>
              <w:bottom w:w="0" w:type="dxa"/>
              <w:right w:w="108" w:type="dxa"/>
            </w:tcMar>
          </w:tcPr>
          <w:p w14:paraId="69807EFA" w14:textId="06585551" w:rsidR="004749CE" w:rsidRPr="00AB7D1E" w:rsidRDefault="00E61AEB"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E61AEB">
              <w:rPr>
                <w:rFonts w:ascii="Calibri" w:eastAsia="Times New Roman" w:hAnsi="Calibri" w:cs="Calibri"/>
                <w:sz w:val="20"/>
                <w:szCs w:val="20"/>
                <w:lang w:val="en-US"/>
              </w:rPr>
              <w:t>Cultural heritage and Chance finds</w:t>
            </w:r>
          </w:p>
        </w:tc>
        <w:tc>
          <w:tcPr>
            <w:tcW w:w="8315" w:type="dxa"/>
            <w:shd w:val="clear" w:color="auto" w:fill="auto"/>
            <w:tcMar>
              <w:top w:w="0" w:type="dxa"/>
              <w:left w:w="108" w:type="dxa"/>
              <w:bottom w:w="0" w:type="dxa"/>
              <w:right w:w="108" w:type="dxa"/>
            </w:tcMar>
          </w:tcPr>
          <w:p w14:paraId="2204C8E0" w14:textId="77777777" w:rsidR="00E61AEB" w:rsidRPr="00E61AEB" w:rsidRDefault="00E61AEB" w:rsidP="00BE60A0">
            <w:pPr>
              <w:widowControl w:val="0"/>
              <w:numPr>
                <w:ilvl w:val="0"/>
                <w:numId w:val="13"/>
              </w:numPr>
              <w:suppressAutoHyphens w:val="0"/>
              <w:autoSpaceDN/>
              <w:spacing w:before="0" w:after="0" w:line="240" w:lineRule="auto"/>
              <w:ind w:right="323"/>
              <w:textAlignment w:val="auto"/>
              <w:rPr>
                <w:rFonts w:ascii="Calibri" w:eastAsia="Times New Roman" w:hAnsi="Calibri" w:cs="Calibri"/>
                <w:sz w:val="20"/>
                <w:szCs w:val="20"/>
                <w:lang w:val="en-US"/>
              </w:rPr>
            </w:pPr>
            <w:r w:rsidRPr="00E61AEB">
              <w:rPr>
                <w:rFonts w:ascii="Calibri" w:eastAsia="Times New Roman" w:hAnsi="Calibri" w:cs="Calibri"/>
                <w:sz w:val="20"/>
                <w:szCs w:val="20"/>
                <w:lang w:val="en-US"/>
              </w:rPr>
              <w:t>if the building is located in a protected cultural and historical area, notify and obtain approval/permits from competent authorities and address all construction activities in line with legislation,</w:t>
            </w:r>
          </w:p>
          <w:p w14:paraId="2D6C1292" w14:textId="2C9AED01" w:rsidR="004749CE" w:rsidRPr="00AB7D1E" w:rsidRDefault="00E61AEB" w:rsidP="00BE60A0">
            <w:pPr>
              <w:widowControl w:val="0"/>
              <w:numPr>
                <w:ilvl w:val="0"/>
                <w:numId w:val="13"/>
              </w:numPr>
              <w:suppressAutoHyphens w:val="0"/>
              <w:autoSpaceDN/>
              <w:spacing w:before="0" w:after="0" w:line="240" w:lineRule="auto"/>
              <w:ind w:right="323"/>
              <w:textAlignment w:val="auto"/>
              <w:rPr>
                <w:rFonts w:ascii="Calibri" w:eastAsia="Times New Roman" w:hAnsi="Calibri" w:cs="Calibri"/>
                <w:sz w:val="20"/>
                <w:szCs w:val="20"/>
                <w:lang w:val="en-US"/>
              </w:rPr>
            </w:pPr>
            <w:r w:rsidRPr="00E61AEB">
              <w:rPr>
                <w:rFonts w:ascii="Calibri" w:eastAsia="Times New Roman" w:hAnsi="Calibri" w:cs="Calibri"/>
                <w:sz w:val="20"/>
                <w:szCs w:val="20"/>
                <w:lang w:val="en-US"/>
              </w:rPr>
              <w:t>if during excavations some archaeological finds are encountered, works have to be stopped immediately and the competent authority informed. Works should be resumed only after appropriate measures have been taken as required by relevant authority and after it confirms that works may continue for all cases where the cultural heritage and its fundamental values can be protected at the existing location with special protection measures protect the cultural heritage on the spot.</w:t>
            </w:r>
          </w:p>
        </w:tc>
      </w:tr>
      <w:tr w:rsidR="004749CE" w:rsidRPr="00AB7D1E" w14:paraId="399257CE" w14:textId="77777777" w:rsidTr="00201842">
        <w:tc>
          <w:tcPr>
            <w:tcW w:w="2935" w:type="dxa"/>
            <w:shd w:val="clear" w:color="auto" w:fill="auto"/>
            <w:tcMar>
              <w:top w:w="0" w:type="dxa"/>
              <w:left w:w="108" w:type="dxa"/>
              <w:bottom w:w="0" w:type="dxa"/>
              <w:right w:w="108" w:type="dxa"/>
            </w:tcMar>
          </w:tcPr>
          <w:p w14:paraId="7DDA3C70" w14:textId="335344AD" w:rsidR="004749CE" w:rsidRPr="00AB7D1E" w:rsidRDefault="00AA4828"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t>D</w:t>
            </w:r>
            <w:r w:rsidR="004749CE" w:rsidRPr="00AB7D1E">
              <w:rPr>
                <w:rFonts w:ascii="Calibri" w:eastAsia="Times New Roman" w:hAnsi="Calibri" w:cs="Calibri"/>
                <w:bCs/>
                <w:sz w:val="20"/>
                <w:szCs w:val="20"/>
                <w:lang w:val="en-US"/>
              </w:rPr>
              <w:t xml:space="preserve"> Biodiversity</w:t>
            </w:r>
          </w:p>
        </w:tc>
        <w:tc>
          <w:tcPr>
            <w:tcW w:w="2742" w:type="dxa"/>
            <w:shd w:val="clear" w:color="auto" w:fill="auto"/>
            <w:tcMar>
              <w:top w:w="0" w:type="dxa"/>
              <w:left w:w="108" w:type="dxa"/>
              <w:bottom w:w="0" w:type="dxa"/>
              <w:right w:w="108" w:type="dxa"/>
            </w:tcMar>
          </w:tcPr>
          <w:p w14:paraId="384D8531"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bCs/>
                <w:sz w:val="20"/>
                <w:szCs w:val="20"/>
                <w:lang w:val="en-US"/>
              </w:rPr>
              <w:t>Biodiversity</w:t>
            </w:r>
          </w:p>
        </w:tc>
        <w:tc>
          <w:tcPr>
            <w:tcW w:w="8315" w:type="dxa"/>
            <w:shd w:val="clear" w:color="auto" w:fill="auto"/>
            <w:tcMar>
              <w:top w:w="0" w:type="dxa"/>
              <w:left w:w="108" w:type="dxa"/>
              <w:bottom w:w="0" w:type="dxa"/>
              <w:right w:w="108" w:type="dxa"/>
            </w:tcMar>
          </w:tcPr>
          <w:p w14:paraId="10FB8BA2"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limit work to the visible part of the day, </w:t>
            </w:r>
          </w:p>
          <w:p w14:paraId="1D288FBC"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restrict the movement of heavy machinery to the road corridor,</w:t>
            </w:r>
          </w:p>
          <w:p w14:paraId="381ED685"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professionally and carefully handle of equipment and machinery to try to break out accidents such as fires or spills of large amounts of harmful substances into the environment, and thus adversely impact on the present flora and fauna,</w:t>
            </w:r>
          </w:p>
          <w:p w14:paraId="12188123"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limit work along watercourses and on watercourses and canals to as small an area as possible,</w:t>
            </w:r>
          </w:p>
          <w:p w14:paraId="511EE6DE"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avoid, where possible, cutting of trees and other natural vegetation,</w:t>
            </w:r>
          </w:p>
          <w:p w14:paraId="298BB39B"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in the case of removing vegetation, to prevent unnecessary loss of vegetation in the project area, clearly marked the areas where vegetation will be removed,</w:t>
            </w:r>
          </w:p>
          <w:p w14:paraId="6F761CCB"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for the restoration of the removed natural vegetation cover, use only autochthonous plant species that occur in the vegetation communities present in the wider area of the sub-project,</w:t>
            </w:r>
          </w:p>
          <w:p w14:paraId="213B8FA2" w14:textId="77777777"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the potential removal of vegetation plan for the period when birds do not nest. All birds that nest they need to protect until their birds can fly. In case of finding the nests of endangered bird species, prevent their disturbance, and inform about the discovery the central state body responsible for nature protection,</w:t>
            </w:r>
          </w:p>
          <w:p w14:paraId="0502054F" w14:textId="21002761" w:rsidR="004749CE" w:rsidRPr="00AB7D1E" w:rsidRDefault="004749CE" w:rsidP="00BE60A0">
            <w:pPr>
              <w:widowControl w:val="0"/>
              <w:numPr>
                <w:ilvl w:val="0"/>
                <w:numId w:val="23"/>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 xml:space="preserve">where possible, the area under </w:t>
            </w:r>
            <w:r w:rsidR="00854BED" w:rsidRPr="00AB7D1E">
              <w:rPr>
                <w:rFonts w:ascii="Calibri" w:eastAsia="Times New Roman" w:hAnsi="Calibri" w:cs="Calibri"/>
                <w:sz w:val="20"/>
                <w:szCs w:val="20"/>
                <w:lang w:val="en-US"/>
              </w:rPr>
              <w:t>repair</w:t>
            </w:r>
            <w:r w:rsidRPr="00AB7D1E">
              <w:rPr>
                <w:rFonts w:ascii="Calibri" w:eastAsia="Times New Roman" w:hAnsi="Calibri" w:cs="Calibri"/>
                <w:sz w:val="20"/>
                <w:szCs w:val="20"/>
                <w:lang w:val="en-US"/>
              </w:rPr>
              <w:t xml:space="preserve"> / rehabilitation fence to lessen even occasional disturbance and dust on habitats and biodiversity. If noise barriers need to be constructed, they should be opaque or with a design and density of stickers that will prevent birds from entering the barriers as much as possible.</w:t>
            </w:r>
          </w:p>
        </w:tc>
      </w:tr>
      <w:tr w:rsidR="004749CE" w:rsidRPr="00AB7D1E" w14:paraId="1BA7E762" w14:textId="77777777" w:rsidTr="00201842">
        <w:trPr>
          <w:trHeight w:val="20"/>
        </w:trPr>
        <w:tc>
          <w:tcPr>
            <w:tcW w:w="2935" w:type="dxa"/>
            <w:shd w:val="clear" w:color="auto" w:fill="auto"/>
            <w:tcMar>
              <w:top w:w="0" w:type="dxa"/>
              <w:left w:w="108" w:type="dxa"/>
              <w:bottom w:w="0" w:type="dxa"/>
              <w:right w:w="108" w:type="dxa"/>
            </w:tcMar>
          </w:tcPr>
          <w:p w14:paraId="3E3F44D7" w14:textId="6B0ACCF4" w:rsidR="004749CE" w:rsidRPr="00AB7D1E" w:rsidRDefault="007C6CA1"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t>E</w:t>
            </w:r>
            <w:r w:rsidR="004749CE" w:rsidRPr="00AB7D1E">
              <w:rPr>
                <w:rFonts w:ascii="Calibri" w:eastAsia="Times New Roman" w:hAnsi="Calibri" w:cs="Calibri"/>
                <w:bCs/>
                <w:sz w:val="20"/>
                <w:szCs w:val="20"/>
                <w:lang w:val="en-US"/>
              </w:rPr>
              <w:t xml:space="preserve"> Waste generation and management</w:t>
            </w:r>
          </w:p>
        </w:tc>
        <w:tc>
          <w:tcPr>
            <w:tcW w:w="2742" w:type="dxa"/>
            <w:shd w:val="clear" w:color="auto" w:fill="auto"/>
            <w:tcMar>
              <w:top w:w="0" w:type="dxa"/>
              <w:left w:w="108" w:type="dxa"/>
              <w:bottom w:w="0" w:type="dxa"/>
              <w:right w:w="108" w:type="dxa"/>
            </w:tcMar>
          </w:tcPr>
          <w:p w14:paraId="1C40BF21"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Waste management</w:t>
            </w:r>
          </w:p>
        </w:tc>
        <w:tc>
          <w:tcPr>
            <w:tcW w:w="8315" w:type="dxa"/>
            <w:shd w:val="clear" w:color="auto" w:fill="auto"/>
            <w:tcMar>
              <w:top w:w="0" w:type="dxa"/>
              <w:left w:w="108" w:type="dxa"/>
              <w:bottom w:w="0" w:type="dxa"/>
              <w:right w:w="108" w:type="dxa"/>
            </w:tcMar>
          </w:tcPr>
          <w:p w14:paraId="7AF1125A"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each type of generated waste on the location has to be temporary stored in separate waste container which have to be labelled with waste type name and waste code and located at the solid surface foreseen for that purpose on the construction site,</w:t>
            </w:r>
          </w:p>
          <w:p w14:paraId="506BA706"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lastRenderedPageBreak/>
              <w:t>records of waste streams and amounts has to be kept for each type of generated waste at the location</w:t>
            </w:r>
          </w:p>
          <w:p w14:paraId="4CF3786E" w14:textId="77777777" w:rsidR="004749CE" w:rsidRPr="00AB7D1E" w:rsidRDefault="004749CE" w:rsidP="00BE60A0">
            <w:pPr>
              <w:widowControl w:val="0"/>
              <w:numPr>
                <w:ilvl w:val="0"/>
                <w:numId w:val="19"/>
              </w:numPr>
              <w:suppressAutoHyphens w:val="0"/>
              <w:autoSpaceDN/>
              <w:spacing w:before="0" w:after="0" w:line="240" w:lineRule="auto"/>
              <w:ind w:right="323"/>
              <w:textAlignment w:val="auto"/>
              <w:rPr>
                <w:rFonts w:ascii="Calibri" w:eastAsia="Times New Roman" w:hAnsi="Calibri" w:cs="Calibri"/>
                <w:i/>
                <w:iCs/>
                <w:sz w:val="20"/>
                <w:szCs w:val="20"/>
                <w:lang w:val="en-US"/>
              </w:rPr>
            </w:pPr>
            <w:r w:rsidRPr="00AB7D1E">
              <w:rPr>
                <w:rFonts w:ascii="Calibri" w:eastAsia="Times New Roman" w:hAnsi="Calibri" w:cs="Calibri"/>
                <w:i/>
                <w:iCs/>
                <w:sz w:val="20"/>
                <w:szCs w:val="20"/>
                <w:lang w:val="en-US"/>
              </w:rPr>
              <w:t>This is the obligation of the principal contractor, unless contractor and investor/another contractor didn’t define in contract that investor/another contractor has to keep records,</w:t>
            </w:r>
          </w:p>
          <w:p w14:paraId="335FF957"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all waste has to be handed over with appropriate documentation to the companies authorized for the waste management (companies that have adequate waste permit),</w:t>
            </w:r>
          </w:p>
          <w:p w14:paraId="03ED4F3B"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in the case of hazardous waste information on handing over waste to the final destination must be obtained,</w:t>
            </w:r>
          </w:p>
          <w:p w14:paraId="42054EFE" w14:textId="39C1B9AA"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whenever feasible the contractor should reuse and recycle appropriate and viable materials (except asbestos),</w:t>
            </w:r>
          </w:p>
          <w:p w14:paraId="60B447D4" w14:textId="77777777" w:rsidR="004749CE" w:rsidRPr="00AB7D1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mineral (natural) construction and demolition wastes have to be separated from general refuse, organic, liquid and chemical wastes by on-site sorting and temporarily stored in appropriate containers. Depending of its origin and content, mineral waste has to be reapplied to its original location or reused,</w:t>
            </w:r>
          </w:p>
          <w:p w14:paraId="6CEB4D92" w14:textId="77777777" w:rsidR="004749CE" w:rsidRDefault="004749CE"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burning or illegal dumping of waste is strictly prohibited.</w:t>
            </w:r>
          </w:p>
          <w:p w14:paraId="7F347CE2" w14:textId="3868129E" w:rsidR="0045299B" w:rsidRPr="00AB7D1E" w:rsidRDefault="0045299B" w:rsidP="00BE60A0">
            <w:pPr>
              <w:widowControl w:val="0"/>
              <w:numPr>
                <w:ilvl w:val="0"/>
                <w:numId w:val="25"/>
              </w:numPr>
              <w:suppressAutoHyphens w:val="0"/>
              <w:autoSpaceDN/>
              <w:spacing w:before="0" w:after="0" w:line="240" w:lineRule="auto"/>
              <w:ind w:right="323"/>
              <w:textAlignment w:val="auto"/>
              <w:rPr>
                <w:rFonts w:ascii="Calibri" w:eastAsia="Times New Roman" w:hAnsi="Calibri" w:cs="Calibri"/>
                <w:sz w:val="20"/>
                <w:szCs w:val="20"/>
                <w:lang w:val="en-US"/>
              </w:rPr>
            </w:pPr>
            <w:r>
              <w:rPr>
                <w:rFonts w:ascii="Calibri" w:eastAsia="Times New Roman" w:hAnsi="Calibri" w:cs="Calibri"/>
                <w:sz w:val="20"/>
                <w:szCs w:val="20"/>
                <w:lang w:val="en-US"/>
              </w:rPr>
              <w:t xml:space="preserve">For management of infectious wastes, </w:t>
            </w:r>
            <w:r w:rsidR="009D4CE0" w:rsidRPr="009D4CE0">
              <w:rPr>
                <w:rFonts w:ascii="Calibri" w:eastAsia="Times New Roman" w:hAnsi="Calibri" w:cs="Calibri"/>
                <w:sz w:val="20"/>
                <w:szCs w:val="20"/>
                <w:lang w:val="en-US"/>
              </w:rPr>
              <w:t xml:space="preserve">Infection Control and Waste Management Plan </w:t>
            </w:r>
            <w:r w:rsidR="009D4CE0">
              <w:rPr>
                <w:rFonts w:ascii="Calibri" w:eastAsia="Times New Roman" w:hAnsi="Calibri" w:cs="Calibri"/>
                <w:sz w:val="20"/>
                <w:szCs w:val="20"/>
                <w:lang w:val="en-US"/>
              </w:rPr>
              <w:t>(</w:t>
            </w:r>
            <w:r w:rsidR="00877D8A">
              <w:rPr>
                <w:rFonts w:ascii="Calibri" w:eastAsia="Times New Roman" w:hAnsi="Calibri" w:cs="Calibri"/>
                <w:sz w:val="20"/>
                <w:szCs w:val="20"/>
                <w:lang w:val="en-US"/>
              </w:rPr>
              <w:t>ICWMP</w:t>
            </w:r>
            <w:r w:rsidR="009D4CE0">
              <w:rPr>
                <w:rFonts w:ascii="Calibri" w:eastAsia="Times New Roman" w:hAnsi="Calibri" w:cs="Calibri"/>
                <w:sz w:val="20"/>
                <w:szCs w:val="20"/>
                <w:lang w:val="en-US"/>
              </w:rPr>
              <w:t>)</w:t>
            </w:r>
            <w:r w:rsidR="00877D8A">
              <w:rPr>
                <w:rFonts w:ascii="Calibri" w:eastAsia="Times New Roman" w:hAnsi="Calibri" w:cs="Calibri"/>
                <w:sz w:val="20"/>
                <w:szCs w:val="20"/>
                <w:lang w:val="en-US"/>
              </w:rPr>
              <w:t xml:space="preserve"> will be prepared. </w:t>
            </w:r>
          </w:p>
        </w:tc>
      </w:tr>
      <w:tr w:rsidR="004749CE" w:rsidRPr="00AB7D1E" w14:paraId="4F50F5DD" w14:textId="77777777" w:rsidTr="00201842">
        <w:trPr>
          <w:trHeight w:val="1976"/>
        </w:trPr>
        <w:tc>
          <w:tcPr>
            <w:tcW w:w="2935" w:type="dxa"/>
            <w:shd w:val="clear" w:color="auto" w:fill="auto"/>
            <w:tcMar>
              <w:top w:w="0" w:type="dxa"/>
              <w:left w:w="108" w:type="dxa"/>
              <w:bottom w:w="0" w:type="dxa"/>
              <w:right w:w="108" w:type="dxa"/>
            </w:tcMar>
          </w:tcPr>
          <w:p w14:paraId="1364690E" w14:textId="0C2C7441" w:rsidR="004749CE" w:rsidRPr="00AB7D1E" w:rsidRDefault="007C6CA1" w:rsidP="004749CE">
            <w:pPr>
              <w:widowControl w:val="0"/>
              <w:suppressAutoHyphens w:val="0"/>
              <w:autoSpaceDN/>
              <w:spacing w:before="0" w:after="0" w:line="240" w:lineRule="auto"/>
              <w:ind w:right="323"/>
              <w:jc w:val="left"/>
              <w:textAlignment w:val="auto"/>
              <w:rPr>
                <w:rFonts w:ascii="Calibri" w:eastAsia="Times New Roman" w:hAnsi="Calibri" w:cs="Calibri"/>
                <w:bCs/>
                <w:sz w:val="20"/>
                <w:szCs w:val="20"/>
                <w:lang w:val="en-US"/>
              </w:rPr>
            </w:pPr>
            <w:r w:rsidRPr="00AB7D1E">
              <w:rPr>
                <w:rFonts w:ascii="Calibri" w:eastAsia="Times New Roman" w:hAnsi="Calibri" w:cs="Calibri"/>
                <w:bCs/>
                <w:sz w:val="20"/>
                <w:szCs w:val="20"/>
                <w:lang w:val="en-US"/>
              </w:rPr>
              <w:t>F</w:t>
            </w:r>
            <w:r w:rsidR="004749CE" w:rsidRPr="00AB7D1E">
              <w:rPr>
                <w:rFonts w:ascii="Calibri" w:eastAsia="Times New Roman" w:hAnsi="Calibri" w:cs="Calibri"/>
                <w:bCs/>
                <w:sz w:val="20"/>
                <w:szCs w:val="20"/>
                <w:lang w:val="en-US"/>
              </w:rPr>
              <w:t xml:space="preserve"> Traffic disturbance relate to the increased frequency of external transport of materials and techniques</w:t>
            </w:r>
          </w:p>
        </w:tc>
        <w:tc>
          <w:tcPr>
            <w:tcW w:w="2742" w:type="dxa"/>
            <w:shd w:val="clear" w:color="auto" w:fill="auto"/>
            <w:tcMar>
              <w:top w:w="0" w:type="dxa"/>
              <w:left w:w="108" w:type="dxa"/>
              <w:bottom w:w="0" w:type="dxa"/>
              <w:right w:w="108" w:type="dxa"/>
            </w:tcMar>
          </w:tcPr>
          <w:p w14:paraId="0E1EF862" w14:textId="77777777" w:rsidR="004749CE" w:rsidRPr="00AB7D1E" w:rsidRDefault="004749CE" w:rsidP="004749CE">
            <w:pPr>
              <w:widowControl w:val="0"/>
              <w:suppressAutoHyphens w:val="0"/>
              <w:autoSpaceDN/>
              <w:spacing w:before="0" w:after="0" w:line="240" w:lineRule="auto"/>
              <w:ind w:right="323"/>
              <w:jc w:val="left"/>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Traffic disturbance</w:t>
            </w:r>
          </w:p>
        </w:tc>
        <w:tc>
          <w:tcPr>
            <w:tcW w:w="8315" w:type="dxa"/>
            <w:shd w:val="clear" w:color="auto" w:fill="auto"/>
            <w:tcMar>
              <w:top w:w="0" w:type="dxa"/>
              <w:left w:w="108" w:type="dxa"/>
              <w:bottom w:w="0" w:type="dxa"/>
              <w:right w:w="108" w:type="dxa"/>
            </w:tcMar>
          </w:tcPr>
          <w:p w14:paraId="552B8737" w14:textId="77777777" w:rsidR="004749CE" w:rsidRPr="00AB7D1E" w:rsidRDefault="004749CE" w:rsidP="00BE60A0">
            <w:pPr>
              <w:widowControl w:val="0"/>
              <w:numPr>
                <w:ilvl w:val="0"/>
                <w:numId w:val="18"/>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traffic management have to be conducted in accordance with provisions of traffic legislation (e.g., appropriate lighting, traffic safety signs, barriers and flag persons that are seen easily or are easy to follow, road speed should be clearly posted),</w:t>
            </w:r>
          </w:p>
          <w:p w14:paraId="01EF2AFE" w14:textId="77777777" w:rsidR="004749CE" w:rsidRPr="00AB7D1E" w:rsidRDefault="004749CE" w:rsidP="00BE60A0">
            <w:pPr>
              <w:widowControl w:val="0"/>
              <w:numPr>
                <w:ilvl w:val="0"/>
                <w:numId w:val="18"/>
              </w:numPr>
              <w:suppressAutoHyphens w:val="0"/>
              <w:autoSpaceDN/>
              <w:spacing w:before="0" w:after="0" w:line="240" w:lineRule="auto"/>
              <w:ind w:right="323"/>
              <w:textAlignment w:val="auto"/>
              <w:rPr>
                <w:rFonts w:ascii="Calibri" w:eastAsia="Times New Roman" w:hAnsi="Calibri" w:cs="Calibri"/>
                <w:sz w:val="20"/>
                <w:szCs w:val="20"/>
                <w:lang w:val="en-US"/>
              </w:rPr>
            </w:pPr>
            <w:r w:rsidRPr="00AB7D1E">
              <w:rPr>
                <w:rFonts w:ascii="Calibri" w:eastAsia="Times New Roman" w:hAnsi="Calibri" w:cs="Calibri"/>
                <w:sz w:val="20"/>
                <w:szCs w:val="20"/>
                <w:lang w:val="en-US"/>
              </w:rPr>
              <w:t>it is desirable to avoid transport on access roads during rush hours.</w:t>
            </w:r>
          </w:p>
        </w:tc>
      </w:tr>
    </w:tbl>
    <w:p w14:paraId="64019E0F" w14:textId="77777777" w:rsidR="00B25314" w:rsidRDefault="00B25314" w:rsidP="007E1E7D">
      <w:pPr>
        <w:rPr>
          <w:lang w:val="en-US"/>
        </w:rPr>
      </w:pPr>
    </w:p>
    <w:p w14:paraId="417F3C56" w14:textId="7431A21A" w:rsidR="00B25314" w:rsidRPr="00672ECC" w:rsidRDefault="00B25314" w:rsidP="00B25314">
      <w:pPr>
        <w:rPr>
          <w:lang w:val="en-GB"/>
        </w:rPr>
      </w:pPr>
      <w:bookmarkStart w:id="274" w:name="_Toc56952728"/>
      <w:r w:rsidRPr="00672ECC">
        <w:rPr>
          <w:lang w:val="en-GB"/>
        </w:rPr>
        <w:t xml:space="preserve">Table </w:t>
      </w:r>
      <w:r w:rsidRPr="00672ECC">
        <w:rPr>
          <w:noProof/>
          <w:lang w:val="en-GB"/>
        </w:rPr>
        <w:fldChar w:fldCharType="begin"/>
      </w:r>
      <w:r w:rsidRPr="00672ECC">
        <w:rPr>
          <w:noProof/>
          <w:lang w:val="en-GB"/>
        </w:rPr>
        <w:instrText xml:space="preserve"> SEQ Table \* ARABIC </w:instrText>
      </w:r>
      <w:r w:rsidRPr="00672ECC">
        <w:rPr>
          <w:noProof/>
          <w:lang w:val="en-GB"/>
        </w:rPr>
        <w:fldChar w:fldCharType="separate"/>
      </w:r>
      <w:r w:rsidR="007D1E1B">
        <w:rPr>
          <w:noProof/>
          <w:lang w:val="en-GB"/>
        </w:rPr>
        <w:t>28</w:t>
      </w:r>
      <w:r w:rsidRPr="00672ECC">
        <w:rPr>
          <w:noProof/>
          <w:lang w:val="en-GB"/>
        </w:rPr>
        <w:fldChar w:fldCharType="end"/>
      </w:r>
      <w:r w:rsidRPr="00672ECC">
        <w:rPr>
          <w:lang w:val="en-GB"/>
        </w:rPr>
        <w:t xml:space="preserve">. </w:t>
      </w:r>
      <w:r w:rsidRPr="0040531F">
        <w:rPr>
          <w:lang w:val="en-GB"/>
        </w:rPr>
        <w:t>CULTURAL HERITAGE MANAGEMENT PLAN (CHMP)</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55"/>
        <w:gridCol w:w="3445"/>
        <w:gridCol w:w="4762"/>
        <w:gridCol w:w="4486"/>
      </w:tblGrid>
      <w:tr w:rsidR="00B25314" w:rsidRPr="0040531F" w14:paraId="6270C16A" w14:textId="77777777" w:rsidTr="007D4FEA">
        <w:trPr>
          <w:trHeight w:val="255"/>
        </w:trPr>
        <w:tc>
          <w:tcPr>
            <w:tcW w:w="5000" w:type="pct"/>
            <w:gridSpan w:val="4"/>
            <w:shd w:val="clear" w:color="auto" w:fill="CEDBE6" w:themeFill="background2"/>
            <w:tcMar>
              <w:top w:w="0" w:type="dxa"/>
              <w:left w:w="108" w:type="dxa"/>
              <w:bottom w:w="0" w:type="dxa"/>
              <w:right w:w="108" w:type="dxa"/>
            </w:tcMar>
            <w:vAlign w:val="bottom"/>
          </w:tcPr>
          <w:p w14:paraId="493A7394" w14:textId="77777777" w:rsidR="00B25314" w:rsidRPr="0040531F" w:rsidRDefault="00B25314" w:rsidP="007D4FEA">
            <w:pPr>
              <w:suppressAutoHyphens w:val="0"/>
              <w:spacing w:before="0" w:after="0" w:line="240" w:lineRule="auto"/>
              <w:jc w:val="left"/>
              <w:textAlignment w:val="auto"/>
              <w:rPr>
                <w:rFonts w:cstheme="minorHAnsi"/>
                <w:sz w:val="20"/>
                <w:szCs w:val="20"/>
              </w:rPr>
            </w:pPr>
            <w:r w:rsidRPr="0040531F">
              <w:rPr>
                <w:rFonts w:eastAsia="NSimSun" w:cstheme="minorHAnsi"/>
                <w:b/>
                <w:bCs/>
                <w:sz w:val="20"/>
                <w:szCs w:val="20"/>
                <w:lang w:val="en-US"/>
              </w:rPr>
              <w:t>CHMP measures</w:t>
            </w:r>
          </w:p>
        </w:tc>
      </w:tr>
      <w:tr w:rsidR="00B25314" w:rsidRPr="0040531F" w14:paraId="59910EF7" w14:textId="77777777" w:rsidTr="007D4FEA">
        <w:trPr>
          <w:trHeight w:val="765"/>
        </w:trPr>
        <w:tc>
          <w:tcPr>
            <w:tcW w:w="450" w:type="pct"/>
            <w:shd w:val="clear" w:color="auto" w:fill="CEDBE6" w:themeFill="background2"/>
            <w:tcMar>
              <w:top w:w="0" w:type="dxa"/>
              <w:left w:w="108" w:type="dxa"/>
              <w:bottom w:w="0" w:type="dxa"/>
              <w:right w:w="108" w:type="dxa"/>
            </w:tcMar>
            <w:vAlign w:val="bottom"/>
          </w:tcPr>
          <w:p w14:paraId="1AB8F8BF" w14:textId="77777777" w:rsidR="00B25314" w:rsidRPr="0040531F" w:rsidRDefault="00B25314" w:rsidP="007D4FEA">
            <w:pPr>
              <w:suppressAutoHyphens w:val="0"/>
              <w:spacing w:before="0" w:after="0" w:line="240" w:lineRule="auto"/>
              <w:jc w:val="center"/>
              <w:textAlignment w:val="auto"/>
              <w:rPr>
                <w:rFonts w:cstheme="minorHAnsi"/>
                <w:sz w:val="20"/>
                <w:szCs w:val="20"/>
              </w:rPr>
            </w:pPr>
            <w:r w:rsidRPr="0040531F">
              <w:rPr>
                <w:rFonts w:eastAsia="NSimSun" w:cstheme="minorHAnsi"/>
                <w:b/>
                <w:bCs/>
                <w:sz w:val="20"/>
                <w:szCs w:val="20"/>
                <w:lang w:val="en-US"/>
              </w:rPr>
              <w:t>Phase</w:t>
            </w:r>
          </w:p>
        </w:tc>
        <w:tc>
          <w:tcPr>
            <w:tcW w:w="1235" w:type="pct"/>
            <w:shd w:val="clear" w:color="auto" w:fill="CEDBE6" w:themeFill="background2"/>
            <w:tcMar>
              <w:top w:w="0" w:type="dxa"/>
              <w:left w:w="108" w:type="dxa"/>
              <w:bottom w:w="0" w:type="dxa"/>
              <w:right w:w="108" w:type="dxa"/>
            </w:tcMar>
            <w:vAlign w:val="bottom"/>
          </w:tcPr>
          <w:p w14:paraId="452B66D1" w14:textId="77777777" w:rsidR="00B25314" w:rsidRPr="0040531F" w:rsidRDefault="00B25314" w:rsidP="007D4FEA">
            <w:pPr>
              <w:suppressAutoHyphens w:val="0"/>
              <w:spacing w:before="0" w:after="0" w:line="240" w:lineRule="auto"/>
              <w:jc w:val="center"/>
              <w:textAlignment w:val="auto"/>
              <w:rPr>
                <w:rFonts w:cstheme="minorHAnsi"/>
                <w:b/>
                <w:sz w:val="20"/>
                <w:szCs w:val="20"/>
                <w:lang w:val="en-GB"/>
              </w:rPr>
            </w:pPr>
            <w:r w:rsidRPr="0040531F">
              <w:rPr>
                <w:rFonts w:cstheme="minorHAnsi"/>
                <w:b/>
                <w:sz w:val="20"/>
                <w:szCs w:val="20"/>
                <w:lang w:val="en-GB"/>
              </w:rPr>
              <w:t>Mitigation measure</w:t>
            </w:r>
          </w:p>
        </w:tc>
        <w:tc>
          <w:tcPr>
            <w:tcW w:w="1707" w:type="pct"/>
            <w:shd w:val="clear" w:color="auto" w:fill="CEDBE6" w:themeFill="background2"/>
            <w:tcMar>
              <w:top w:w="0" w:type="dxa"/>
              <w:left w:w="108" w:type="dxa"/>
              <w:bottom w:w="0" w:type="dxa"/>
              <w:right w:w="108" w:type="dxa"/>
            </w:tcMar>
            <w:vAlign w:val="bottom"/>
          </w:tcPr>
          <w:p w14:paraId="2D1438F1" w14:textId="77777777" w:rsidR="00B25314" w:rsidRPr="0040531F" w:rsidRDefault="00B25314" w:rsidP="007D4FEA">
            <w:pPr>
              <w:suppressAutoHyphens w:val="0"/>
              <w:spacing w:before="0" w:after="0" w:line="240" w:lineRule="auto"/>
              <w:jc w:val="center"/>
              <w:textAlignment w:val="auto"/>
              <w:rPr>
                <w:rFonts w:cstheme="minorHAnsi"/>
                <w:b/>
                <w:sz w:val="20"/>
                <w:szCs w:val="20"/>
                <w:lang w:val="en-GB"/>
              </w:rPr>
            </w:pPr>
            <w:r w:rsidRPr="0040531F">
              <w:rPr>
                <w:rFonts w:cstheme="minorHAnsi"/>
                <w:b/>
                <w:sz w:val="20"/>
                <w:szCs w:val="20"/>
                <w:lang w:val="en-GB"/>
              </w:rPr>
              <w:t xml:space="preserve">When should the measure be implemented </w:t>
            </w:r>
          </w:p>
        </w:tc>
        <w:tc>
          <w:tcPr>
            <w:tcW w:w="1608" w:type="pct"/>
            <w:shd w:val="clear" w:color="auto" w:fill="CEDBE6" w:themeFill="background2"/>
            <w:tcMar>
              <w:top w:w="0" w:type="dxa"/>
              <w:left w:w="108" w:type="dxa"/>
              <w:bottom w:w="0" w:type="dxa"/>
              <w:right w:w="108" w:type="dxa"/>
            </w:tcMar>
            <w:vAlign w:val="bottom"/>
          </w:tcPr>
          <w:p w14:paraId="7BD9474B" w14:textId="77777777" w:rsidR="00B25314" w:rsidRPr="0040531F" w:rsidRDefault="00B25314" w:rsidP="007D4FEA">
            <w:pPr>
              <w:suppressAutoHyphens w:val="0"/>
              <w:spacing w:before="0" w:after="0" w:line="240" w:lineRule="auto"/>
              <w:jc w:val="center"/>
              <w:textAlignment w:val="auto"/>
              <w:rPr>
                <w:rFonts w:cstheme="minorHAnsi"/>
                <w:b/>
                <w:sz w:val="20"/>
                <w:szCs w:val="20"/>
                <w:lang w:val="en-GB"/>
              </w:rPr>
            </w:pPr>
            <w:r w:rsidRPr="0040531F">
              <w:rPr>
                <w:rFonts w:cstheme="minorHAnsi"/>
                <w:b/>
                <w:sz w:val="20"/>
                <w:szCs w:val="20"/>
                <w:lang w:val="en-GB"/>
              </w:rPr>
              <w:t>Implementation responsibility</w:t>
            </w:r>
          </w:p>
        </w:tc>
      </w:tr>
      <w:tr w:rsidR="00B25314" w:rsidRPr="0040531F" w14:paraId="6401A711" w14:textId="77777777" w:rsidTr="007D4FEA">
        <w:trPr>
          <w:trHeight w:val="1530"/>
        </w:trPr>
        <w:tc>
          <w:tcPr>
            <w:tcW w:w="450" w:type="pct"/>
            <w:shd w:val="clear" w:color="auto" w:fill="CEDBE6" w:themeFill="background2"/>
            <w:tcMar>
              <w:top w:w="0" w:type="dxa"/>
              <w:left w:w="108" w:type="dxa"/>
              <w:bottom w:w="0" w:type="dxa"/>
              <w:right w:w="108" w:type="dxa"/>
            </w:tcMar>
            <w:textDirection w:val="btLr"/>
            <w:vAlign w:val="bottom"/>
          </w:tcPr>
          <w:p w14:paraId="2CF80A59" w14:textId="77777777" w:rsidR="00B25314" w:rsidRPr="0040531F" w:rsidRDefault="00B25314" w:rsidP="007D4FEA">
            <w:pPr>
              <w:suppressAutoHyphens w:val="0"/>
              <w:spacing w:before="0" w:after="0" w:line="240" w:lineRule="auto"/>
              <w:jc w:val="center"/>
              <w:textAlignment w:val="auto"/>
              <w:rPr>
                <w:rFonts w:cstheme="minorHAnsi"/>
                <w:b/>
                <w:sz w:val="20"/>
                <w:szCs w:val="20"/>
              </w:rPr>
            </w:pPr>
            <w:r w:rsidRPr="0040531F">
              <w:rPr>
                <w:rFonts w:eastAsia="NSimSun" w:cstheme="minorHAnsi"/>
                <w:b/>
                <w:sz w:val="20"/>
                <w:szCs w:val="20"/>
                <w:lang w:val="en-US"/>
              </w:rPr>
              <w:lastRenderedPageBreak/>
              <w:t>During activity preparation</w:t>
            </w:r>
          </w:p>
        </w:tc>
        <w:tc>
          <w:tcPr>
            <w:tcW w:w="1235" w:type="pct"/>
            <w:shd w:val="clear" w:color="auto" w:fill="auto"/>
            <w:tcMar>
              <w:top w:w="0" w:type="dxa"/>
              <w:left w:w="108" w:type="dxa"/>
              <w:bottom w:w="0" w:type="dxa"/>
              <w:right w:w="108" w:type="dxa"/>
            </w:tcMar>
            <w:vAlign w:val="center"/>
          </w:tcPr>
          <w:p w14:paraId="42B1D265"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707" w:type="pct"/>
            <w:shd w:val="clear" w:color="auto" w:fill="auto"/>
            <w:tcMar>
              <w:top w:w="0" w:type="dxa"/>
              <w:left w:w="108" w:type="dxa"/>
              <w:bottom w:w="0" w:type="dxa"/>
              <w:right w:w="108" w:type="dxa"/>
            </w:tcMar>
            <w:vAlign w:val="center"/>
          </w:tcPr>
          <w:p w14:paraId="3AE15345"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608" w:type="pct"/>
            <w:shd w:val="clear" w:color="auto" w:fill="auto"/>
            <w:tcMar>
              <w:top w:w="0" w:type="dxa"/>
              <w:left w:w="108" w:type="dxa"/>
              <w:bottom w:w="0" w:type="dxa"/>
              <w:right w:w="108" w:type="dxa"/>
            </w:tcMar>
            <w:vAlign w:val="center"/>
          </w:tcPr>
          <w:p w14:paraId="71444B17"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r>
      <w:tr w:rsidR="00B25314" w:rsidRPr="0040531F" w14:paraId="1E389ADC" w14:textId="77777777" w:rsidTr="007D4FEA">
        <w:trPr>
          <w:trHeight w:val="1530"/>
        </w:trPr>
        <w:tc>
          <w:tcPr>
            <w:tcW w:w="450" w:type="pct"/>
            <w:shd w:val="clear" w:color="auto" w:fill="CEDBE6" w:themeFill="background2"/>
            <w:tcMar>
              <w:top w:w="0" w:type="dxa"/>
              <w:left w:w="108" w:type="dxa"/>
              <w:bottom w:w="0" w:type="dxa"/>
              <w:right w:w="108" w:type="dxa"/>
            </w:tcMar>
            <w:textDirection w:val="btLr"/>
            <w:vAlign w:val="bottom"/>
          </w:tcPr>
          <w:p w14:paraId="2E731ECE" w14:textId="77777777" w:rsidR="00B25314" w:rsidRPr="0040531F" w:rsidRDefault="00B25314" w:rsidP="007D4FEA">
            <w:pPr>
              <w:suppressAutoHyphens w:val="0"/>
              <w:spacing w:before="0" w:after="0" w:line="240" w:lineRule="auto"/>
              <w:jc w:val="center"/>
              <w:textAlignment w:val="auto"/>
              <w:rPr>
                <w:rFonts w:eastAsia="NSimSun" w:cstheme="minorHAnsi"/>
                <w:b/>
                <w:sz w:val="20"/>
                <w:szCs w:val="20"/>
                <w:lang w:val="en-US"/>
              </w:rPr>
            </w:pPr>
            <w:r w:rsidRPr="0040531F">
              <w:rPr>
                <w:rFonts w:eastAsia="NSimSun" w:cstheme="minorHAnsi"/>
                <w:b/>
                <w:sz w:val="20"/>
                <w:szCs w:val="20"/>
                <w:lang w:val="en-US"/>
              </w:rPr>
              <w:t>During activity design</w:t>
            </w:r>
          </w:p>
        </w:tc>
        <w:tc>
          <w:tcPr>
            <w:tcW w:w="1235" w:type="pct"/>
            <w:shd w:val="clear" w:color="auto" w:fill="auto"/>
            <w:tcMar>
              <w:top w:w="0" w:type="dxa"/>
              <w:left w:w="108" w:type="dxa"/>
              <w:bottom w:w="0" w:type="dxa"/>
              <w:right w:w="108" w:type="dxa"/>
            </w:tcMar>
            <w:vAlign w:val="center"/>
          </w:tcPr>
          <w:p w14:paraId="11718055"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707" w:type="pct"/>
            <w:shd w:val="clear" w:color="auto" w:fill="auto"/>
            <w:tcMar>
              <w:top w:w="0" w:type="dxa"/>
              <w:left w:w="108" w:type="dxa"/>
              <w:bottom w:w="0" w:type="dxa"/>
              <w:right w:w="108" w:type="dxa"/>
            </w:tcMar>
            <w:vAlign w:val="center"/>
          </w:tcPr>
          <w:p w14:paraId="4A54F8E5"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608" w:type="pct"/>
            <w:shd w:val="clear" w:color="auto" w:fill="auto"/>
            <w:tcMar>
              <w:top w:w="0" w:type="dxa"/>
              <w:left w:w="108" w:type="dxa"/>
              <w:bottom w:w="0" w:type="dxa"/>
              <w:right w:w="108" w:type="dxa"/>
            </w:tcMar>
            <w:vAlign w:val="center"/>
          </w:tcPr>
          <w:p w14:paraId="38DD55FD"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r>
      <w:tr w:rsidR="00B25314" w:rsidRPr="0040531F" w14:paraId="44D564FF" w14:textId="77777777" w:rsidTr="007D4FEA">
        <w:trPr>
          <w:trHeight w:val="1530"/>
        </w:trPr>
        <w:tc>
          <w:tcPr>
            <w:tcW w:w="450" w:type="pct"/>
            <w:shd w:val="clear" w:color="auto" w:fill="CEDBE6" w:themeFill="background2"/>
            <w:tcMar>
              <w:top w:w="0" w:type="dxa"/>
              <w:left w:w="108" w:type="dxa"/>
              <w:bottom w:w="0" w:type="dxa"/>
              <w:right w:w="108" w:type="dxa"/>
            </w:tcMar>
            <w:textDirection w:val="btLr"/>
            <w:vAlign w:val="bottom"/>
          </w:tcPr>
          <w:p w14:paraId="7C99BC7D" w14:textId="77777777" w:rsidR="00B25314" w:rsidRPr="0040531F" w:rsidRDefault="00B25314" w:rsidP="007D4FEA">
            <w:pPr>
              <w:suppressAutoHyphens w:val="0"/>
              <w:spacing w:before="0" w:after="0" w:line="240" w:lineRule="auto"/>
              <w:jc w:val="center"/>
              <w:textAlignment w:val="auto"/>
              <w:rPr>
                <w:rFonts w:eastAsia="NSimSun" w:cstheme="minorHAnsi"/>
                <w:b/>
                <w:sz w:val="20"/>
                <w:szCs w:val="20"/>
                <w:lang w:val="en-US"/>
              </w:rPr>
            </w:pPr>
            <w:r w:rsidRPr="0040531F">
              <w:rPr>
                <w:rFonts w:eastAsia="NSimSun" w:cstheme="minorHAnsi"/>
                <w:b/>
                <w:sz w:val="20"/>
                <w:szCs w:val="20"/>
                <w:lang w:val="en-US"/>
              </w:rPr>
              <w:t>All phases</w:t>
            </w:r>
          </w:p>
        </w:tc>
        <w:tc>
          <w:tcPr>
            <w:tcW w:w="1235" w:type="pct"/>
            <w:shd w:val="clear" w:color="auto" w:fill="auto"/>
            <w:tcMar>
              <w:top w:w="0" w:type="dxa"/>
              <w:left w:w="108" w:type="dxa"/>
              <w:bottom w:w="0" w:type="dxa"/>
              <w:right w:w="108" w:type="dxa"/>
            </w:tcMar>
            <w:vAlign w:val="center"/>
          </w:tcPr>
          <w:p w14:paraId="30E10E0F"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707" w:type="pct"/>
            <w:shd w:val="clear" w:color="auto" w:fill="auto"/>
            <w:tcMar>
              <w:top w:w="0" w:type="dxa"/>
              <w:left w:w="108" w:type="dxa"/>
              <w:bottom w:w="0" w:type="dxa"/>
              <w:right w:w="108" w:type="dxa"/>
            </w:tcMar>
            <w:vAlign w:val="center"/>
          </w:tcPr>
          <w:p w14:paraId="44E518A9"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c>
          <w:tcPr>
            <w:tcW w:w="1608" w:type="pct"/>
            <w:shd w:val="clear" w:color="auto" w:fill="auto"/>
            <w:tcMar>
              <w:top w:w="0" w:type="dxa"/>
              <w:left w:w="108" w:type="dxa"/>
              <w:bottom w:w="0" w:type="dxa"/>
              <w:right w:w="108" w:type="dxa"/>
            </w:tcMar>
            <w:vAlign w:val="center"/>
          </w:tcPr>
          <w:p w14:paraId="23EFE29D" w14:textId="77777777" w:rsidR="00B25314" w:rsidRPr="0040531F" w:rsidRDefault="00B25314" w:rsidP="007D4FEA">
            <w:pPr>
              <w:suppressAutoHyphens w:val="0"/>
              <w:spacing w:before="0" w:after="0" w:line="240" w:lineRule="auto"/>
              <w:jc w:val="center"/>
              <w:textAlignment w:val="auto"/>
              <w:rPr>
                <w:rFonts w:cstheme="minorHAnsi"/>
                <w:sz w:val="20"/>
                <w:szCs w:val="20"/>
                <w:lang w:val="en-GB"/>
              </w:rPr>
            </w:pPr>
          </w:p>
        </w:tc>
      </w:tr>
    </w:tbl>
    <w:p w14:paraId="49905ACF" w14:textId="77777777" w:rsidR="00B25314" w:rsidRDefault="00B25314" w:rsidP="00B25314">
      <w:pPr>
        <w:rPr>
          <w:color w:val="FF0000"/>
          <w:lang w:val="en-US"/>
        </w:rPr>
      </w:pPr>
    </w:p>
    <w:p w14:paraId="48C30068" w14:textId="79EC26C4" w:rsidR="00B25314" w:rsidRPr="00B25314" w:rsidRDefault="00B25314" w:rsidP="007E1E7D">
      <w:pPr>
        <w:rPr>
          <w:b/>
          <w:bCs/>
          <w:i/>
          <w:iCs/>
          <w:lang w:val="en-GB"/>
        </w:rPr>
      </w:pPr>
      <w:r w:rsidRPr="00710260">
        <w:rPr>
          <w:b/>
          <w:bCs/>
          <w:i/>
          <w:iCs/>
          <w:lang w:val="en-GB"/>
        </w:rPr>
        <w:t>CHMP as an annex of ESMP Checklists in line with the ESS10, has to be enclosed and special conditions for the protection of cultural heritage (if applicable) have to be attached.</w:t>
      </w:r>
    </w:p>
    <w:p w14:paraId="45DFCEFE" w14:textId="77777777" w:rsidR="00B25314" w:rsidRDefault="00B25314" w:rsidP="007E1E7D">
      <w:pPr>
        <w:rPr>
          <w:lang w:val="en-US"/>
        </w:rPr>
      </w:pPr>
    </w:p>
    <w:p w14:paraId="2ADC509A" w14:textId="7BF37516" w:rsidR="00B25314" w:rsidRPr="00AB7D1E" w:rsidRDefault="00B25314" w:rsidP="007E1E7D">
      <w:pPr>
        <w:rPr>
          <w:lang w:val="en-US"/>
        </w:rPr>
        <w:sectPr w:rsidR="00B25314" w:rsidRPr="00AB7D1E" w:rsidSect="008F32A6">
          <w:pgSz w:w="16838" w:h="11906" w:orient="landscape"/>
          <w:pgMar w:top="1440" w:right="1440" w:bottom="1440" w:left="1440" w:header="720" w:footer="720" w:gutter="0"/>
          <w:cols w:space="720"/>
          <w:docGrid w:linePitch="299"/>
        </w:sectPr>
      </w:pPr>
    </w:p>
    <w:p w14:paraId="72273954" w14:textId="11887E62" w:rsidR="00AC02A8" w:rsidRPr="00AB7D1E" w:rsidRDefault="008A648B" w:rsidP="007D1E1B">
      <w:pPr>
        <w:pStyle w:val="Style1"/>
        <w:rPr>
          <w:szCs w:val="20"/>
        </w:rPr>
      </w:pPr>
      <w:bookmarkStart w:id="275" w:name="_Toc56952729"/>
      <w:r w:rsidRPr="00AB7D1E">
        <w:lastRenderedPageBreak/>
        <w:t xml:space="preserve">Table </w:t>
      </w:r>
      <w:r w:rsidR="009C0647" w:rsidRPr="00AB7D1E">
        <w:fldChar w:fldCharType="begin"/>
      </w:r>
      <w:r w:rsidR="009C0647" w:rsidRPr="00AB7D1E">
        <w:instrText xml:space="preserve"> SEQ Table \* ARABIC </w:instrText>
      </w:r>
      <w:r w:rsidR="009C0647" w:rsidRPr="00AB7D1E">
        <w:fldChar w:fldCharType="separate"/>
      </w:r>
      <w:r w:rsidR="007D1E1B">
        <w:rPr>
          <w:noProof/>
        </w:rPr>
        <w:t>29</w:t>
      </w:r>
      <w:r w:rsidR="009C0647" w:rsidRPr="00AB7D1E">
        <w:fldChar w:fldCharType="end"/>
      </w:r>
      <w:r w:rsidRPr="00AB7D1E">
        <w:t xml:space="preserve">. </w:t>
      </w:r>
      <w:r w:rsidR="003D2DA9" w:rsidRPr="00AB7D1E">
        <w:rPr>
          <w:szCs w:val="20"/>
        </w:rPr>
        <w:t>Monitoring plan</w:t>
      </w:r>
      <w:bookmarkEnd w:id="275"/>
    </w:p>
    <w:tbl>
      <w:tblPr>
        <w:tblW w:w="1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1647"/>
        <w:gridCol w:w="1647"/>
        <w:gridCol w:w="1647"/>
        <w:gridCol w:w="1647"/>
        <w:gridCol w:w="1647"/>
        <w:gridCol w:w="1647"/>
        <w:gridCol w:w="1647"/>
      </w:tblGrid>
      <w:tr w:rsidR="00201842" w:rsidRPr="00AB7D1E" w14:paraId="55835EE0" w14:textId="77777777" w:rsidTr="00201842">
        <w:tc>
          <w:tcPr>
            <w:tcW w:w="2304" w:type="dxa"/>
            <w:shd w:val="clear" w:color="auto" w:fill="CEDBE6" w:themeFill="background2"/>
            <w:vAlign w:val="center"/>
          </w:tcPr>
          <w:p w14:paraId="4ABD6FA4"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b/>
                <w:sz w:val="20"/>
                <w:szCs w:val="20"/>
                <w:lang w:val="en-US"/>
              </w:rPr>
              <w:t>Phase</w:t>
            </w:r>
          </w:p>
        </w:tc>
        <w:tc>
          <w:tcPr>
            <w:tcW w:w="1647" w:type="dxa"/>
            <w:shd w:val="clear" w:color="auto" w:fill="CEDBE6" w:themeFill="background2"/>
            <w:vAlign w:val="center"/>
          </w:tcPr>
          <w:p w14:paraId="6070BCF8"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What</w:t>
            </w:r>
          </w:p>
          <w:p w14:paraId="600E607E"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the parameter to be monitored?)</w:t>
            </w:r>
          </w:p>
        </w:tc>
        <w:tc>
          <w:tcPr>
            <w:tcW w:w="1647" w:type="dxa"/>
            <w:shd w:val="clear" w:color="auto" w:fill="CEDBE6" w:themeFill="background2"/>
            <w:vAlign w:val="center"/>
          </w:tcPr>
          <w:p w14:paraId="229898EB"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Where</w:t>
            </w:r>
          </w:p>
          <w:p w14:paraId="532F2C5D"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the parameter to be monitored?)</w:t>
            </w:r>
          </w:p>
        </w:tc>
        <w:tc>
          <w:tcPr>
            <w:tcW w:w="1647" w:type="dxa"/>
            <w:shd w:val="clear" w:color="auto" w:fill="CEDBE6" w:themeFill="background2"/>
            <w:vAlign w:val="center"/>
          </w:tcPr>
          <w:p w14:paraId="53C5C014"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How</w:t>
            </w:r>
          </w:p>
          <w:p w14:paraId="6466A65D"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the parameter to be monitored?)</w:t>
            </w:r>
          </w:p>
        </w:tc>
        <w:tc>
          <w:tcPr>
            <w:tcW w:w="1647" w:type="dxa"/>
            <w:shd w:val="clear" w:color="auto" w:fill="CEDBE6" w:themeFill="background2"/>
            <w:vAlign w:val="center"/>
          </w:tcPr>
          <w:p w14:paraId="51093B97"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When</w:t>
            </w:r>
          </w:p>
          <w:p w14:paraId="6A3FE8B8"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(Define the frequency / or continuous?)</w:t>
            </w:r>
          </w:p>
        </w:tc>
        <w:tc>
          <w:tcPr>
            <w:tcW w:w="1647" w:type="dxa"/>
            <w:shd w:val="clear" w:color="auto" w:fill="CEDBE6" w:themeFill="background2"/>
            <w:vAlign w:val="center"/>
          </w:tcPr>
          <w:p w14:paraId="30CFC505"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Why</w:t>
            </w:r>
          </w:p>
          <w:p w14:paraId="2DC6130E"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the parameter being monitored?)</w:t>
            </w:r>
          </w:p>
        </w:tc>
        <w:tc>
          <w:tcPr>
            <w:tcW w:w="1647" w:type="dxa"/>
            <w:shd w:val="clear" w:color="auto" w:fill="CEDBE6" w:themeFill="background2"/>
            <w:vAlign w:val="center"/>
          </w:tcPr>
          <w:p w14:paraId="22D5C971"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Cost</w:t>
            </w:r>
          </w:p>
          <w:p w14:paraId="7E9DC738"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(if not included in project budget)</w:t>
            </w:r>
          </w:p>
        </w:tc>
        <w:tc>
          <w:tcPr>
            <w:tcW w:w="1647" w:type="dxa"/>
            <w:shd w:val="clear" w:color="auto" w:fill="CEDBE6" w:themeFill="background2"/>
            <w:vAlign w:val="center"/>
          </w:tcPr>
          <w:p w14:paraId="05F0A104" w14:textId="77777777" w:rsidR="00201842" w:rsidRPr="00AB7D1E" w:rsidRDefault="00201842" w:rsidP="00201842">
            <w:pPr>
              <w:suppressAutoHyphens w:val="0"/>
              <w:autoSpaceDN/>
              <w:spacing w:line="240" w:lineRule="auto"/>
              <w:jc w:val="center"/>
              <w:textAlignment w:val="auto"/>
              <w:rPr>
                <w:rFonts w:ascii="Calibri" w:eastAsia="Times New Roman" w:hAnsi="Calibri"/>
                <w:b/>
                <w:sz w:val="20"/>
                <w:szCs w:val="20"/>
                <w:lang w:val="en-US"/>
              </w:rPr>
            </w:pPr>
            <w:r w:rsidRPr="00AB7D1E">
              <w:rPr>
                <w:rFonts w:ascii="Calibri" w:eastAsia="Times New Roman" w:hAnsi="Calibri"/>
                <w:b/>
                <w:sz w:val="20"/>
                <w:szCs w:val="20"/>
                <w:lang w:val="en-US"/>
              </w:rPr>
              <w:t>Who</w:t>
            </w:r>
          </w:p>
          <w:p w14:paraId="7B5DB8B1" w14:textId="77777777" w:rsidR="00201842" w:rsidRPr="00AB7D1E" w:rsidRDefault="00201842" w:rsidP="00201842">
            <w:pPr>
              <w:suppressAutoHyphens w:val="0"/>
              <w:autoSpaceDN/>
              <w:spacing w:line="240" w:lineRule="auto"/>
              <w:jc w:val="center"/>
              <w:textAlignment w:val="auto"/>
              <w:rPr>
                <w:rFonts w:ascii="Calibri" w:eastAsia="Times New Roman" w:hAnsi="Calibri"/>
                <w:sz w:val="20"/>
                <w:szCs w:val="20"/>
                <w:lang w:val="en-US"/>
              </w:rPr>
            </w:pPr>
            <w:r w:rsidRPr="00AB7D1E">
              <w:rPr>
                <w:rFonts w:ascii="Calibri" w:eastAsia="Times New Roman" w:hAnsi="Calibri"/>
                <w:sz w:val="20"/>
                <w:szCs w:val="20"/>
                <w:lang w:val="en-US"/>
              </w:rPr>
              <w:t>(Is responsible for monitoring?)</w:t>
            </w:r>
          </w:p>
        </w:tc>
      </w:tr>
      <w:tr w:rsidR="00201842" w:rsidRPr="00AB7D1E" w14:paraId="4BF6100A" w14:textId="77777777" w:rsidTr="00201842">
        <w:tc>
          <w:tcPr>
            <w:tcW w:w="2304" w:type="dxa"/>
            <w:vAlign w:val="center"/>
          </w:tcPr>
          <w:p w14:paraId="2BDBABE4" w14:textId="77777777" w:rsidR="00201842" w:rsidRPr="00AB7D1E" w:rsidRDefault="00201842" w:rsidP="00201842">
            <w:pPr>
              <w:suppressAutoHyphens w:val="0"/>
              <w:autoSpaceDN/>
              <w:spacing w:line="240" w:lineRule="auto"/>
              <w:jc w:val="left"/>
              <w:textAlignment w:val="auto"/>
              <w:rPr>
                <w:rFonts w:ascii="Calibri" w:eastAsia="Times New Roman" w:hAnsi="Calibri"/>
                <w:sz w:val="20"/>
                <w:szCs w:val="20"/>
                <w:lang w:val="en-US"/>
              </w:rPr>
            </w:pPr>
            <w:r w:rsidRPr="00AB7D1E">
              <w:rPr>
                <w:rFonts w:ascii="Calibri" w:eastAsia="Times New Roman" w:hAnsi="Calibri"/>
                <w:sz w:val="20"/>
                <w:szCs w:val="20"/>
                <w:lang w:val="en-US"/>
              </w:rPr>
              <w:t xml:space="preserve">During activity </w:t>
            </w:r>
            <w:r w:rsidRPr="00AB7D1E">
              <w:rPr>
                <w:rFonts w:ascii="Calibri" w:eastAsia="Times New Roman" w:hAnsi="Calibri"/>
                <w:b/>
                <w:sz w:val="20"/>
                <w:szCs w:val="20"/>
                <w:lang w:val="en-US"/>
              </w:rPr>
              <w:t>preparation</w:t>
            </w:r>
          </w:p>
        </w:tc>
        <w:tc>
          <w:tcPr>
            <w:tcW w:w="1647" w:type="dxa"/>
            <w:vAlign w:val="center"/>
          </w:tcPr>
          <w:p w14:paraId="255E0E9D"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24636D23"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155E91DD"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680E7CF6"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0EDCD39E"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48AF1D9A"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010F888C"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r>
      <w:tr w:rsidR="00201842" w:rsidRPr="00AB7D1E" w14:paraId="56FB8DF8" w14:textId="77777777" w:rsidTr="00201842">
        <w:tc>
          <w:tcPr>
            <w:tcW w:w="2304" w:type="dxa"/>
            <w:vAlign w:val="center"/>
          </w:tcPr>
          <w:p w14:paraId="39D23DC7" w14:textId="77777777" w:rsidR="00201842" w:rsidRPr="00AB7D1E" w:rsidRDefault="00201842" w:rsidP="00201842">
            <w:pPr>
              <w:suppressAutoHyphens w:val="0"/>
              <w:autoSpaceDN/>
              <w:spacing w:line="240" w:lineRule="auto"/>
              <w:jc w:val="left"/>
              <w:textAlignment w:val="auto"/>
              <w:rPr>
                <w:rFonts w:ascii="Calibri" w:eastAsia="Times New Roman" w:hAnsi="Calibri"/>
                <w:sz w:val="20"/>
                <w:szCs w:val="20"/>
                <w:lang w:val="en-US"/>
              </w:rPr>
            </w:pPr>
            <w:r w:rsidRPr="00AB7D1E">
              <w:rPr>
                <w:rFonts w:ascii="Calibri" w:eastAsia="Times New Roman" w:hAnsi="Calibri"/>
                <w:sz w:val="20"/>
                <w:szCs w:val="20"/>
                <w:lang w:val="en-US"/>
              </w:rPr>
              <w:t xml:space="preserve">During activity </w:t>
            </w:r>
            <w:r w:rsidRPr="00AB7D1E">
              <w:rPr>
                <w:rFonts w:ascii="Calibri" w:eastAsia="Times New Roman" w:hAnsi="Calibri"/>
                <w:sz w:val="20"/>
                <w:szCs w:val="20"/>
                <w:lang w:val="en-US"/>
              </w:rPr>
              <w:br/>
            </w:r>
            <w:r w:rsidRPr="00AB7D1E">
              <w:rPr>
                <w:rFonts w:ascii="Calibri" w:eastAsia="Times New Roman" w:hAnsi="Calibri"/>
                <w:b/>
                <w:sz w:val="20"/>
                <w:szCs w:val="20"/>
                <w:lang w:val="en-US"/>
              </w:rPr>
              <w:t>implementation</w:t>
            </w:r>
          </w:p>
        </w:tc>
        <w:tc>
          <w:tcPr>
            <w:tcW w:w="1647" w:type="dxa"/>
            <w:vAlign w:val="center"/>
          </w:tcPr>
          <w:p w14:paraId="5198E10B"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70FE5675"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6847C32F"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2417C582"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3F00C120"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1AFDCB9C"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1578D121"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r>
      <w:tr w:rsidR="00201842" w:rsidRPr="00AB7D1E" w14:paraId="64DA6927" w14:textId="77777777" w:rsidTr="00201842">
        <w:tc>
          <w:tcPr>
            <w:tcW w:w="2304" w:type="dxa"/>
            <w:vAlign w:val="center"/>
          </w:tcPr>
          <w:p w14:paraId="0B8238AA" w14:textId="77777777" w:rsidR="00201842" w:rsidRPr="00AB7D1E" w:rsidRDefault="00201842" w:rsidP="00201842">
            <w:pPr>
              <w:suppressAutoHyphens w:val="0"/>
              <w:autoSpaceDN/>
              <w:spacing w:line="240" w:lineRule="auto"/>
              <w:jc w:val="left"/>
              <w:textAlignment w:val="auto"/>
              <w:rPr>
                <w:rFonts w:ascii="Calibri" w:eastAsia="Times New Roman" w:hAnsi="Calibri"/>
                <w:sz w:val="20"/>
                <w:szCs w:val="20"/>
                <w:lang w:val="en-US"/>
              </w:rPr>
            </w:pPr>
            <w:r w:rsidRPr="00AB7D1E">
              <w:rPr>
                <w:rFonts w:ascii="Calibri" w:eastAsia="Times New Roman" w:hAnsi="Calibri"/>
                <w:sz w:val="20"/>
                <w:szCs w:val="20"/>
                <w:lang w:val="en-US"/>
              </w:rPr>
              <w:t xml:space="preserve">During activity </w:t>
            </w:r>
            <w:r w:rsidRPr="00AB7D1E">
              <w:rPr>
                <w:rFonts w:ascii="Calibri" w:eastAsia="Times New Roman" w:hAnsi="Calibri"/>
                <w:sz w:val="20"/>
                <w:szCs w:val="20"/>
                <w:lang w:val="en-US"/>
              </w:rPr>
              <w:br/>
            </w:r>
            <w:r w:rsidRPr="00AB7D1E">
              <w:rPr>
                <w:rFonts w:ascii="Calibri" w:eastAsia="Times New Roman" w:hAnsi="Calibri"/>
                <w:b/>
                <w:sz w:val="20"/>
                <w:szCs w:val="20"/>
                <w:lang w:val="en-US"/>
              </w:rPr>
              <w:t>supervision</w:t>
            </w:r>
          </w:p>
        </w:tc>
        <w:tc>
          <w:tcPr>
            <w:tcW w:w="1647" w:type="dxa"/>
            <w:vAlign w:val="center"/>
          </w:tcPr>
          <w:p w14:paraId="1DC495DF"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19B643C3"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005248B7"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6FBC42C9"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245AFC9A"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5199713E"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c>
          <w:tcPr>
            <w:tcW w:w="1647" w:type="dxa"/>
            <w:vAlign w:val="center"/>
          </w:tcPr>
          <w:p w14:paraId="069A3470" w14:textId="77777777" w:rsidR="00201842" w:rsidRPr="00AB7D1E" w:rsidRDefault="00201842" w:rsidP="00201842">
            <w:pPr>
              <w:suppressAutoHyphens w:val="0"/>
              <w:autoSpaceDN/>
              <w:spacing w:line="240" w:lineRule="auto"/>
              <w:jc w:val="left"/>
              <w:textAlignment w:val="auto"/>
              <w:rPr>
                <w:rFonts w:ascii="Calibri" w:eastAsia="Times New Roman" w:hAnsi="Calibri"/>
                <w:sz w:val="16"/>
                <w:szCs w:val="16"/>
                <w:lang w:val="en-US"/>
              </w:rPr>
            </w:pPr>
          </w:p>
        </w:tc>
      </w:tr>
    </w:tbl>
    <w:p w14:paraId="239820DB" w14:textId="14C03F5F" w:rsidR="004749CE" w:rsidRDefault="004749CE">
      <w:pPr>
        <w:rPr>
          <w:color w:val="FF0000"/>
          <w:lang w:val="en-US"/>
        </w:rPr>
      </w:pPr>
    </w:p>
    <w:p w14:paraId="4A0DA5E5" w14:textId="08A215D1" w:rsidR="00710260" w:rsidRDefault="00710260">
      <w:pPr>
        <w:rPr>
          <w:color w:val="FF0000"/>
          <w:lang w:val="en-US"/>
        </w:rPr>
      </w:pPr>
    </w:p>
    <w:p w14:paraId="4D2B9B50" w14:textId="77777777" w:rsidR="00710260" w:rsidRPr="00AB7D1E" w:rsidRDefault="00710260">
      <w:pPr>
        <w:rPr>
          <w:color w:val="FF0000"/>
          <w:lang w:val="en-US"/>
        </w:rPr>
      </w:pPr>
    </w:p>
    <w:p w14:paraId="525F55D7" w14:textId="6474FE64" w:rsidR="00201842" w:rsidRPr="00AB7D1E" w:rsidRDefault="00201842">
      <w:pPr>
        <w:rPr>
          <w:color w:val="FF0000"/>
          <w:lang w:val="en-US"/>
        </w:rPr>
        <w:sectPr w:rsidR="00201842" w:rsidRPr="00AB7D1E" w:rsidSect="00174CEB">
          <w:pgSz w:w="16838" w:h="11906" w:orient="landscape"/>
          <w:pgMar w:top="1440" w:right="1440" w:bottom="1440" w:left="1440" w:header="720" w:footer="720" w:gutter="0"/>
          <w:cols w:space="720"/>
          <w:docGrid w:linePitch="299"/>
        </w:sectPr>
      </w:pPr>
    </w:p>
    <w:p w14:paraId="770F885F" w14:textId="1879C115" w:rsidR="0066385B" w:rsidRPr="00AB7D1E" w:rsidRDefault="007D4FEA" w:rsidP="007D4FEA">
      <w:pPr>
        <w:pStyle w:val="Heading1"/>
        <w:numPr>
          <w:ilvl w:val="0"/>
          <w:numId w:val="0"/>
        </w:numPr>
        <w:ind w:left="432" w:hanging="432"/>
        <w:rPr>
          <w:lang w:val="en-US"/>
        </w:rPr>
      </w:pPr>
      <w:bookmarkStart w:id="276" w:name="_Ref51776436"/>
      <w:bookmarkStart w:id="277" w:name="_Toc56952328"/>
      <w:bookmarkStart w:id="278" w:name="_Toc56954093"/>
      <w:bookmarkStart w:id="279" w:name="_Hlk48056076"/>
      <w:r>
        <w:lastRenderedPageBreak/>
        <w:t xml:space="preserve">ANNEX </w:t>
      </w:r>
      <w:fldSimple w:instr=" SEQ ANNEX \* ROMAN ">
        <w:r w:rsidR="007D1E1B">
          <w:rPr>
            <w:noProof/>
          </w:rPr>
          <w:t>X</w:t>
        </w:r>
      </w:fldSimple>
      <w:r w:rsidR="0066385B" w:rsidRPr="00AB7D1E">
        <w:rPr>
          <w:lang w:val="en-US"/>
        </w:rPr>
        <w:t>- MONTHLY FIELD ENVIRONMENTAL MONITORING CHECKLIST</w:t>
      </w:r>
      <w:bookmarkEnd w:id="276"/>
      <w:bookmarkEnd w:id="277"/>
      <w:bookmarkEnd w:id="278"/>
    </w:p>
    <w:p w14:paraId="31144640" w14:textId="6C32E76E" w:rsidR="0066385B" w:rsidRPr="00AB7D1E" w:rsidRDefault="005A7660" w:rsidP="007D1E1B">
      <w:pPr>
        <w:pStyle w:val="Style1"/>
      </w:pPr>
      <w:bookmarkStart w:id="280" w:name="_Toc56952730"/>
      <w:r w:rsidRPr="00AB7D1E">
        <w:t xml:space="preserve">Table </w:t>
      </w:r>
      <w:r w:rsidR="00DF4A34" w:rsidRPr="00AB7D1E">
        <w:fldChar w:fldCharType="begin"/>
      </w:r>
      <w:r w:rsidR="00DF4A34" w:rsidRPr="00AB7D1E">
        <w:instrText xml:space="preserve"> SEQ Table \* ARABIC </w:instrText>
      </w:r>
      <w:r w:rsidR="00DF4A34" w:rsidRPr="00AB7D1E">
        <w:fldChar w:fldCharType="separate"/>
      </w:r>
      <w:r w:rsidR="007D1E1B">
        <w:rPr>
          <w:noProof/>
        </w:rPr>
        <w:t>30</w:t>
      </w:r>
      <w:r w:rsidR="00DF4A34" w:rsidRPr="00AB7D1E">
        <w:fldChar w:fldCharType="end"/>
      </w:r>
      <w:r w:rsidRPr="00AB7D1E">
        <w:t>. Monthly field environmental monitoring checklist</w:t>
      </w:r>
      <w:bookmarkEnd w:id="279"/>
      <w:bookmarkEnd w:id="280"/>
    </w:p>
    <w:tbl>
      <w:tblPr>
        <w:tblW w:w="1396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9"/>
        <w:gridCol w:w="1169"/>
        <w:gridCol w:w="1164"/>
        <w:gridCol w:w="1087"/>
        <w:gridCol w:w="1080"/>
        <w:gridCol w:w="3329"/>
      </w:tblGrid>
      <w:tr w:rsidR="008179A8" w:rsidRPr="00AB7D1E" w14:paraId="76C86045" w14:textId="77777777" w:rsidTr="001037F7">
        <w:trPr>
          <w:trHeight w:val="378"/>
        </w:trPr>
        <w:tc>
          <w:tcPr>
            <w:tcW w:w="6139" w:type="dxa"/>
            <w:shd w:val="clear" w:color="auto" w:fill="CEDBE6" w:themeFill="background2"/>
          </w:tcPr>
          <w:p w14:paraId="03C4305B" w14:textId="77777777" w:rsidR="008179A8" w:rsidRPr="00AB7D1E" w:rsidRDefault="008179A8" w:rsidP="008179A8">
            <w:pPr>
              <w:widowControl w:val="0"/>
              <w:suppressAutoHyphens w:val="0"/>
              <w:autoSpaceDE w:val="0"/>
              <w:spacing w:before="44"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Site location</w:t>
            </w:r>
          </w:p>
        </w:tc>
        <w:tc>
          <w:tcPr>
            <w:tcW w:w="7829" w:type="dxa"/>
            <w:gridSpan w:val="5"/>
          </w:tcPr>
          <w:p w14:paraId="187FB82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7E87DC91" w14:textId="77777777" w:rsidTr="001037F7">
        <w:trPr>
          <w:trHeight w:val="350"/>
        </w:trPr>
        <w:tc>
          <w:tcPr>
            <w:tcW w:w="6139" w:type="dxa"/>
            <w:shd w:val="clear" w:color="auto" w:fill="CEDBE6" w:themeFill="background2"/>
          </w:tcPr>
          <w:p w14:paraId="00222870" w14:textId="77777777" w:rsidR="008179A8" w:rsidRPr="00AB7D1E" w:rsidRDefault="008179A8" w:rsidP="008179A8">
            <w:pPr>
              <w:widowControl w:val="0"/>
              <w:suppressAutoHyphens w:val="0"/>
              <w:autoSpaceDE w:val="0"/>
              <w:spacing w:before="27"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Name of contractor</w:t>
            </w:r>
          </w:p>
        </w:tc>
        <w:tc>
          <w:tcPr>
            <w:tcW w:w="7829" w:type="dxa"/>
            <w:gridSpan w:val="5"/>
          </w:tcPr>
          <w:p w14:paraId="3975FD6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6FE12EA7" w14:textId="77777777" w:rsidTr="001037F7">
        <w:trPr>
          <w:trHeight w:val="350"/>
        </w:trPr>
        <w:tc>
          <w:tcPr>
            <w:tcW w:w="6139" w:type="dxa"/>
            <w:shd w:val="clear" w:color="auto" w:fill="CEDBE6" w:themeFill="background2"/>
          </w:tcPr>
          <w:p w14:paraId="3D25A814" w14:textId="77777777" w:rsidR="008179A8" w:rsidRPr="00AB7D1E" w:rsidRDefault="008179A8" w:rsidP="008179A8">
            <w:pPr>
              <w:widowControl w:val="0"/>
              <w:suppressAutoHyphens w:val="0"/>
              <w:autoSpaceDE w:val="0"/>
              <w:spacing w:before="27"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Name of supervisor</w:t>
            </w:r>
          </w:p>
        </w:tc>
        <w:tc>
          <w:tcPr>
            <w:tcW w:w="7829" w:type="dxa"/>
            <w:gridSpan w:val="5"/>
          </w:tcPr>
          <w:p w14:paraId="68ADD56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ABA950C" w14:textId="77777777" w:rsidTr="001037F7">
        <w:trPr>
          <w:trHeight w:val="357"/>
        </w:trPr>
        <w:tc>
          <w:tcPr>
            <w:tcW w:w="6139" w:type="dxa"/>
            <w:shd w:val="clear" w:color="auto" w:fill="CEDBE6" w:themeFill="background2"/>
          </w:tcPr>
          <w:p w14:paraId="2CC7B322" w14:textId="77777777" w:rsidR="008179A8" w:rsidRPr="00AB7D1E" w:rsidRDefault="008179A8" w:rsidP="008179A8">
            <w:pPr>
              <w:widowControl w:val="0"/>
              <w:suppressAutoHyphens w:val="0"/>
              <w:autoSpaceDE w:val="0"/>
              <w:spacing w:before="32"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Date of site visit</w:t>
            </w:r>
          </w:p>
        </w:tc>
        <w:tc>
          <w:tcPr>
            <w:tcW w:w="7829" w:type="dxa"/>
            <w:gridSpan w:val="5"/>
          </w:tcPr>
          <w:p w14:paraId="042FD99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423E70FC" w14:textId="77777777" w:rsidTr="001037F7">
        <w:trPr>
          <w:trHeight w:val="342"/>
        </w:trPr>
        <w:tc>
          <w:tcPr>
            <w:tcW w:w="6139" w:type="dxa"/>
            <w:shd w:val="clear" w:color="auto" w:fill="CEDBE6" w:themeFill="background2"/>
          </w:tcPr>
          <w:p w14:paraId="22F4D37D" w14:textId="77777777" w:rsidR="008179A8" w:rsidRPr="00AB7D1E" w:rsidRDefault="008179A8" w:rsidP="008179A8">
            <w:pPr>
              <w:widowControl w:val="0"/>
              <w:suppressAutoHyphens w:val="0"/>
              <w:autoSpaceDE w:val="0"/>
              <w:spacing w:before="25"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Status of civil works</w:t>
            </w:r>
          </w:p>
        </w:tc>
        <w:tc>
          <w:tcPr>
            <w:tcW w:w="7829" w:type="dxa"/>
            <w:gridSpan w:val="5"/>
          </w:tcPr>
          <w:p w14:paraId="25622BF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0A4E72DF" w14:textId="77777777" w:rsidTr="001037F7">
        <w:trPr>
          <w:trHeight w:val="438"/>
        </w:trPr>
        <w:tc>
          <w:tcPr>
            <w:tcW w:w="6139" w:type="dxa"/>
            <w:vMerge w:val="restart"/>
            <w:shd w:val="clear" w:color="auto" w:fill="CEDBE6" w:themeFill="background2"/>
          </w:tcPr>
          <w:p w14:paraId="708158D9" w14:textId="77777777" w:rsidR="008179A8" w:rsidRPr="00AB7D1E" w:rsidRDefault="008179A8" w:rsidP="008179A8">
            <w:pPr>
              <w:widowControl w:val="0"/>
              <w:suppressAutoHyphens w:val="0"/>
              <w:autoSpaceDE w:val="0"/>
              <w:spacing w:before="73"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Documents and activities to be examined</w:t>
            </w:r>
          </w:p>
        </w:tc>
        <w:tc>
          <w:tcPr>
            <w:tcW w:w="4500" w:type="dxa"/>
            <w:gridSpan w:val="4"/>
            <w:shd w:val="clear" w:color="auto" w:fill="CEDBE6" w:themeFill="background2"/>
          </w:tcPr>
          <w:p w14:paraId="2D3A6CDA" w14:textId="77777777" w:rsidR="008179A8" w:rsidRPr="00AB7D1E" w:rsidRDefault="008179A8" w:rsidP="008179A8">
            <w:pPr>
              <w:widowControl w:val="0"/>
              <w:suppressAutoHyphens w:val="0"/>
              <w:autoSpaceDE w:val="0"/>
              <w:spacing w:before="73" w:after="0" w:line="240" w:lineRule="auto"/>
              <w:ind w:left="1933" w:right="1929"/>
              <w:jc w:val="center"/>
              <w:textAlignment w:val="auto"/>
              <w:rPr>
                <w:rFonts w:eastAsia="Times New Roman" w:cstheme="minorHAnsi"/>
                <w:sz w:val="20"/>
                <w:szCs w:val="20"/>
                <w:lang w:val="en-US"/>
              </w:rPr>
            </w:pPr>
            <w:r w:rsidRPr="00AB7D1E">
              <w:rPr>
                <w:rFonts w:eastAsia="Times New Roman" w:cstheme="minorHAnsi"/>
                <w:sz w:val="20"/>
                <w:szCs w:val="20"/>
                <w:lang w:val="en-US"/>
              </w:rPr>
              <w:t>Status</w:t>
            </w:r>
          </w:p>
        </w:tc>
        <w:tc>
          <w:tcPr>
            <w:tcW w:w="3329" w:type="dxa"/>
            <w:vMerge w:val="restart"/>
            <w:shd w:val="clear" w:color="auto" w:fill="CEDBE6" w:themeFill="background2"/>
          </w:tcPr>
          <w:p w14:paraId="356EAFF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b/>
                <w:i/>
                <w:sz w:val="20"/>
                <w:szCs w:val="20"/>
                <w:lang w:val="en-US"/>
              </w:rPr>
            </w:pPr>
          </w:p>
          <w:p w14:paraId="7260E56D" w14:textId="77777777" w:rsidR="008179A8" w:rsidRPr="00AB7D1E" w:rsidRDefault="008179A8" w:rsidP="008179A8">
            <w:pPr>
              <w:widowControl w:val="0"/>
              <w:suppressAutoHyphens w:val="0"/>
              <w:autoSpaceDE w:val="0"/>
              <w:spacing w:before="0" w:after="0" w:line="240" w:lineRule="auto"/>
              <w:ind w:left="1122" w:right="1115"/>
              <w:jc w:val="center"/>
              <w:textAlignment w:val="auto"/>
              <w:rPr>
                <w:rFonts w:eastAsia="Times New Roman" w:cstheme="minorHAnsi"/>
                <w:sz w:val="20"/>
                <w:szCs w:val="20"/>
                <w:lang w:val="en-US"/>
              </w:rPr>
            </w:pPr>
            <w:r w:rsidRPr="00AB7D1E">
              <w:rPr>
                <w:rFonts w:eastAsia="Times New Roman" w:cstheme="minorHAnsi"/>
                <w:sz w:val="20"/>
                <w:szCs w:val="20"/>
                <w:lang w:val="en-US"/>
              </w:rPr>
              <w:t>Comments</w:t>
            </w:r>
          </w:p>
        </w:tc>
      </w:tr>
      <w:tr w:rsidR="008179A8" w:rsidRPr="00AB7D1E" w14:paraId="264591D5" w14:textId="77777777" w:rsidTr="001037F7">
        <w:trPr>
          <w:trHeight w:val="350"/>
        </w:trPr>
        <w:tc>
          <w:tcPr>
            <w:tcW w:w="6139" w:type="dxa"/>
            <w:vMerge/>
            <w:shd w:val="clear" w:color="auto" w:fill="CEDBE6" w:themeFill="background2"/>
          </w:tcPr>
          <w:p w14:paraId="7E999A9E" w14:textId="77777777" w:rsidR="008179A8" w:rsidRPr="00AB7D1E" w:rsidRDefault="008179A8" w:rsidP="008179A8">
            <w:pPr>
              <w:widowControl w:val="0"/>
              <w:suppressAutoHyphens w:val="0"/>
              <w:autoSpaceDE w:val="0"/>
              <w:spacing w:before="30" w:after="0" w:line="240" w:lineRule="auto"/>
              <w:ind w:left="107"/>
              <w:jc w:val="left"/>
              <w:textAlignment w:val="auto"/>
              <w:rPr>
                <w:rFonts w:eastAsia="Times New Roman" w:cstheme="minorHAnsi"/>
                <w:sz w:val="20"/>
                <w:szCs w:val="20"/>
                <w:lang w:val="en-US"/>
              </w:rPr>
            </w:pPr>
          </w:p>
        </w:tc>
        <w:tc>
          <w:tcPr>
            <w:tcW w:w="1169" w:type="dxa"/>
            <w:shd w:val="clear" w:color="auto" w:fill="CEDBE6" w:themeFill="background2"/>
          </w:tcPr>
          <w:p w14:paraId="65CD95C8" w14:textId="77777777" w:rsidR="008179A8" w:rsidRPr="00AB7D1E" w:rsidRDefault="008179A8" w:rsidP="008179A8">
            <w:pPr>
              <w:widowControl w:val="0"/>
              <w:suppressAutoHyphens w:val="0"/>
              <w:autoSpaceDE w:val="0"/>
              <w:spacing w:before="30" w:after="0" w:line="240" w:lineRule="auto"/>
              <w:ind w:left="372" w:right="372"/>
              <w:jc w:val="center"/>
              <w:textAlignment w:val="auto"/>
              <w:rPr>
                <w:rFonts w:eastAsia="Times New Roman" w:cstheme="minorHAnsi"/>
                <w:sz w:val="20"/>
                <w:szCs w:val="20"/>
                <w:lang w:val="en-US"/>
              </w:rPr>
            </w:pPr>
            <w:r w:rsidRPr="00AB7D1E">
              <w:rPr>
                <w:rFonts w:eastAsia="Times New Roman" w:cstheme="minorHAnsi"/>
                <w:sz w:val="20"/>
                <w:szCs w:val="20"/>
                <w:lang w:val="en-US"/>
              </w:rPr>
              <w:t>Yes</w:t>
            </w:r>
          </w:p>
        </w:tc>
        <w:tc>
          <w:tcPr>
            <w:tcW w:w="1164" w:type="dxa"/>
            <w:shd w:val="clear" w:color="auto" w:fill="CEDBE6" w:themeFill="background2"/>
          </w:tcPr>
          <w:p w14:paraId="1AF81990" w14:textId="77777777" w:rsidR="008179A8" w:rsidRPr="00AB7D1E" w:rsidRDefault="008179A8" w:rsidP="008179A8">
            <w:pPr>
              <w:widowControl w:val="0"/>
              <w:suppressAutoHyphens w:val="0"/>
              <w:autoSpaceDE w:val="0"/>
              <w:spacing w:before="30" w:after="0" w:line="240" w:lineRule="auto"/>
              <w:ind w:left="175"/>
              <w:jc w:val="left"/>
              <w:textAlignment w:val="auto"/>
              <w:rPr>
                <w:rFonts w:eastAsia="Times New Roman" w:cstheme="minorHAnsi"/>
                <w:sz w:val="20"/>
                <w:szCs w:val="20"/>
                <w:lang w:val="en-US"/>
              </w:rPr>
            </w:pPr>
            <w:r w:rsidRPr="00AB7D1E">
              <w:rPr>
                <w:rFonts w:eastAsia="Times New Roman" w:cstheme="minorHAnsi"/>
                <w:sz w:val="20"/>
                <w:szCs w:val="20"/>
                <w:lang w:val="en-US"/>
              </w:rPr>
              <w:t>Partially</w:t>
            </w:r>
          </w:p>
        </w:tc>
        <w:tc>
          <w:tcPr>
            <w:tcW w:w="1087" w:type="dxa"/>
            <w:shd w:val="clear" w:color="auto" w:fill="CEDBE6" w:themeFill="background2"/>
          </w:tcPr>
          <w:p w14:paraId="3AF95F1D" w14:textId="77777777" w:rsidR="008179A8" w:rsidRPr="00AB7D1E" w:rsidRDefault="008179A8" w:rsidP="008179A8">
            <w:pPr>
              <w:widowControl w:val="0"/>
              <w:suppressAutoHyphens w:val="0"/>
              <w:autoSpaceDE w:val="0"/>
              <w:spacing w:before="30" w:after="0" w:line="240" w:lineRule="auto"/>
              <w:ind w:left="374" w:right="368"/>
              <w:jc w:val="center"/>
              <w:textAlignment w:val="auto"/>
              <w:rPr>
                <w:rFonts w:eastAsia="Times New Roman" w:cstheme="minorHAnsi"/>
                <w:sz w:val="20"/>
                <w:szCs w:val="20"/>
                <w:lang w:val="en-US"/>
              </w:rPr>
            </w:pPr>
            <w:r w:rsidRPr="00AB7D1E">
              <w:rPr>
                <w:rFonts w:eastAsia="Times New Roman" w:cstheme="minorHAnsi"/>
                <w:sz w:val="20"/>
                <w:szCs w:val="20"/>
                <w:lang w:val="en-US"/>
              </w:rPr>
              <w:t>No</w:t>
            </w:r>
          </w:p>
        </w:tc>
        <w:tc>
          <w:tcPr>
            <w:tcW w:w="1080" w:type="dxa"/>
            <w:shd w:val="clear" w:color="auto" w:fill="CEDBE6" w:themeFill="background2"/>
          </w:tcPr>
          <w:p w14:paraId="0BC29F0D" w14:textId="77777777" w:rsidR="008179A8" w:rsidRPr="00AB7D1E" w:rsidRDefault="008179A8" w:rsidP="008179A8">
            <w:pPr>
              <w:widowControl w:val="0"/>
              <w:suppressAutoHyphens w:val="0"/>
              <w:autoSpaceDE w:val="0"/>
              <w:spacing w:before="30" w:after="0" w:line="240" w:lineRule="auto"/>
              <w:ind w:left="331"/>
              <w:jc w:val="left"/>
              <w:textAlignment w:val="auto"/>
              <w:rPr>
                <w:rFonts w:eastAsia="Times New Roman" w:cstheme="minorHAnsi"/>
                <w:sz w:val="20"/>
                <w:szCs w:val="20"/>
                <w:lang w:val="en-US"/>
              </w:rPr>
            </w:pPr>
            <w:r w:rsidRPr="00AB7D1E">
              <w:rPr>
                <w:rFonts w:eastAsia="Times New Roman" w:cstheme="minorHAnsi"/>
                <w:sz w:val="20"/>
                <w:szCs w:val="20"/>
                <w:lang w:val="en-US"/>
              </w:rPr>
              <w:t>N/A</w:t>
            </w:r>
          </w:p>
        </w:tc>
        <w:tc>
          <w:tcPr>
            <w:tcW w:w="3329" w:type="dxa"/>
            <w:vMerge/>
            <w:tcBorders>
              <w:top w:val="nil"/>
            </w:tcBorders>
            <w:shd w:val="clear" w:color="auto" w:fill="F2F2F2"/>
          </w:tcPr>
          <w:p w14:paraId="445C5C16"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7D2B9E9E" w14:textId="77777777" w:rsidTr="001037F7">
        <w:trPr>
          <w:trHeight w:val="350"/>
        </w:trPr>
        <w:tc>
          <w:tcPr>
            <w:tcW w:w="6139" w:type="dxa"/>
            <w:vAlign w:val="center"/>
          </w:tcPr>
          <w:p w14:paraId="55F86A0D" w14:textId="77777777" w:rsidR="008179A8" w:rsidRPr="00AB7D1E" w:rsidRDefault="008179A8" w:rsidP="008179A8">
            <w:pPr>
              <w:widowControl w:val="0"/>
              <w:suppressAutoHyphens w:val="0"/>
              <w:autoSpaceDE w:val="0"/>
              <w:spacing w:before="30"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Contractor holds all necessary permits</w:t>
            </w:r>
          </w:p>
        </w:tc>
        <w:tc>
          <w:tcPr>
            <w:tcW w:w="1169" w:type="dxa"/>
          </w:tcPr>
          <w:p w14:paraId="36094E1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1E067CC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79ED109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16A2633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EC4563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1E83BDC" w14:textId="77777777" w:rsidTr="001037F7">
        <w:trPr>
          <w:trHeight w:val="333"/>
        </w:trPr>
        <w:tc>
          <w:tcPr>
            <w:tcW w:w="6139" w:type="dxa"/>
            <w:vAlign w:val="center"/>
          </w:tcPr>
          <w:p w14:paraId="0D710751" w14:textId="347DD1CD" w:rsidR="008179A8" w:rsidRPr="00AB7D1E" w:rsidRDefault="008179A8" w:rsidP="008179A8">
            <w:pPr>
              <w:widowControl w:val="0"/>
              <w:suppressAutoHyphens w:val="0"/>
              <w:autoSpaceDE w:val="0"/>
              <w:spacing w:before="20" w:after="0" w:line="240" w:lineRule="auto"/>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 xml:space="preserve">Contractor holds agreement for final disposal of waste (including municipal waste) </w:t>
            </w:r>
          </w:p>
        </w:tc>
        <w:tc>
          <w:tcPr>
            <w:tcW w:w="1169" w:type="dxa"/>
          </w:tcPr>
          <w:p w14:paraId="443261E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5BE2AC9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2203F63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0D0A9D1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B3A2D4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59602A65" w14:textId="77777777" w:rsidTr="001037F7">
        <w:trPr>
          <w:trHeight w:val="551"/>
        </w:trPr>
        <w:tc>
          <w:tcPr>
            <w:tcW w:w="6139" w:type="dxa"/>
            <w:vAlign w:val="center"/>
          </w:tcPr>
          <w:p w14:paraId="354D47F4" w14:textId="77777777" w:rsidR="008179A8" w:rsidRPr="00AB7D1E" w:rsidRDefault="008179A8" w:rsidP="008179A8">
            <w:pPr>
              <w:widowControl w:val="0"/>
              <w:suppressAutoHyphens w:val="0"/>
              <w:autoSpaceDE w:val="0"/>
              <w:spacing w:before="0" w:after="0" w:line="264"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Work site is fenced, and warning signs installed, open pits covered and clearly marked, entry for unemployed person within the project location is prohibited</w:t>
            </w:r>
          </w:p>
        </w:tc>
        <w:tc>
          <w:tcPr>
            <w:tcW w:w="1169" w:type="dxa"/>
          </w:tcPr>
          <w:p w14:paraId="70CE3E1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3331127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7C9EEAF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77A8463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0D999E7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BA59A77" w14:textId="77777777" w:rsidTr="001037F7">
        <w:trPr>
          <w:trHeight w:val="551"/>
        </w:trPr>
        <w:tc>
          <w:tcPr>
            <w:tcW w:w="6139" w:type="dxa"/>
            <w:vAlign w:val="center"/>
          </w:tcPr>
          <w:p w14:paraId="59473A42" w14:textId="77777777" w:rsidR="008179A8" w:rsidRPr="00AB7D1E" w:rsidRDefault="008179A8" w:rsidP="008179A8">
            <w:pPr>
              <w:widowControl w:val="0"/>
              <w:suppressAutoHyphens w:val="0"/>
              <w:autoSpaceDE w:val="0"/>
              <w:spacing w:before="0" w:after="0" w:line="264"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Devices, equipment and fire extinguishers are on site and functional, first aid kits are available on the site and personnel trained to use it, procedures for cases of emergency (including spills, accidents, etc.) are available at the site</w:t>
            </w:r>
          </w:p>
        </w:tc>
        <w:tc>
          <w:tcPr>
            <w:tcW w:w="1169" w:type="dxa"/>
          </w:tcPr>
          <w:p w14:paraId="1C92E07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9B979E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6B85D8B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08D71FB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3FE7D36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74539C5D" w14:textId="77777777" w:rsidTr="001037F7">
        <w:trPr>
          <w:trHeight w:val="551"/>
        </w:trPr>
        <w:tc>
          <w:tcPr>
            <w:tcW w:w="6139" w:type="dxa"/>
            <w:vAlign w:val="center"/>
          </w:tcPr>
          <w:p w14:paraId="5B2399BA" w14:textId="77777777" w:rsidR="008179A8" w:rsidRPr="00AB7D1E" w:rsidRDefault="008179A8" w:rsidP="008179A8">
            <w:pPr>
              <w:widowControl w:val="0"/>
              <w:suppressAutoHyphens w:val="0"/>
              <w:autoSpaceDE w:val="0"/>
              <w:spacing w:before="0" w:after="0" w:line="264"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The surrounding area near the project is kept clean</w:t>
            </w:r>
          </w:p>
        </w:tc>
        <w:tc>
          <w:tcPr>
            <w:tcW w:w="1169" w:type="dxa"/>
          </w:tcPr>
          <w:p w14:paraId="7FCD4DE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0231C4B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4A54BD2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2FE97A1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2AFE2EB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273387C5" w14:textId="77777777" w:rsidTr="001037F7">
        <w:trPr>
          <w:trHeight w:val="412"/>
        </w:trPr>
        <w:tc>
          <w:tcPr>
            <w:tcW w:w="6139" w:type="dxa"/>
            <w:vAlign w:val="center"/>
          </w:tcPr>
          <w:p w14:paraId="46A29339" w14:textId="77777777" w:rsidR="008179A8" w:rsidRPr="00AB7D1E" w:rsidRDefault="008179A8" w:rsidP="008179A8">
            <w:pPr>
              <w:widowControl w:val="0"/>
              <w:suppressAutoHyphens w:val="0"/>
              <w:autoSpaceDE w:val="0"/>
              <w:spacing w:before="0" w:after="0" w:line="268"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Works do not impede pedestrian access and motor traffic, or temporary alternative access is provided</w:t>
            </w:r>
          </w:p>
        </w:tc>
        <w:tc>
          <w:tcPr>
            <w:tcW w:w="1169" w:type="dxa"/>
          </w:tcPr>
          <w:p w14:paraId="65F6B9D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5452A0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96B1B9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6D0EA57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5EF44E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6475F768" w14:textId="77777777" w:rsidTr="001037F7">
        <w:trPr>
          <w:trHeight w:val="827"/>
        </w:trPr>
        <w:tc>
          <w:tcPr>
            <w:tcW w:w="6139" w:type="dxa"/>
            <w:vAlign w:val="center"/>
          </w:tcPr>
          <w:p w14:paraId="7EEC6455" w14:textId="77777777" w:rsidR="008179A8" w:rsidRPr="00AB7D1E" w:rsidRDefault="008179A8" w:rsidP="008179A8">
            <w:pPr>
              <w:widowControl w:val="0"/>
              <w:suppressAutoHyphens w:val="0"/>
              <w:autoSpaceDE w:val="0"/>
              <w:spacing w:before="0" w:after="0" w:line="264"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Working hours are observed and community is informed in advance of any work activities to occur outside of normal working hours</w:t>
            </w:r>
          </w:p>
        </w:tc>
        <w:tc>
          <w:tcPr>
            <w:tcW w:w="1169" w:type="dxa"/>
          </w:tcPr>
          <w:p w14:paraId="4DD213E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0F535F7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C820F1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74894A9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51FFFC11"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FB4E633" w14:textId="77777777" w:rsidTr="001037F7">
        <w:trPr>
          <w:trHeight w:val="553"/>
        </w:trPr>
        <w:tc>
          <w:tcPr>
            <w:tcW w:w="6139" w:type="dxa"/>
            <w:vAlign w:val="center"/>
          </w:tcPr>
          <w:p w14:paraId="1CA14BD1" w14:textId="77777777" w:rsidR="008179A8" w:rsidRPr="00AB7D1E" w:rsidRDefault="008179A8" w:rsidP="008179A8">
            <w:pPr>
              <w:widowControl w:val="0"/>
              <w:suppressAutoHyphens w:val="0"/>
              <w:autoSpaceDE w:val="0"/>
              <w:spacing w:before="0" w:after="0" w:line="240" w:lineRule="auto"/>
              <w:ind w:left="107" w:right="683"/>
              <w:jc w:val="left"/>
              <w:textAlignment w:val="auto"/>
              <w:rPr>
                <w:rFonts w:eastAsia="Times New Roman" w:cstheme="minorHAnsi"/>
                <w:sz w:val="20"/>
                <w:szCs w:val="20"/>
                <w:lang w:val="en-US"/>
              </w:rPr>
            </w:pPr>
            <w:r w:rsidRPr="00AB7D1E">
              <w:rPr>
                <w:rFonts w:eastAsia="Times New Roman" w:cstheme="minorHAnsi"/>
                <w:sz w:val="20"/>
                <w:szCs w:val="20"/>
                <w:lang w:val="en-US"/>
              </w:rPr>
              <w:t>Construction machinery and equipment is in standard technical condition (no excessive exhaust and noise, no leakage of fuels and lubricants)</w:t>
            </w:r>
          </w:p>
        </w:tc>
        <w:tc>
          <w:tcPr>
            <w:tcW w:w="1169" w:type="dxa"/>
          </w:tcPr>
          <w:p w14:paraId="72E64E2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0850A44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18BB128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5BC2C3F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59E4F5C1"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2FB2785B" w14:textId="77777777" w:rsidTr="001037F7">
        <w:trPr>
          <w:trHeight w:val="551"/>
        </w:trPr>
        <w:tc>
          <w:tcPr>
            <w:tcW w:w="6139" w:type="dxa"/>
            <w:vAlign w:val="center"/>
          </w:tcPr>
          <w:p w14:paraId="19EFFA63" w14:textId="77777777" w:rsidR="008179A8" w:rsidRPr="00AB7D1E" w:rsidRDefault="008179A8" w:rsidP="008179A8">
            <w:pPr>
              <w:widowControl w:val="0"/>
              <w:suppressAutoHyphens w:val="0"/>
              <w:autoSpaceDE w:val="0"/>
              <w:spacing w:before="0" w:after="0" w:line="270"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lastRenderedPageBreak/>
              <w:t>Construction materials and waste are transported under the covered hood</w:t>
            </w:r>
          </w:p>
        </w:tc>
        <w:tc>
          <w:tcPr>
            <w:tcW w:w="1169" w:type="dxa"/>
          </w:tcPr>
          <w:p w14:paraId="266562D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1A8E62E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6375B8C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363E50E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0FB1B67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5F65F66" w14:textId="77777777" w:rsidTr="001037F7">
        <w:trPr>
          <w:trHeight w:val="827"/>
        </w:trPr>
        <w:tc>
          <w:tcPr>
            <w:tcW w:w="6139" w:type="dxa"/>
            <w:vAlign w:val="center"/>
          </w:tcPr>
          <w:p w14:paraId="6CC01592" w14:textId="77777777" w:rsidR="008179A8" w:rsidRPr="00AB7D1E" w:rsidRDefault="008179A8" w:rsidP="008179A8">
            <w:pPr>
              <w:widowControl w:val="0"/>
              <w:suppressAutoHyphens w:val="0"/>
              <w:autoSpaceDE w:val="0"/>
              <w:spacing w:before="0" w:after="0" w:line="268" w:lineRule="exact"/>
              <w:ind w:left="107"/>
              <w:jc w:val="left"/>
              <w:textAlignment w:val="auto"/>
              <w:rPr>
                <w:rFonts w:eastAsia="Times New Roman" w:cstheme="minorHAnsi"/>
                <w:sz w:val="20"/>
                <w:szCs w:val="20"/>
                <w:lang w:val="en-US"/>
              </w:rPr>
            </w:pPr>
            <w:r w:rsidRPr="00AB7D1E">
              <w:rPr>
                <w:rFonts w:eastAsia="Times New Roman" w:cstheme="minorHAnsi"/>
                <w:sz w:val="20"/>
                <w:szCs w:val="20"/>
                <w:lang w:val="en-US"/>
              </w:rPr>
              <w:t>Construction site is watered in case of excessively dusty works</w:t>
            </w:r>
          </w:p>
        </w:tc>
        <w:tc>
          <w:tcPr>
            <w:tcW w:w="1169" w:type="dxa"/>
          </w:tcPr>
          <w:p w14:paraId="20086C11"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7E267C8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258505C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7B3BE4D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43C6A00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6AD56A17" w14:textId="77777777" w:rsidTr="001037F7">
        <w:trPr>
          <w:trHeight w:val="827"/>
        </w:trPr>
        <w:tc>
          <w:tcPr>
            <w:tcW w:w="6139" w:type="dxa"/>
            <w:vAlign w:val="center"/>
          </w:tcPr>
          <w:p w14:paraId="47B695A2" w14:textId="77777777" w:rsidR="008179A8" w:rsidRPr="00AB7D1E" w:rsidRDefault="008179A8" w:rsidP="008179A8">
            <w:pPr>
              <w:widowControl w:val="0"/>
              <w:suppressAutoHyphens w:val="0"/>
              <w:autoSpaceDE w:val="0"/>
              <w:spacing w:before="0" w:after="0" w:line="240" w:lineRule="auto"/>
              <w:ind w:left="107" w:right="817"/>
              <w:jc w:val="left"/>
              <w:textAlignment w:val="auto"/>
              <w:rPr>
                <w:rFonts w:eastAsia="Times New Roman" w:cstheme="minorHAnsi"/>
                <w:sz w:val="20"/>
                <w:szCs w:val="20"/>
                <w:lang w:val="en-US"/>
              </w:rPr>
            </w:pPr>
            <w:r w:rsidRPr="00AB7D1E">
              <w:rPr>
                <w:rFonts w:eastAsia="Times New Roman" w:cstheme="minorHAnsi"/>
                <w:sz w:val="20"/>
                <w:szCs w:val="20"/>
                <w:lang w:val="en-US"/>
              </w:rPr>
              <w:t>Sites for temporary storage of waste and for vehicle/equipment servicing are designated and waste is stored separately by type in labelled containers</w:t>
            </w:r>
          </w:p>
        </w:tc>
        <w:tc>
          <w:tcPr>
            <w:tcW w:w="1169" w:type="dxa"/>
          </w:tcPr>
          <w:p w14:paraId="42974FE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1E21C6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1A68651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31FA529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B3EFF4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5B0C327C" w14:textId="77777777" w:rsidTr="001037F7">
        <w:trPr>
          <w:trHeight w:val="827"/>
        </w:trPr>
        <w:tc>
          <w:tcPr>
            <w:tcW w:w="6139" w:type="dxa"/>
            <w:vAlign w:val="center"/>
          </w:tcPr>
          <w:p w14:paraId="1853DFE1" w14:textId="77777777" w:rsidR="008179A8" w:rsidRPr="00AB7D1E" w:rsidRDefault="008179A8" w:rsidP="008179A8">
            <w:pPr>
              <w:widowControl w:val="0"/>
              <w:suppressAutoHyphens w:val="0"/>
              <w:autoSpaceDE w:val="0"/>
              <w:spacing w:before="0" w:after="0" w:line="240" w:lineRule="auto"/>
              <w:ind w:left="107" w:right="817"/>
              <w:jc w:val="left"/>
              <w:textAlignment w:val="auto"/>
              <w:rPr>
                <w:rFonts w:eastAsia="Times New Roman" w:cstheme="minorHAnsi"/>
                <w:sz w:val="20"/>
                <w:szCs w:val="20"/>
                <w:lang w:val="en-US"/>
              </w:rPr>
            </w:pPr>
            <w:r w:rsidRPr="00AB7D1E">
              <w:rPr>
                <w:rFonts w:eastAsia="Times New Roman" w:cstheme="minorHAnsi"/>
                <w:sz w:val="20"/>
                <w:szCs w:val="20"/>
                <w:lang w:val="en-US"/>
              </w:rPr>
              <w:t>Adequate lavatory facilities (toilets and washing areas) in the work site with adequate supplies of hot and cold running water, soap, are provided</w:t>
            </w:r>
          </w:p>
        </w:tc>
        <w:tc>
          <w:tcPr>
            <w:tcW w:w="1169" w:type="dxa"/>
          </w:tcPr>
          <w:p w14:paraId="64C0876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916DA3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CBDAC5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63889EC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0B411696"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4D216543" w14:textId="77777777" w:rsidTr="001037F7">
        <w:trPr>
          <w:trHeight w:val="827"/>
        </w:trPr>
        <w:tc>
          <w:tcPr>
            <w:tcW w:w="6139" w:type="dxa"/>
            <w:vAlign w:val="center"/>
          </w:tcPr>
          <w:p w14:paraId="7DF9AF83" w14:textId="7B920784" w:rsidR="008179A8" w:rsidRPr="00AB7D1E" w:rsidRDefault="008179A8" w:rsidP="008179A8">
            <w:pPr>
              <w:widowControl w:val="0"/>
              <w:suppressAutoHyphens w:val="0"/>
              <w:autoSpaceDE w:val="0"/>
              <w:spacing w:before="0" w:after="0" w:line="240" w:lineRule="auto"/>
              <w:ind w:left="107" w:right="817"/>
              <w:jc w:val="left"/>
              <w:textAlignment w:val="auto"/>
              <w:rPr>
                <w:rFonts w:eastAsia="Times New Roman" w:cstheme="minorHAnsi"/>
                <w:sz w:val="20"/>
                <w:szCs w:val="20"/>
                <w:lang w:val="en-US"/>
              </w:rPr>
            </w:pPr>
            <w:r w:rsidRPr="00AB7D1E">
              <w:rPr>
                <w:rFonts w:eastAsia="Times New Roman" w:cstheme="minorHAnsi"/>
                <w:sz w:val="20"/>
                <w:szCs w:val="20"/>
                <w:lang w:val="en-US"/>
              </w:rPr>
              <w:t>Workers have and wear adequate uniforms and protective gear (gloves, helmets, eye- glasses, etc.)</w:t>
            </w:r>
          </w:p>
        </w:tc>
        <w:tc>
          <w:tcPr>
            <w:tcW w:w="1169" w:type="dxa"/>
          </w:tcPr>
          <w:p w14:paraId="6ECF271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1C1B1916"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569E2D58"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0D3E665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2DE88AC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2851C031" w14:textId="77777777" w:rsidTr="001037F7">
        <w:trPr>
          <w:trHeight w:val="827"/>
        </w:trPr>
        <w:tc>
          <w:tcPr>
            <w:tcW w:w="6139" w:type="dxa"/>
            <w:vAlign w:val="center"/>
          </w:tcPr>
          <w:p w14:paraId="15369B2D" w14:textId="77777777" w:rsidR="008179A8" w:rsidRPr="00AB7D1E" w:rsidRDefault="008179A8" w:rsidP="008179A8">
            <w:pPr>
              <w:widowControl w:val="0"/>
              <w:suppressAutoHyphens w:val="0"/>
              <w:autoSpaceDE w:val="0"/>
              <w:spacing w:before="0" w:after="0" w:line="240" w:lineRule="auto"/>
              <w:ind w:left="107" w:right="817"/>
              <w:jc w:val="left"/>
              <w:textAlignment w:val="auto"/>
              <w:rPr>
                <w:rFonts w:eastAsia="Times New Roman" w:cstheme="minorHAnsi"/>
                <w:sz w:val="20"/>
                <w:szCs w:val="20"/>
                <w:lang w:val="en-US"/>
              </w:rPr>
            </w:pPr>
            <w:r w:rsidRPr="00AB7D1E">
              <w:rPr>
                <w:rFonts w:eastAsia="Times New Roman" w:cstheme="minorHAnsi"/>
                <w:sz w:val="20"/>
                <w:szCs w:val="20"/>
                <w:lang w:val="en-US"/>
              </w:rPr>
              <w:t xml:space="preserve">COVID-19 preventive measures are conducted at work site (regular delivery PPEs, protocols for regular disinfection of rooms, equipment, tools, are in place and followed, handwashing and other sanitary stations are always supplied with clean water, soap, and disinfectant, </w:t>
            </w:r>
            <w:proofErr w:type="spellStart"/>
            <w:r w:rsidRPr="00AB7D1E">
              <w:rPr>
                <w:rFonts w:eastAsia="Times New Roman" w:cstheme="minorHAnsi"/>
                <w:sz w:val="20"/>
                <w:szCs w:val="20"/>
                <w:lang w:val="en-US"/>
              </w:rPr>
              <w:t>etc</w:t>
            </w:r>
            <w:proofErr w:type="spellEnd"/>
            <w:r w:rsidRPr="00AB7D1E">
              <w:rPr>
                <w:rFonts w:eastAsia="Times New Roman" w:cstheme="minorHAnsi"/>
                <w:sz w:val="20"/>
                <w:szCs w:val="20"/>
                <w:lang w:val="en-US"/>
              </w:rPr>
              <w:t>)</w:t>
            </w:r>
          </w:p>
        </w:tc>
        <w:tc>
          <w:tcPr>
            <w:tcW w:w="1169" w:type="dxa"/>
          </w:tcPr>
          <w:p w14:paraId="6AEBCD0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7325BB3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98D25C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06EFC8B9"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37F40AD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689340DB" w14:textId="77777777" w:rsidTr="001037F7">
        <w:trPr>
          <w:trHeight w:val="827"/>
        </w:trPr>
        <w:tc>
          <w:tcPr>
            <w:tcW w:w="6139" w:type="dxa"/>
            <w:vAlign w:val="center"/>
          </w:tcPr>
          <w:p w14:paraId="6346CD99" w14:textId="77777777" w:rsidR="008179A8" w:rsidRPr="00AB7D1E" w:rsidRDefault="008179A8" w:rsidP="008179A8">
            <w:pPr>
              <w:widowControl w:val="0"/>
              <w:suppressAutoHyphens w:val="0"/>
              <w:autoSpaceDE w:val="0"/>
              <w:spacing w:after="0" w:line="268" w:lineRule="exact"/>
              <w:ind w:left="107"/>
              <w:textAlignment w:val="auto"/>
              <w:rPr>
                <w:rFonts w:eastAsia="Times New Roman" w:cstheme="minorHAnsi"/>
                <w:sz w:val="20"/>
                <w:szCs w:val="20"/>
                <w:lang w:val="en-US" w:eastAsia="bs-Latn" w:bidi="bs-Latn"/>
              </w:rPr>
            </w:pPr>
            <w:r w:rsidRPr="00AB7D1E">
              <w:rPr>
                <w:rFonts w:eastAsia="Times New Roman" w:cstheme="minorHAnsi"/>
                <w:sz w:val="20"/>
                <w:szCs w:val="20"/>
                <w:lang w:val="en-US" w:eastAsia="bs-Latn" w:bidi="bs-Latn"/>
              </w:rPr>
              <w:t xml:space="preserve">Servicing and </w:t>
            </w:r>
            <w:proofErr w:type="spellStart"/>
            <w:r w:rsidRPr="00AB7D1E">
              <w:rPr>
                <w:rFonts w:eastAsia="Times New Roman" w:cstheme="minorHAnsi"/>
                <w:sz w:val="20"/>
                <w:szCs w:val="20"/>
                <w:lang w:val="en-US" w:eastAsia="bs-Latn" w:bidi="bs-Latn"/>
              </w:rPr>
              <w:t>fuelling</w:t>
            </w:r>
            <w:proofErr w:type="spellEnd"/>
            <w:r w:rsidRPr="00AB7D1E">
              <w:rPr>
                <w:rFonts w:eastAsia="Times New Roman" w:cstheme="minorHAnsi"/>
                <w:sz w:val="20"/>
                <w:szCs w:val="20"/>
                <w:lang w:val="en-US" w:eastAsia="bs-Latn" w:bidi="bs-Latn"/>
              </w:rPr>
              <w:t xml:space="preserve"> of vehicles and machinery</w:t>
            </w:r>
            <w:r w:rsidRPr="00AB7D1E">
              <w:rPr>
                <w:rFonts w:eastAsia="Times New Roman" w:cstheme="minorHAnsi"/>
                <w:spacing w:val="-11"/>
                <w:sz w:val="20"/>
                <w:szCs w:val="20"/>
                <w:lang w:val="en-US" w:eastAsia="bs-Latn" w:bidi="bs-Latn"/>
              </w:rPr>
              <w:t xml:space="preserve"> </w:t>
            </w:r>
            <w:r w:rsidRPr="00AB7D1E">
              <w:rPr>
                <w:rFonts w:eastAsia="Times New Roman" w:cstheme="minorHAnsi"/>
                <w:sz w:val="20"/>
                <w:szCs w:val="20"/>
                <w:lang w:val="en-US" w:eastAsia="bs-Latn" w:bidi="bs-Latn"/>
              </w:rPr>
              <w:t>is undertaken on an impermeable surface at specially designated</w:t>
            </w:r>
            <w:r w:rsidRPr="00AB7D1E">
              <w:rPr>
                <w:rFonts w:eastAsia="Times New Roman" w:cstheme="minorHAnsi"/>
                <w:spacing w:val="-12"/>
                <w:sz w:val="20"/>
                <w:szCs w:val="20"/>
                <w:lang w:val="en-US" w:eastAsia="bs-Latn" w:bidi="bs-Latn"/>
              </w:rPr>
              <w:t xml:space="preserve"> </w:t>
            </w:r>
            <w:r w:rsidRPr="00AB7D1E">
              <w:rPr>
                <w:rFonts w:eastAsia="Times New Roman" w:cstheme="minorHAnsi"/>
                <w:sz w:val="20"/>
                <w:szCs w:val="20"/>
                <w:lang w:val="en-US" w:eastAsia="bs-Latn" w:bidi="bs-Latn"/>
              </w:rPr>
              <w:t>area</w:t>
            </w:r>
          </w:p>
        </w:tc>
        <w:tc>
          <w:tcPr>
            <w:tcW w:w="1169" w:type="dxa"/>
          </w:tcPr>
          <w:p w14:paraId="2E4A507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73FD653A"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5B21624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2AC3E92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38D543B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7BAC8F42" w14:textId="77777777" w:rsidTr="001037F7">
        <w:trPr>
          <w:trHeight w:val="827"/>
        </w:trPr>
        <w:tc>
          <w:tcPr>
            <w:tcW w:w="6139" w:type="dxa"/>
            <w:vAlign w:val="center"/>
          </w:tcPr>
          <w:p w14:paraId="742C040C" w14:textId="77777777" w:rsidR="008179A8" w:rsidRPr="00AB7D1E" w:rsidRDefault="008179A8" w:rsidP="008179A8">
            <w:pPr>
              <w:widowControl w:val="0"/>
              <w:suppressAutoHyphens w:val="0"/>
              <w:autoSpaceDE w:val="0"/>
              <w:spacing w:before="0" w:after="0" w:line="240" w:lineRule="auto"/>
              <w:ind w:left="107" w:right="817"/>
              <w:textAlignment w:val="auto"/>
              <w:rPr>
                <w:rFonts w:eastAsia="Times New Roman" w:cstheme="minorHAnsi"/>
                <w:sz w:val="20"/>
                <w:szCs w:val="20"/>
                <w:lang w:val="en-US"/>
              </w:rPr>
            </w:pPr>
            <w:r w:rsidRPr="00AB7D1E">
              <w:rPr>
                <w:rFonts w:cstheme="minorHAnsi"/>
                <w:sz w:val="20"/>
                <w:szCs w:val="20"/>
                <w:lang w:val="en-US"/>
              </w:rPr>
              <w:t>Vehicles and machinery are washed away from natural water bodies in the way preventing direct discharge of runoff into the water bodies, proper storm water drainage systems installed</w:t>
            </w:r>
          </w:p>
        </w:tc>
        <w:tc>
          <w:tcPr>
            <w:tcW w:w="1169" w:type="dxa"/>
          </w:tcPr>
          <w:p w14:paraId="57A42F2D"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50B2C41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7518772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46A0B94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1EF016E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8CABF54" w14:textId="77777777" w:rsidTr="001037F7">
        <w:trPr>
          <w:trHeight w:val="827"/>
        </w:trPr>
        <w:tc>
          <w:tcPr>
            <w:tcW w:w="6139" w:type="dxa"/>
            <w:vAlign w:val="center"/>
          </w:tcPr>
          <w:p w14:paraId="2600DF46" w14:textId="77777777" w:rsidR="008179A8" w:rsidRPr="00AB7D1E" w:rsidRDefault="008179A8" w:rsidP="008179A8">
            <w:pPr>
              <w:widowControl w:val="0"/>
              <w:suppressAutoHyphens w:val="0"/>
              <w:autoSpaceDE w:val="0"/>
              <w:spacing w:after="0" w:line="240" w:lineRule="auto"/>
              <w:ind w:left="107" w:right="343"/>
              <w:jc w:val="left"/>
              <w:textAlignment w:val="auto"/>
              <w:rPr>
                <w:rFonts w:eastAsia="Times New Roman" w:cstheme="minorHAnsi"/>
                <w:sz w:val="20"/>
                <w:szCs w:val="20"/>
                <w:lang w:val="en-US" w:eastAsia="bs-Latn" w:bidi="bs-Latn"/>
              </w:rPr>
            </w:pPr>
            <w:r w:rsidRPr="00AB7D1E">
              <w:rPr>
                <w:rFonts w:eastAsia="Times New Roman" w:cstheme="minorHAnsi"/>
                <w:sz w:val="20"/>
                <w:szCs w:val="20"/>
                <w:lang w:val="en-US" w:eastAsia="bs-Latn" w:bidi="bs-Latn"/>
              </w:rPr>
              <w:t>Excess material and topsoil generated from soil excavation are stored separately and used for backfilling / site reinstatement as required</w:t>
            </w:r>
          </w:p>
        </w:tc>
        <w:tc>
          <w:tcPr>
            <w:tcW w:w="1169" w:type="dxa"/>
          </w:tcPr>
          <w:p w14:paraId="0A82437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4264020E"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11AF9F4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197EA94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2B3203DB"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1B593822" w14:textId="77777777" w:rsidTr="001037F7">
        <w:trPr>
          <w:trHeight w:val="827"/>
        </w:trPr>
        <w:tc>
          <w:tcPr>
            <w:tcW w:w="6139" w:type="dxa"/>
            <w:vAlign w:val="center"/>
          </w:tcPr>
          <w:p w14:paraId="551ABA07" w14:textId="77777777" w:rsidR="008179A8" w:rsidRPr="00AB7D1E" w:rsidRDefault="008179A8" w:rsidP="008179A8">
            <w:pPr>
              <w:widowControl w:val="0"/>
              <w:suppressAutoHyphens w:val="0"/>
              <w:autoSpaceDE w:val="0"/>
              <w:spacing w:after="0" w:line="240" w:lineRule="auto"/>
              <w:ind w:left="107" w:right="410"/>
              <w:jc w:val="left"/>
              <w:textAlignment w:val="auto"/>
              <w:rPr>
                <w:rFonts w:eastAsia="Times New Roman" w:cstheme="minorHAnsi"/>
                <w:sz w:val="20"/>
                <w:szCs w:val="20"/>
                <w:lang w:val="en-US" w:eastAsia="bs-Latn" w:bidi="bs-Latn"/>
              </w:rPr>
            </w:pPr>
            <w:r w:rsidRPr="00AB7D1E">
              <w:rPr>
                <w:rFonts w:eastAsia="Times New Roman" w:cstheme="minorHAnsi"/>
                <w:sz w:val="20"/>
                <w:szCs w:val="20"/>
                <w:lang w:val="en-US" w:eastAsia="bs-Latn" w:bidi="bs-Latn"/>
              </w:rPr>
              <w:t>Works taken on hold if chance find encountered and communication made to the state agencies responsible for cultural heritage preservation</w:t>
            </w:r>
          </w:p>
        </w:tc>
        <w:tc>
          <w:tcPr>
            <w:tcW w:w="1169" w:type="dxa"/>
          </w:tcPr>
          <w:p w14:paraId="7D5F877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54DBDF47"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12118FEC"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46CAFE2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748487C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4E05C089" w14:textId="77777777" w:rsidTr="001037F7">
        <w:trPr>
          <w:trHeight w:val="827"/>
        </w:trPr>
        <w:tc>
          <w:tcPr>
            <w:tcW w:w="6139" w:type="dxa"/>
            <w:vAlign w:val="center"/>
          </w:tcPr>
          <w:p w14:paraId="48CB203B" w14:textId="77777777" w:rsidR="008179A8" w:rsidRPr="00AB7D1E" w:rsidRDefault="008179A8" w:rsidP="008179A8">
            <w:pPr>
              <w:widowControl w:val="0"/>
              <w:suppressAutoHyphens w:val="0"/>
              <w:autoSpaceDE w:val="0"/>
              <w:spacing w:before="0" w:after="0" w:line="240" w:lineRule="auto"/>
              <w:ind w:left="107" w:right="817"/>
              <w:textAlignment w:val="auto"/>
              <w:rPr>
                <w:rFonts w:cstheme="minorHAnsi"/>
                <w:sz w:val="20"/>
                <w:szCs w:val="20"/>
                <w:lang w:val="en-US"/>
              </w:rPr>
            </w:pPr>
            <w:r w:rsidRPr="00AB7D1E">
              <w:rPr>
                <w:rFonts w:cstheme="minorHAnsi"/>
                <w:sz w:val="20"/>
                <w:szCs w:val="20"/>
                <w:lang w:val="en-US"/>
              </w:rPr>
              <w:lastRenderedPageBreak/>
              <w:t>Upon completion of physical activity on site, the site is cleared of any remaining left-over from works and harmonized with the surrounding landscape (only autochthonous plant species that occur in the vegetation communities present in the wider area of the sub-project are used for restoration)</w:t>
            </w:r>
          </w:p>
        </w:tc>
        <w:tc>
          <w:tcPr>
            <w:tcW w:w="1169" w:type="dxa"/>
          </w:tcPr>
          <w:p w14:paraId="33A053E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28BF579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4F8F850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4FEE791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0AA744C4"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r w:rsidR="008179A8" w:rsidRPr="00AB7D1E" w14:paraId="32B3DEFD" w14:textId="77777777" w:rsidTr="001037F7">
        <w:trPr>
          <w:trHeight w:val="827"/>
        </w:trPr>
        <w:tc>
          <w:tcPr>
            <w:tcW w:w="6139" w:type="dxa"/>
            <w:vAlign w:val="center"/>
          </w:tcPr>
          <w:p w14:paraId="4DB81D7D" w14:textId="77777777" w:rsidR="008179A8" w:rsidRPr="00AB7D1E" w:rsidRDefault="008179A8" w:rsidP="008179A8">
            <w:pPr>
              <w:widowControl w:val="0"/>
              <w:suppressAutoHyphens w:val="0"/>
              <w:autoSpaceDE w:val="0"/>
              <w:spacing w:before="0" w:after="0" w:line="240" w:lineRule="auto"/>
              <w:ind w:left="107" w:right="817"/>
              <w:textAlignment w:val="auto"/>
              <w:rPr>
                <w:rFonts w:cstheme="minorHAnsi"/>
                <w:sz w:val="20"/>
                <w:szCs w:val="20"/>
                <w:lang w:val="en-US"/>
              </w:rPr>
            </w:pPr>
            <w:r w:rsidRPr="00AB7D1E">
              <w:rPr>
                <w:rFonts w:cstheme="minorHAnsi"/>
                <w:sz w:val="20"/>
                <w:szCs w:val="20"/>
                <w:lang w:val="en-US"/>
              </w:rPr>
              <w:t>Other</w:t>
            </w:r>
          </w:p>
        </w:tc>
        <w:tc>
          <w:tcPr>
            <w:tcW w:w="1169" w:type="dxa"/>
          </w:tcPr>
          <w:p w14:paraId="2B501675"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164" w:type="dxa"/>
          </w:tcPr>
          <w:p w14:paraId="3A7A5C5F"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7" w:type="dxa"/>
          </w:tcPr>
          <w:p w14:paraId="03368880"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1080" w:type="dxa"/>
          </w:tcPr>
          <w:p w14:paraId="5E1F3DC3"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c>
          <w:tcPr>
            <w:tcW w:w="3329" w:type="dxa"/>
          </w:tcPr>
          <w:p w14:paraId="6F914292" w14:textId="77777777" w:rsidR="008179A8" w:rsidRPr="00AB7D1E" w:rsidRDefault="008179A8" w:rsidP="008179A8">
            <w:pPr>
              <w:widowControl w:val="0"/>
              <w:suppressAutoHyphens w:val="0"/>
              <w:autoSpaceDE w:val="0"/>
              <w:spacing w:before="0" w:after="0" w:line="240" w:lineRule="auto"/>
              <w:jc w:val="left"/>
              <w:textAlignment w:val="auto"/>
              <w:rPr>
                <w:rFonts w:eastAsia="Times New Roman" w:cstheme="minorHAnsi"/>
                <w:sz w:val="20"/>
                <w:szCs w:val="20"/>
                <w:lang w:val="en-US"/>
              </w:rPr>
            </w:pPr>
          </w:p>
        </w:tc>
      </w:tr>
    </w:tbl>
    <w:p w14:paraId="00B89504" w14:textId="43417C5B" w:rsidR="0066385B" w:rsidRPr="00AB7D1E" w:rsidRDefault="0066385B" w:rsidP="00BC6AAB">
      <w:pPr>
        <w:spacing w:after="0" w:line="259" w:lineRule="auto"/>
        <w:rPr>
          <w:i/>
          <w:lang w:val="en-US"/>
        </w:rPr>
      </w:pPr>
    </w:p>
    <w:p w14:paraId="424C7A36" w14:textId="0AF94A94" w:rsidR="008179A8" w:rsidRPr="00AB7D1E" w:rsidRDefault="008179A8" w:rsidP="00BC6AAB">
      <w:pPr>
        <w:spacing w:after="0" w:line="259" w:lineRule="auto"/>
        <w:rPr>
          <w:i/>
          <w:lang w:val="en-US"/>
        </w:rPr>
      </w:pPr>
    </w:p>
    <w:p w14:paraId="18AEC4E4" w14:textId="77777777" w:rsidR="008179A8" w:rsidRPr="00AB7D1E" w:rsidRDefault="008179A8" w:rsidP="00BC6AAB">
      <w:pPr>
        <w:spacing w:after="0" w:line="259" w:lineRule="auto"/>
        <w:rPr>
          <w:i/>
          <w:lang w:val="en-US"/>
        </w:rPr>
      </w:pPr>
    </w:p>
    <w:p w14:paraId="79668D2C" w14:textId="77777777" w:rsidR="005A1D9E" w:rsidRPr="00AB7D1E" w:rsidRDefault="005A1D9E">
      <w:pPr>
        <w:suppressAutoHyphens w:val="0"/>
        <w:spacing w:before="0" w:after="160" w:line="256" w:lineRule="auto"/>
        <w:jc w:val="left"/>
        <w:rPr>
          <w:i/>
          <w:lang w:val="en-US"/>
        </w:rPr>
      </w:pPr>
      <w:r w:rsidRPr="00AB7D1E">
        <w:rPr>
          <w:i/>
          <w:lang w:val="en-US"/>
        </w:rPr>
        <w:br w:type="page"/>
      </w:r>
    </w:p>
    <w:p w14:paraId="773DC2EB" w14:textId="77777777" w:rsidR="005A1D9E" w:rsidRPr="00AB7D1E" w:rsidRDefault="005A1D9E" w:rsidP="005A1D9E">
      <w:pPr>
        <w:pStyle w:val="Heading2"/>
        <w:numPr>
          <w:ilvl w:val="0"/>
          <w:numId w:val="0"/>
        </w:numPr>
        <w:ind w:left="576" w:hanging="576"/>
        <w:rPr>
          <w:highlight w:val="yellow"/>
          <w:lang w:val="en-US"/>
        </w:rPr>
        <w:sectPr w:rsidR="005A1D9E" w:rsidRPr="00AB7D1E" w:rsidSect="00674F73">
          <w:headerReference w:type="default" r:id="rId72"/>
          <w:pgSz w:w="16838" w:h="11906" w:orient="landscape"/>
          <w:pgMar w:top="1440" w:right="1440" w:bottom="1440" w:left="1440" w:header="720" w:footer="720" w:gutter="0"/>
          <w:cols w:space="720"/>
        </w:sectPr>
      </w:pPr>
    </w:p>
    <w:p w14:paraId="1F4001A3" w14:textId="52EB2633" w:rsidR="00352ED9" w:rsidRPr="00AB7D1E" w:rsidRDefault="007D4FEA" w:rsidP="007D4FEA">
      <w:pPr>
        <w:pStyle w:val="Heading1"/>
        <w:numPr>
          <w:ilvl w:val="0"/>
          <w:numId w:val="0"/>
        </w:numPr>
        <w:rPr>
          <w:lang w:val="en-US"/>
        </w:rPr>
      </w:pPr>
      <w:bookmarkStart w:id="281" w:name="_Ref56949693"/>
      <w:bookmarkStart w:id="282" w:name="_Hlk48575699"/>
      <w:bookmarkStart w:id="283" w:name="_Ref48064338"/>
      <w:bookmarkStart w:id="284" w:name="_Ref48575821"/>
      <w:bookmarkStart w:id="285" w:name="_Toc56952329"/>
      <w:bookmarkStart w:id="286" w:name="_Toc56954094"/>
      <w:bookmarkStart w:id="287" w:name="_Ref48063842"/>
      <w:bookmarkStart w:id="288" w:name="_Ref48510100"/>
      <w:r>
        <w:lastRenderedPageBreak/>
        <w:t xml:space="preserve">ANNEX </w:t>
      </w:r>
      <w:fldSimple w:instr=" SEQ ANNEX \* ROMAN ">
        <w:r w:rsidR="007D1E1B">
          <w:rPr>
            <w:noProof/>
          </w:rPr>
          <w:t>XI</w:t>
        </w:r>
      </w:fldSimple>
      <w:bookmarkEnd w:id="281"/>
      <w:r>
        <w:t xml:space="preserve"> </w:t>
      </w:r>
      <w:r w:rsidR="00352ED9" w:rsidRPr="00AB7D1E">
        <w:rPr>
          <w:lang w:val="en-US"/>
        </w:rPr>
        <w:t xml:space="preserve"> </w:t>
      </w:r>
      <w:bookmarkEnd w:id="282"/>
      <w:r w:rsidR="00352ED9" w:rsidRPr="00AB7D1E">
        <w:rPr>
          <w:lang w:val="en-US"/>
        </w:rPr>
        <w:t xml:space="preserve">– </w:t>
      </w:r>
      <w:bookmarkEnd w:id="283"/>
      <w:r w:rsidR="004A635A" w:rsidRPr="004A635A">
        <w:rPr>
          <w:lang w:val="en-US"/>
        </w:rPr>
        <w:t>INFECTION CONTROL AND WASTE MANAGEMENT PLAN</w:t>
      </w:r>
      <w:r w:rsidR="004A635A" w:rsidRPr="00AB7D1E">
        <w:rPr>
          <w:lang w:val="en-US"/>
        </w:rPr>
        <w:t xml:space="preserve"> </w:t>
      </w:r>
      <w:r w:rsidR="004A635A">
        <w:rPr>
          <w:lang w:val="en-US"/>
        </w:rPr>
        <w:t>(</w:t>
      </w:r>
      <w:r w:rsidR="00352ED9" w:rsidRPr="00AB7D1E">
        <w:rPr>
          <w:lang w:val="en-US"/>
        </w:rPr>
        <w:t>ICWMP</w:t>
      </w:r>
      <w:r w:rsidR="004A635A">
        <w:rPr>
          <w:lang w:val="en-US"/>
        </w:rPr>
        <w:t>)</w:t>
      </w:r>
      <w:r w:rsidR="00352ED9" w:rsidRPr="00AB7D1E">
        <w:rPr>
          <w:lang w:val="en-US"/>
        </w:rPr>
        <w:t xml:space="preserve"> TEMPLATE</w:t>
      </w:r>
      <w:bookmarkEnd w:id="284"/>
      <w:bookmarkEnd w:id="285"/>
      <w:bookmarkEnd w:id="286"/>
    </w:p>
    <w:p w14:paraId="758B858E" w14:textId="77777777" w:rsidR="00352ED9" w:rsidRPr="00AB7D1E" w:rsidRDefault="00352ED9" w:rsidP="00BE60A0">
      <w:pPr>
        <w:pStyle w:val="ListParagraph"/>
        <w:numPr>
          <w:ilvl w:val="0"/>
          <w:numId w:val="64"/>
        </w:numPr>
        <w:rPr>
          <w:b/>
          <w:bCs/>
          <w:lang w:val="en-US"/>
        </w:rPr>
      </w:pPr>
      <w:r w:rsidRPr="00AB7D1E">
        <w:rPr>
          <w:b/>
          <w:bCs/>
          <w:lang w:val="en-US"/>
        </w:rPr>
        <w:t xml:space="preserve">Introduction </w:t>
      </w:r>
    </w:p>
    <w:p w14:paraId="048F9366" w14:textId="77777777" w:rsidR="00352ED9" w:rsidRPr="00AB7D1E" w:rsidRDefault="00352ED9" w:rsidP="00BE60A0">
      <w:pPr>
        <w:pStyle w:val="ListParagraph"/>
        <w:numPr>
          <w:ilvl w:val="1"/>
          <w:numId w:val="64"/>
        </w:numPr>
        <w:ind w:left="426"/>
        <w:rPr>
          <w:b/>
          <w:bCs/>
          <w:lang w:val="en-US"/>
        </w:rPr>
      </w:pPr>
      <w:r w:rsidRPr="00AB7D1E">
        <w:rPr>
          <w:b/>
          <w:bCs/>
          <w:lang w:val="en-US"/>
        </w:rPr>
        <w:t>Describe the project context and components</w:t>
      </w:r>
    </w:p>
    <w:p w14:paraId="13165872" w14:textId="77777777" w:rsidR="00352ED9" w:rsidRPr="00AB7D1E" w:rsidRDefault="00352ED9" w:rsidP="00BE60A0">
      <w:pPr>
        <w:pStyle w:val="ListParagraph"/>
        <w:numPr>
          <w:ilvl w:val="1"/>
          <w:numId w:val="64"/>
        </w:numPr>
        <w:ind w:left="426"/>
        <w:rPr>
          <w:b/>
          <w:lang w:val="en-US"/>
        </w:rPr>
      </w:pPr>
      <w:r w:rsidRPr="00AB7D1E">
        <w:rPr>
          <w:rFonts w:cstheme="minorHAnsi"/>
          <w:b/>
          <w:lang w:val="en-US"/>
        </w:rPr>
        <w:t xml:space="preserve">Describe the targeted healthcare facility (HCF): </w:t>
      </w:r>
    </w:p>
    <w:p w14:paraId="5B4BBD38"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Type: E.g. general hospital, clinics, inpatient/outpatient facility, medical laboratory, quarantine or isolation centers;</w:t>
      </w:r>
    </w:p>
    <w:p w14:paraId="03A6E2D7"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i/>
          <w:lang w:val="en-US"/>
        </w:rPr>
      </w:pPr>
      <w:r w:rsidRPr="00AB7D1E">
        <w:rPr>
          <w:rFonts w:cstheme="minorHAnsi"/>
          <w:i/>
          <w:lang w:val="en-US"/>
        </w:rPr>
        <w:t xml:space="preserve">Special type of HCF in response to COVID-19: E.g. existing assets may be acquired to hold yet-to-confirm cases for medical observation or isolation; </w:t>
      </w:r>
    </w:p>
    <w:p w14:paraId="34590F3F"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Functions and requirement for the level infection control, e.g. biosafety levels;</w:t>
      </w:r>
    </w:p>
    <w:p w14:paraId="57AAC61E"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Location and associated facilities, including access, water supply, power supply;</w:t>
      </w:r>
    </w:p>
    <w:p w14:paraId="4D7F4BC2" w14:textId="77777777" w:rsidR="00352ED9" w:rsidRPr="00AB7D1E" w:rsidRDefault="00352ED9" w:rsidP="00BE60A0">
      <w:pPr>
        <w:pStyle w:val="ListParagraph"/>
        <w:numPr>
          <w:ilvl w:val="0"/>
          <w:numId w:val="63"/>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 xml:space="preserve">Capacity: beds </w:t>
      </w:r>
    </w:p>
    <w:p w14:paraId="278A29AB" w14:textId="77777777" w:rsidR="00352ED9" w:rsidRPr="00AB7D1E" w:rsidRDefault="00352ED9" w:rsidP="00BE60A0">
      <w:pPr>
        <w:pStyle w:val="ListParagraph"/>
        <w:numPr>
          <w:ilvl w:val="1"/>
          <w:numId w:val="64"/>
        </w:numPr>
        <w:ind w:left="426"/>
        <w:rPr>
          <w:b/>
          <w:bCs/>
          <w:lang w:val="en-US"/>
        </w:rPr>
      </w:pPr>
      <w:r w:rsidRPr="00AB7D1E">
        <w:rPr>
          <w:b/>
          <w:bCs/>
          <w:lang w:val="en-US"/>
        </w:rPr>
        <w:t>Describe the design requirements of the HCF, which may include specifications for general design and safety, separation of wards, heating, ventilation and air conditioning (HVAC), autoclave, wastewater treatment plant, and waste management facilities.</w:t>
      </w:r>
    </w:p>
    <w:p w14:paraId="7A6D56F1" w14:textId="77777777" w:rsidR="00352ED9" w:rsidRPr="00AB7D1E" w:rsidRDefault="00352ED9" w:rsidP="00BE60A0">
      <w:pPr>
        <w:pStyle w:val="ListParagraph"/>
        <w:numPr>
          <w:ilvl w:val="0"/>
          <w:numId w:val="64"/>
        </w:numPr>
        <w:rPr>
          <w:b/>
          <w:bCs/>
          <w:lang w:val="en-US"/>
        </w:rPr>
      </w:pPr>
      <w:r w:rsidRPr="00AB7D1E">
        <w:rPr>
          <w:b/>
          <w:bCs/>
          <w:lang w:val="en-US"/>
        </w:rPr>
        <w:t xml:space="preserve">Infection Control and Waste Management </w:t>
      </w:r>
    </w:p>
    <w:p w14:paraId="4FAD42E0" w14:textId="77777777" w:rsidR="00352ED9" w:rsidRPr="00AB7D1E" w:rsidRDefault="00352ED9" w:rsidP="00352ED9">
      <w:pPr>
        <w:adjustRightInd w:val="0"/>
        <w:snapToGrid w:val="0"/>
        <w:spacing w:line="240" w:lineRule="auto"/>
        <w:rPr>
          <w:b/>
          <w:bCs/>
          <w:lang w:val="en-US"/>
        </w:rPr>
      </w:pPr>
      <w:r w:rsidRPr="00AB7D1E">
        <w:rPr>
          <w:b/>
          <w:bCs/>
          <w:lang w:val="en-US"/>
        </w:rPr>
        <w:t>2.1 Overview of infection control and waste management in the HCF</w:t>
      </w:r>
    </w:p>
    <w:p w14:paraId="44EB77CC"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Type, source and volume of healthcare waste (HCW) generated in the HCF, including solid, liquid and air emissions (if significant)</w:t>
      </w:r>
    </w:p>
    <w:p w14:paraId="185FA095"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 xml:space="preserve">Classify and quantify the HCW (infectious waste, pathological waste, sharps, liquid and non-hazardous) following WBG EHS Guidelines for Healthcare Facilities and pertaining GIIP. </w:t>
      </w:r>
    </w:p>
    <w:p w14:paraId="27A034F2" w14:textId="77777777" w:rsidR="00352ED9" w:rsidRPr="00AB7D1E" w:rsidRDefault="00352ED9" w:rsidP="00BE60A0">
      <w:pPr>
        <w:pStyle w:val="ListParagraph"/>
        <w:numPr>
          <w:ilvl w:val="0"/>
          <w:numId w:val="62"/>
        </w:numPr>
        <w:rPr>
          <w:rFonts w:cstheme="minorHAnsi"/>
          <w:i/>
          <w:iCs/>
          <w:lang w:val="en-US"/>
        </w:rPr>
      </w:pPr>
      <w:r w:rsidRPr="00AB7D1E">
        <w:rPr>
          <w:rFonts w:cstheme="minorHAnsi"/>
          <w:i/>
          <w:iCs/>
          <w:lang w:val="en-US"/>
        </w:rPr>
        <w:t xml:space="preserve">Given the infectious nature of the novel coronavirus, some wastes that are traditionally classified as non-hazardous may be considered hazardous. It’s likely the volume of waste will increase considerably given the number of admitted patients during COVID-19 outbreak. Special attention should be given to the identification, classification and quantification of the healthcare wastes. </w:t>
      </w:r>
    </w:p>
    <w:p w14:paraId="481BDFF6"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Describe the healthcare waste management system in the HCF, including material delivery, waste generation, handling, disinfection and sterilization, collection, storage, transport, and disposal and treatment works</w:t>
      </w:r>
    </w:p>
    <w:p w14:paraId="706BB51C"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Provide a flow chart of waste streams in the HCF if available</w:t>
      </w:r>
    </w:p>
    <w:p w14:paraId="6F0FDDB8"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Describe applicable performance levels and/or standards</w:t>
      </w:r>
    </w:p>
    <w:p w14:paraId="4EB9C112"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Describe institutional arrangement, roles and responsibilities in the HCF for infection control and waste management</w:t>
      </w:r>
    </w:p>
    <w:p w14:paraId="4730B8AA" w14:textId="224BB5A3"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 xml:space="preserve">Note: According to legislation of the Republic of Croatia </w:t>
      </w:r>
      <w:r w:rsidR="00A839CF" w:rsidRPr="00AB7D1E">
        <w:rPr>
          <w:rFonts w:cstheme="minorHAnsi"/>
          <w:i/>
          <w:iCs/>
          <w:color w:val="2683C6" w:themeColor="accent6"/>
          <w:lang w:val="en-US"/>
        </w:rPr>
        <w:t>t</w:t>
      </w:r>
      <w:r w:rsidRPr="00AB7D1E">
        <w:rPr>
          <w:rFonts w:cstheme="minorHAnsi"/>
          <w:i/>
          <w:iCs/>
          <w:color w:val="2683C6" w:themeColor="accent6"/>
          <w:lang w:val="en-US"/>
        </w:rPr>
        <w:t xml:space="preserve">ype, source and mass of healthcare waste (HCW) generated in the HCF, should be classified and quantify following </w:t>
      </w:r>
      <w:hyperlink r:id="rId73" w:history="1">
        <w:r w:rsidRPr="00AB7D1E">
          <w:rPr>
            <w:rStyle w:val="Hyperlink"/>
            <w:rFonts w:cstheme="minorHAnsi"/>
            <w:i/>
            <w:iCs/>
            <w:color w:val="C00000"/>
            <w:lang w:val="en-US"/>
          </w:rPr>
          <w:t>Ordinance on waste catalogue (OG 90/15)</w:t>
        </w:r>
      </w:hyperlink>
      <w:r w:rsidRPr="00AB7D1E">
        <w:rPr>
          <w:rFonts w:cstheme="minorHAnsi"/>
          <w:i/>
          <w:iCs/>
          <w:color w:val="C00000"/>
          <w:lang w:val="en-US"/>
        </w:rPr>
        <w:t xml:space="preserve"> </w:t>
      </w:r>
      <w:r w:rsidRPr="00AB7D1E">
        <w:rPr>
          <w:rFonts w:cstheme="minorHAnsi"/>
          <w:i/>
          <w:iCs/>
          <w:color w:val="2683C6" w:themeColor="accent6"/>
          <w:lang w:val="en-US"/>
        </w:rPr>
        <w:t xml:space="preserve">and </w:t>
      </w:r>
      <w:hyperlink r:id="rId74" w:history="1">
        <w:r w:rsidRPr="00AB7D1E">
          <w:rPr>
            <w:rStyle w:val="Hyperlink"/>
            <w:rFonts w:cstheme="minorHAnsi"/>
            <w:i/>
            <w:iCs/>
            <w:color w:val="C00000"/>
            <w:lang w:val="en-US"/>
          </w:rPr>
          <w:t>Ordinance on waste management (OG 81/20</w:t>
        </w:r>
      </w:hyperlink>
      <w:r w:rsidRPr="00AB7D1E">
        <w:rPr>
          <w:rFonts w:cstheme="minorHAnsi"/>
          <w:i/>
          <w:iCs/>
          <w:color w:val="C00000"/>
          <w:lang w:val="en-US"/>
        </w:rPr>
        <w:t>)</w:t>
      </w:r>
      <w:r w:rsidRPr="00AB7D1E">
        <w:rPr>
          <w:rFonts w:cstheme="minorHAnsi"/>
          <w:i/>
          <w:iCs/>
          <w:color w:val="2683C6" w:themeColor="accent6"/>
          <w:lang w:val="en-US"/>
        </w:rPr>
        <w:t xml:space="preserve"> for all HCW except radioactive medical waste. For radioactive medical waste follow the provisions of </w:t>
      </w:r>
      <w:hyperlink r:id="rId75" w:history="1">
        <w:r w:rsidRPr="00AB7D1E">
          <w:rPr>
            <w:rStyle w:val="Hyperlink"/>
            <w:rFonts w:cstheme="minorHAnsi"/>
            <w:i/>
            <w:iCs/>
            <w:color w:val="C00000"/>
            <w:lang w:val="en-US"/>
          </w:rPr>
          <w:t>Ordinance on disposal of radioactive waste and used sources (OG 12/18)</w:t>
        </w:r>
      </w:hyperlink>
      <w:r w:rsidRPr="00AB7D1E">
        <w:rPr>
          <w:rStyle w:val="Hyperlink"/>
          <w:rFonts w:cstheme="minorHAnsi"/>
          <w:color w:val="C00000"/>
          <w:lang w:val="en-US"/>
        </w:rPr>
        <w:t>.</w:t>
      </w:r>
      <w:r w:rsidRPr="00AB7D1E">
        <w:rPr>
          <w:rStyle w:val="Hyperlink"/>
          <w:rFonts w:cstheme="minorHAnsi"/>
          <w:lang w:val="en-US"/>
        </w:rPr>
        <w:t xml:space="preserve"> </w:t>
      </w:r>
      <w:r w:rsidRPr="00AB7D1E">
        <w:rPr>
          <w:rStyle w:val="Hyperlink"/>
          <w:rFonts w:cstheme="minorHAnsi"/>
          <w:color w:val="2683C6" w:themeColor="accent6"/>
          <w:u w:val="none"/>
          <w:lang w:val="en-US"/>
        </w:rPr>
        <w:t xml:space="preserve">Additionally, WBG EHS Guidelines for Healthcare Facilities and pertaining GIIP </w:t>
      </w:r>
      <w:r w:rsidRPr="00AB7D1E">
        <w:rPr>
          <w:rStyle w:val="Hyperlink"/>
          <w:rFonts w:cstheme="minorHAnsi"/>
          <w:color w:val="2683C6" w:themeColor="accent6"/>
          <w:u w:val="none"/>
          <w:lang w:val="en-US"/>
        </w:rPr>
        <w:lastRenderedPageBreak/>
        <w:t xml:space="preserve">should be followed. List of COVID -19 </w:t>
      </w:r>
      <w:proofErr w:type="spellStart"/>
      <w:r w:rsidRPr="00AB7D1E">
        <w:rPr>
          <w:rStyle w:val="Hyperlink"/>
          <w:rFonts w:cstheme="minorHAnsi"/>
          <w:color w:val="2683C6" w:themeColor="accent6"/>
          <w:u w:val="none"/>
          <w:lang w:val="en-US"/>
        </w:rPr>
        <w:t>guidances</w:t>
      </w:r>
      <w:proofErr w:type="spellEnd"/>
      <w:r w:rsidRPr="00AB7D1E">
        <w:rPr>
          <w:rStyle w:val="Hyperlink"/>
          <w:rFonts w:cstheme="minorHAnsi"/>
          <w:color w:val="2683C6" w:themeColor="accent6"/>
          <w:u w:val="none"/>
          <w:lang w:val="en-US"/>
        </w:rPr>
        <w:t xml:space="preserve"> is provided </w:t>
      </w:r>
      <w:r w:rsidRPr="00F63FB8">
        <w:rPr>
          <w:rStyle w:val="Hyperlink"/>
          <w:rFonts w:cstheme="minorHAnsi"/>
          <w:color w:val="2683C6" w:themeColor="accent6"/>
          <w:u w:val="none"/>
          <w:lang w:val="en-US"/>
        </w:rPr>
        <w:t xml:space="preserve">in </w:t>
      </w:r>
      <w:r w:rsidR="006C7F86" w:rsidRPr="00F63FB8">
        <w:rPr>
          <w:rStyle w:val="Hyperlink"/>
          <w:rFonts w:cstheme="minorHAnsi"/>
          <w:color w:val="2683C6" w:themeColor="accent6"/>
          <w:u w:val="none"/>
          <w:lang w:val="en-US"/>
        </w:rPr>
        <w:fldChar w:fldCharType="begin"/>
      </w:r>
      <w:r w:rsidR="006C7F86" w:rsidRPr="00F63FB8">
        <w:rPr>
          <w:rStyle w:val="Hyperlink"/>
          <w:rFonts w:cstheme="minorHAnsi"/>
          <w:color w:val="2683C6" w:themeColor="accent6"/>
          <w:u w:val="none"/>
          <w:lang w:val="en-US"/>
        </w:rPr>
        <w:instrText xml:space="preserve"> REF _Ref56949974 \h </w:instrText>
      </w:r>
      <w:r w:rsidR="006C7F86" w:rsidRPr="00F63FB8">
        <w:rPr>
          <w:rStyle w:val="Hyperlink"/>
          <w:rFonts w:cstheme="minorHAnsi"/>
          <w:color w:val="2683C6" w:themeColor="accent6"/>
          <w:u w:val="none"/>
          <w:lang w:val="en-US"/>
        </w:rPr>
      </w:r>
      <w:r w:rsidR="006C7F86" w:rsidRPr="00F63FB8">
        <w:rPr>
          <w:rStyle w:val="Hyperlink"/>
          <w:rFonts w:cstheme="minorHAnsi"/>
          <w:color w:val="2683C6" w:themeColor="accent6"/>
          <w:u w:val="none"/>
          <w:lang w:val="en-US"/>
        </w:rPr>
        <w:fldChar w:fldCharType="separate"/>
      </w:r>
      <w:r w:rsidR="007D1E1B" w:rsidRPr="00F63FB8">
        <w:rPr>
          <w:color w:val="2683C6" w:themeColor="accent6"/>
        </w:rPr>
        <w:t xml:space="preserve">ANNEX </w:t>
      </w:r>
      <w:r w:rsidR="007D1E1B" w:rsidRPr="00F63FB8">
        <w:rPr>
          <w:noProof/>
          <w:color w:val="2683C6" w:themeColor="accent6"/>
        </w:rPr>
        <w:t>XIII</w:t>
      </w:r>
      <w:r w:rsidR="006C7F86" w:rsidRPr="00F63FB8">
        <w:rPr>
          <w:rStyle w:val="Hyperlink"/>
          <w:rFonts w:cstheme="minorHAnsi"/>
          <w:color w:val="2683C6" w:themeColor="accent6"/>
          <w:u w:val="none"/>
          <w:lang w:val="en-US"/>
        </w:rPr>
        <w:fldChar w:fldCharType="end"/>
      </w:r>
      <w:r w:rsidRPr="00F63FB8">
        <w:rPr>
          <w:rStyle w:val="Hyperlink"/>
          <w:rFonts w:cstheme="minorHAnsi"/>
          <w:color w:val="2683C6" w:themeColor="accent6"/>
          <w:u w:val="none"/>
          <w:lang w:val="en-US"/>
        </w:rPr>
        <w:t xml:space="preserve">. </w:t>
      </w:r>
      <w:r w:rsidRPr="00AB7D1E">
        <w:rPr>
          <w:rStyle w:val="Hyperlink"/>
          <w:rFonts w:cstheme="minorHAnsi"/>
          <w:color w:val="2683C6" w:themeColor="accent6"/>
          <w:u w:val="none"/>
          <w:lang w:val="en-US"/>
        </w:rPr>
        <w:t xml:space="preserve">Furthermore, waste management procedures are presented in Chapter </w:t>
      </w:r>
      <w:r w:rsidRPr="00AB7D1E">
        <w:rPr>
          <w:rStyle w:val="Hyperlink"/>
          <w:rFonts w:cstheme="minorHAnsi"/>
          <w:color w:val="2683C6" w:themeColor="accent6"/>
          <w:u w:val="none"/>
          <w:lang w:val="en-US"/>
        </w:rPr>
        <w:fldChar w:fldCharType="begin"/>
      </w:r>
      <w:r w:rsidRPr="00AB7D1E">
        <w:rPr>
          <w:rStyle w:val="Hyperlink"/>
          <w:rFonts w:cstheme="minorHAnsi"/>
          <w:color w:val="2683C6" w:themeColor="accent6"/>
          <w:u w:val="none"/>
          <w:lang w:val="en-US"/>
        </w:rPr>
        <w:instrText xml:space="preserve"> REF _Ref48856906 \r \h </w:instrText>
      </w:r>
      <w:r w:rsidRPr="00AB7D1E">
        <w:rPr>
          <w:rStyle w:val="Hyperlink"/>
          <w:rFonts w:cstheme="minorHAnsi"/>
          <w:color w:val="2683C6" w:themeColor="accent6"/>
          <w:u w:val="none"/>
          <w:lang w:val="en-US"/>
        </w:rPr>
      </w:r>
      <w:r w:rsidRPr="00AB7D1E">
        <w:rPr>
          <w:rStyle w:val="Hyperlink"/>
          <w:rFonts w:cstheme="minorHAnsi"/>
          <w:color w:val="2683C6" w:themeColor="accent6"/>
          <w:u w:val="none"/>
          <w:lang w:val="en-US"/>
        </w:rPr>
        <w:fldChar w:fldCharType="separate"/>
      </w:r>
      <w:r w:rsidR="007D1E1B">
        <w:rPr>
          <w:rStyle w:val="Hyperlink"/>
          <w:rFonts w:cstheme="minorHAnsi"/>
          <w:color w:val="2683C6" w:themeColor="accent6"/>
          <w:u w:val="none"/>
          <w:lang w:val="en-US"/>
        </w:rPr>
        <w:t>7.1.1.8</w:t>
      </w:r>
      <w:r w:rsidRPr="00AB7D1E">
        <w:rPr>
          <w:rStyle w:val="Hyperlink"/>
          <w:rFonts w:cstheme="minorHAnsi"/>
          <w:color w:val="2683C6" w:themeColor="accent6"/>
          <w:u w:val="none"/>
          <w:lang w:val="en-US"/>
        </w:rPr>
        <w:fldChar w:fldCharType="end"/>
      </w:r>
      <w:r w:rsidRPr="00AB7D1E">
        <w:rPr>
          <w:rStyle w:val="Hyperlink"/>
          <w:rFonts w:cstheme="minorHAnsi"/>
          <w:color w:val="2683C6" w:themeColor="accent6"/>
          <w:u w:val="none"/>
          <w:lang w:val="en-US"/>
        </w:rPr>
        <w:t xml:space="preserve"> of this ESMF.</w:t>
      </w:r>
    </w:p>
    <w:p w14:paraId="06373BDD" w14:textId="77777777" w:rsidR="00352ED9" w:rsidRPr="00AB7D1E" w:rsidRDefault="00352ED9" w:rsidP="00352ED9">
      <w:pPr>
        <w:adjustRightInd w:val="0"/>
        <w:snapToGrid w:val="0"/>
        <w:spacing w:line="240" w:lineRule="auto"/>
        <w:rPr>
          <w:b/>
          <w:bCs/>
          <w:lang w:val="en-US"/>
        </w:rPr>
      </w:pPr>
      <w:r w:rsidRPr="00AB7D1E">
        <w:rPr>
          <w:b/>
          <w:bCs/>
          <w:lang w:val="en-US"/>
        </w:rPr>
        <w:t>2.2 Management Measures</w:t>
      </w:r>
    </w:p>
    <w:p w14:paraId="10003D2B"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 xml:space="preserve">Waste minimization, reuse and recycling: HCF should consider practices and procedures to minimize waste generation, without sacrificing patient hygiene and safety considerations.  </w:t>
      </w:r>
    </w:p>
    <w:p w14:paraId="743750B7"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Delivery and storage of specimen, samples, reagents, pharmaceuticals and medical supplies: HCF should adopt practice and procedures to minimize risks associated with delivering, receiving and storage of hazardous medical goods.</w:t>
      </w:r>
    </w:p>
    <w:p w14:paraId="0920823B"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 xml:space="preserve">Waste segregation, packaging, </w:t>
      </w:r>
      <w:proofErr w:type="spellStart"/>
      <w:r w:rsidRPr="00AB7D1E">
        <w:rPr>
          <w:rFonts w:cstheme="minorHAnsi"/>
          <w:lang w:val="en-US"/>
        </w:rPr>
        <w:t>colour</w:t>
      </w:r>
      <w:proofErr w:type="spellEnd"/>
      <w:r w:rsidRPr="00AB7D1E">
        <w:rPr>
          <w:rFonts w:cstheme="minorHAnsi"/>
          <w:lang w:val="en-US"/>
        </w:rPr>
        <w:t xml:space="preserve"> coding and labelling: HCF should strictly conduct waste segregation at the point of generation. Internationally adopted method for packaging, </w:t>
      </w:r>
      <w:proofErr w:type="spellStart"/>
      <w:r w:rsidRPr="00AB7D1E">
        <w:rPr>
          <w:rFonts w:cstheme="minorHAnsi"/>
          <w:lang w:val="en-US"/>
        </w:rPr>
        <w:t>colour</w:t>
      </w:r>
      <w:proofErr w:type="spellEnd"/>
      <w:r w:rsidRPr="00AB7D1E">
        <w:rPr>
          <w:rFonts w:cstheme="minorHAnsi"/>
          <w:lang w:val="en-US"/>
        </w:rPr>
        <w:t xml:space="preserve"> coding and labelling the wastes should be followed.</w:t>
      </w:r>
    </w:p>
    <w:p w14:paraId="3F30CDC0"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ind w:left="426"/>
        <w:textAlignment w:val="auto"/>
        <w:rPr>
          <w:rFonts w:cstheme="minorHAnsi"/>
          <w:lang w:val="en-US"/>
        </w:rPr>
      </w:pPr>
      <w:r w:rsidRPr="00AB7D1E">
        <w:rPr>
          <w:rFonts w:cstheme="minorHAnsi"/>
          <w:lang w:val="en-US"/>
        </w:rPr>
        <w:t>Onsite collection and transport: HCF should adopt practices and procedures to timely remove properly packaged and labelled wastes. Disinfection of pertaining tools and spaces should be routinely conducted. Hygiene and safety of involved supporting medical workers such as cleaners should be ensured.</w:t>
      </w:r>
    </w:p>
    <w:p w14:paraId="4E52210E"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Waste storage: A HCF should have multiple waste storage areas designed for different types of wastes. Their functions and sizes are determined at design stage. Proper maintenance and disinfection of the storage areas should be carried out. Existing reports suggest that during the COVID-19 outbreak, infectious wastes should be removed from HCF’s storage area for disposal within 24 hours.</w:t>
      </w:r>
    </w:p>
    <w:p w14:paraId="3FCAFBEA"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Onsite waste treatment and disposal (e.g. an incinerator): Many HCFs have their own waste incineration facilities installed onsite. Due diligence of an existing incinerator should be conducted to examine its technical adequacy, process capacity, performance record, and operator’s capacity. In case any gaps are discovered, corrective measures should be recommended. For new HCF financed by the project, waste disposal facilities should be integrated into the overall design and ESIA developed. Good design, operational practices and internationally adopted emission standards for healthcare waste incinerators can be found in pertaining EHS Guidelines and GIIP.</w:t>
      </w:r>
    </w:p>
    <w:p w14:paraId="692F1413"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 xml:space="preserve">Transportation and disposal at offsite waste management facilities: Not all HCF has adequate or well-performed incinerator onsite. Not all healthcare wastes are suitable for incineration. An onsite incinerator produces residuals after incineration. Hence offsite waste disposal facilities provided by local government or the private sector are probably needed. These offsite waste management facilities may include incinerators, hazardous wastes landfill. In the same vein, due diligence of such external waste management facilities should be conducted to examine its technical adequacy, process capacity, performance record, and operator’s capacity. In case any gaps are discovered, corrective measures should be recommended and agreed with the government or the private sector operators. </w:t>
      </w:r>
    </w:p>
    <w:p w14:paraId="4E221576" w14:textId="77777777" w:rsidR="00352ED9" w:rsidRPr="00AB7D1E" w:rsidRDefault="00352ED9" w:rsidP="00BE60A0">
      <w:pPr>
        <w:pStyle w:val="ListParagraph"/>
        <w:numPr>
          <w:ilvl w:val="0"/>
          <w:numId w:val="62"/>
        </w:numPr>
        <w:rPr>
          <w:rFonts w:cstheme="minorHAnsi"/>
          <w:lang w:val="en-US"/>
        </w:rPr>
      </w:pPr>
      <w:r w:rsidRPr="00AB7D1E">
        <w:rPr>
          <w:rFonts w:cstheme="minorHAnsi"/>
          <w:lang w:val="en-US"/>
        </w:rPr>
        <w:t xml:space="preserve">Wastewater treatment: HCF wastewater is related to hazardous waste management practices. Proper waste segregation and handling as discussed above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is capable of handling the type of effluent discharged. In cases where municipal sewage system is not in place, HCF should build and properly operate onsite primary and secondary wastewater treatment works, including disinfection. Residuals of the onsite wastewater treatment works, such as sludge, should be properly disposed of </w:t>
      </w:r>
      <w:r w:rsidRPr="00AB7D1E">
        <w:rPr>
          <w:rFonts w:cstheme="minorHAnsi"/>
          <w:lang w:val="en-US"/>
        </w:rPr>
        <w:lastRenderedPageBreak/>
        <w:t>as well. There’re also cases where HCF wastewater is transported by trucks to a municipal wastewater treatment plant for treatment. Requirements on safe transportation, due diligence of WWTP in terms of its capacity and performance should be conducted.</w:t>
      </w:r>
    </w:p>
    <w:p w14:paraId="0C9E33AD"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Note: Practice in the Republic of Croatia is following:</w:t>
      </w:r>
    </w:p>
    <w:p w14:paraId="2C31253A"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C00000"/>
          <w:lang w:val="en-US"/>
        </w:rPr>
      </w:pPr>
      <w:r w:rsidRPr="00AB7D1E">
        <w:rPr>
          <w:rFonts w:cstheme="minorHAnsi"/>
          <w:i/>
          <w:iCs/>
          <w:color w:val="2683C6" w:themeColor="accent6"/>
          <w:lang w:val="en-US"/>
        </w:rPr>
        <w:t xml:space="preserve">National method for packaging, labelling and storage of waste is defined by </w:t>
      </w:r>
      <w:hyperlink r:id="rId76" w:history="1">
        <w:r w:rsidRPr="00AB7D1E">
          <w:rPr>
            <w:rStyle w:val="Hyperlink"/>
            <w:rFonts w:cstheme="minorHAnsi"/>
            <w:i/>
            <w:iCs/>
            <w:color w:val="C00000"/>
            <w:lang w:val="en-US"/>
          </w:rPr>
          <w:t>Ordinance on waste management (OG 81/20</w:t>
        </w:r>
      </w:hyperlink>
      <w:r w:rsidRPr="00AB7D1E">
        <w:rPr>
          <w:rFonts w:cstheme="minorHAnsi"/>
          <w:i/>
          <w:iCs/>
          <w:color w:val="C00000"/>
          <w:lang w:val="en-US"/>
        </w:rPr>
        <w:t>)</w:t>
      </w:r>
      <w:r w:rsidRPr="00AB7D1E">
        <w:rPr>
          <w:rFonts w:cstheme="minorHAnsi"/>
          <w:i/>
          <w:iCs/>
          <w:color w:val="2683C6" w:themeColor="accent6"/>
          <w:lang w:val="en-US"/>
        </w:rPr>
        <w:t xml:space="preserve">, </w:t>
      </w:r>
      <w:hyperlink r:id="rId77" w:history="1">
        <w:r w:rsidRPr="00AB7D1E">
          <w:rPr>
            <w:rStyle w:val="Hyperlink"/>
            <w:rFonts w:cstheme="minorHAnsi"/>
            <w:i/>
            <w:iCs/>
            <w:color w:val="C00000"/>
            <w:lang w:val="en-US"/>
          </w:rPr>
          <w:t>Ordinance on medical waste management (OG 50/15</w:t>
        </w:r>
      </w:hyperlink>
      <w:r w:rsidRPr="00AB7D1E">
        <w:rPr>
          <w:rFonts w:cstheme="minorHAnsi"/>
          <w:i/>
          <w:iCs/>
          <w:color w:val="C00000"/>
          <w:lang w:val="en-US"/>
        </w:rPr>
        <w:t xml:space="preserve">); </w:t>
      </w:r>
      <w:hyperlink r:id="rId78" w:history="1">
        <w:r w:rsidRPr="00AB7D1E">
          <w:rPr>
            <w:rStyle w:val="Hyperlink"/>
            <w:rFonts w:cstheme="minorHAnsi"/>
            <w:i/>
            <w:iCs/>
            <w:color w:val="C00000"/>
            <w:lang w:val="en-US"/>
          </w:rPr>
          <w:t>Ordinance on disposal of radioactive waste and used sources (OG 12/18)</w:t>
        </w:r>
      </w:hyperlink>
    </w:p>
    <w:p w14:paraId="746DF071"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 xml:space="preserve">Transportation and disposal at offsite waste management facilities: HCW which occurs on the location of HCF must be submitted to the authorized companies (Information available: </w:t>
      </w:r>
      <w:hyperlink r:id="rId79" w:history="1">
        <w:r w:rsidRPr="00AB7D1E">
          <w:rPr>
            <w:rStyle w:val="Hyperlink"/>
            <w:rFonts w:cstheme="minorHAnsi"/>
            <w:i/>
            <w:iCs/>
            <w:color w:val="C00000"/>
            <w:lang w:val="en-US"/>
          </w:rPr>
          <w:t xml:space="preserve">Register of permits and certificates for waste management, </w:t>
        </w:r>
        <w:proofErr w:type="spellStart"/>
        <w:r w:rsidRPr="00AB7D1E">
          <w:rPr>
            <w:rStyle w:val="Hyperlink"/>
            <w:rFonts w:cstheme="minorHAnsi"/>
            <w:i/>
            <w:iCs/>
            <w:color w:val="C00000"/>
            <w:lang w:val="en-US"/>
          </w:rPr>
          <w:t>MoESD</w:t>
        </w:r>
        <w:proofErr w:type="spellEnd"/>
      </w:hyperlink>
      <w:r w:rsidRPr="00AB7D1E">
        <w:rPr>
          <w:rFonts w:cstheme="minorHAnsi"/>
          <w:i/>
          <w:iCs/>
          <w:color w:val="2683C6" w:themeColor="accent6"/>
          <w:lang w:val="en-US"/>
        </w:rPr>
        <w:t xml:space="preserve"> – HCW except radioactive waste and </w:t>
      </w:r>
      <w:hyperlink r:id="rId80" w:history="1">
        <w:r w:rsidRPr="00AB7D1E">
          <w:rPr>
            <w:rStyle w:val="Hyperlink"/>
            <w:rFonts w:cstheme="minorHAnsi"/>
            <w:i/>
            <w:iCs/>
            <w:color w:val="C00000"/>
            <w:lang w:val="en-US"/>
          </w:rPr>
          <w:t xml:space="preserve">Department of Environment and Radioactive Waste, </w:t>
        </w:r>
        <w:proofErr w:type="spellStart"/>
        <w:r w:rsidRPr="00AB7D1E">
          <w:rPr>
            <w:rStyle w:val="Hyperlink"/>
            <w:rFonts w:cstheme="minorHAnsi"/>
            <w:i/>
            <w:iCs/>
            <w:color w:val="C00000"/>
            <w:lang w:val="en-US"/>
          </w:rPr>
          <w:t>MoI</w:t>
        </w:r>
        <w:proofErr w:type="spellEnd"/>
      </w:hyperlink>
      <w:r w:rsidRPr="00AB7D1E">
        <w:rPr>
          <w:rFonts w:cstheme="minorHAnsi"/>
          <w:i/>
          <w:iCs/>
          <w:color w:val="2683C6" w:themeColor="accent6"/>
          <w:lang w:val="en-US"/>
        </w:rPr>
        <w:t xml:space="preserve"> – Radioactive medical waste).</w:t>
      </w:r>
    </w:p>
    <w:p w14:paraId="38AE1F1B"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 xml:space="preserve">Wastewater treatment: In case wastewater is discharged into municipal sewer sewerage system, the HCF should ensure that wastewater effluent comply with all applicable permits and standards stipulated by </w:t>
      </w:r>
      <w:hyperlink r:id="rId81" w:history="1">
        <w:r w:rsidRPr="00AB7D1E">
          <w:rPr>
            <w:rStyle w:val="Hyperlink"/>
            <w:rFonts w:cstheme="minorHAnsi"/>
            <w:i/>
            <w:iCs/>
            <w:color w:val="C00000"/>
            <w:lang w:val="en-US"/>
          </w:rPr>
          <w:t>Ordinance on issuance of water law acts (OG 9/20)</w:t>
        </w:r>
      </w:hyperlink>
      <w:r w:rsidRPr="00AB7D1E">
        <w:rPr>
          <w:rFonts w:cstheme="minorHAnsi"/>
          <w:i/>
          <w:iCs/>
          <w:color w:val="2683C6" w:themeColor="accent6"/>
          <w:lang w:val="en-US"/>
        </w:rPr>
        <w:t xml:space="preserve"> and </w:t>
      </w:r>
      <w:hyperlink r:id="rId82" w:history="1">
        <w:r w:rsidRPr="00AB7D1E">
          <w:rPr>
            <w:rStyle w:val="Hyperlink"/>
            <w:rFonts w:cstheme="minorHAnsi"/>
            <w:i/>
            <w:iCs/>
            <w:color w:val="C00000"/>
            <w:lang w:val="en-US"/>
          </w:rPr>
          <w:t>Ordinance on limit values of wastewater emissions (OG 26/20)</w:t>
        </w:r>
      </w:hyperlink>
      <w:r w:rsidRPr="00AB7D1E">
        <w:rPr>
          <w:rFonts w:cstheme="minorHAnsi"/>
          <w:i/>
          <w:iCs/>
          <w:color w:val="2683C6" w:themeColor="accent6"/>
          <w:lang w:val="en-US"/>
        </w:rPr>
        <w:t xml:space="preserve">. Residuals of the onsite wastewater treatment works, such as sludge, should be properly handed over to the authorized waste company. </w:t>
      </w:r>
    </w:p>
    <w:p w14:paraId="0AEC129F" w14:textId="77777777" w:rsidR="00352ED9" w:rsidRPr="00AB7D1E" w:rsidRDefault="00352ED9" w:rsidP="00352ED9">
      <w:pPr>
        <w:adjustRightInd w:val="0"/>
        <w:snapToGrid w:val="0"/>
        <w:spacing w:line="240" w:lineRule="auto"/>
        <w:rPr>
          <w:rFonts w:ascii="Times New Roman" w:hAnsi="Times New Roman"/>
          <w:i/>
          <w:iCs/>
          <w:color w:val="2683C6" w:themeColor="accent6"/>
          <w:lang w:val="en-US"/>
        </w:rPr>
      </w:pPr>
      <w:r w:rsidRPr="00AB7D1E">
        <w:rPr>
          <w:rFonts w:cstheme="minorHAnsi"/>
          <w:i/>
          <w:iCs/>
          <w:color w:val="2683C6" w:themeColor="accent6"/>
          <w:lang w:val="en-US"/>
        </w:rPr>
        <w:t>If there are cases where HCF wastewater is transported by trucks to a municipal wastewater treatment plant for treatment it has to be conducted by authorized company, too (municipality / city owned companies responsible for water supply and drainage).</w:t>
      </w:r>
      <w:r w:rsidRPr="00AB7D1E">
        <w:rPr>
          <w:rFonts w:ascii="Times New Roman" w:hAnsi="Times New Roman"/>
          <w:i/>
          <w:iCs/>
          <w:color w:val="2683C6" w:themeColor="accent6"/>
          <w:lang w:val="en-US"/>
        </w:rPr>
        <w:t xml:space="preserve"> </w:t>
      </w:r>
    </w:p>
    <w:p w14:paraId="1D932000" w14:textId="77777777" w:rsidR="00352ED9" w:rsidRPr="00AB7D1E" w:rsidRDefault="00352ED9" w:rsidP="00352ED9">
      <w:pPr>
        <w:adjustRightInd w:val="0"/>
        <w:snapToGrid w:val="0"/>
        <w:spacing w:line="240" w:lineRule="auto"/>
        <w:rPr>
          <w:rFonts w:ascii="Times New Roman" w:hAnsi="Times New Roman"/>
          <w:i/>
          <w:iCs/>
          <w:color w:val="2683C6" w:themeColor="accent6"/>
          <w:lang w:val="en-US"/>
        </w:rPr>
      </w:pPr>
      <w:r w:rsidRPr="00AB7D1E">
        <w:rPr>
          <w:rFonts w:cstheme="minorHAnsi"/>
          <w:i/>
          <w:iCs/>
          <w:color w:val="2683C6" w:themeColor="accent6"/>
          <w:lang w:val="en-US"/>
        </w:rPr>
        <w:t xml:space="preserve">Waste storage: Proper maintenance and disinfection of the storage areas should be carried out. During the COVID-19 outbreak, infectious wastes should be removed from HCF’s storage area in accordance with the requirements regarding infectious waste stipulated by </w:t>
      </w:r>
      <w:hyperlink r:id="rId83" w:history="1">
        <w:r w:rsidRPr="00AB7D1E">
          <w:rPr>
            <w:rStyle w:val="Hyperlink"/>
            <w:rFonts w:cstheme="minorHAnsi"/>
            <w:i/>
            <w:iCs/>
            <w:color w:val="C00000"/>
            <w:lang w:val="en-US"/>
          </w:rPr>
          <w:t>Ordinance on medical waste management (OG 50/15</w:t>
        </w:r>
      </w:hyperlink>
      <w:r w:rsidRPr="00AB7D1E">
        <w:rPr>
          <w:rFonts w:cstheme="minorHAnsi"/>
          <w:i/>
          <w:iCs/>
          <w:color w:val="C00000"/>
          <w:lang w:val="en-US"/>
        </w:rPr>
        <w:t>).</w:t>
      </w:r>
      <w:r w:rsidRPr="00AB7D1E">
        <w:rPr>
          <w:rFonts w:cstheme="minorHAnsi"/>
          <w:i/>
          <w:iCs/>
          <w:color w:val="2683C6" w:themeColor="accent6"/>
          <w:lang w:val="en-US"/>
        </w:rPr>
        <w:t xml:space="preserve"> </w:t>
      </w:r>
    </w:p>
    <w:p w14:paraId="303F695B" w14:textId="77777777" w:rsidR="00352ED9" w:rsidRPr="00AB7D1E" w:rsidRDefault="00352ED9" w:rsidP="00BE60A0">
      <w:pPr>
        <w:pStyle w:val="ListParagraph"/>
        <w:numPr>
          <w:ilvl w:val="0"/>
          <w:numId w:val="64"/>
        </w:numPr>
        <w:rPr>
          <w:b/>
          <w:bCs/>
          <w:lang w:val="en-US"/>
        </w:rPr>
      </w:pPr>
      <w:r w:rsidRPr="00AB7D1E">
        <w:rPr>
          <w:b/>
          <w:bCs/>
          <w:lang w:val="en-US"/>
        </w:rPr>
        <w:t>Emergency Preparedness and Response</w:t>
      </w:r>
    </w:p>
    <w:p w14:paraId="0BB99B3C" w14:textId="14962B06" w:rsidR="00352ED9" w:rsidRPr="00AB7D1E" w:rsidRDefault="00352ED9" w:rsidP="00352ED9">
      <w:pPr>
        <w:rPr>
          <w:lang w:val="en-US"/>
        </w:rPr>
      </w:pPr>
      <w:r w:rsidRPr="00AB7D1E">
        <w:rPr>
          <w:lang w:val="en-US"/>
        </w:rPr>
        <w:t>Emergency incidents occurring in a</w:t>
      </w:r>
      <w:r w:rsidR="006467F6">
        <w:rPr>
          <w:lang w:val="en-US"/>
        </w:rPr>
        <w:t>n</w:t>
      </w:r>
      <w:r w:rsidRPr="00AB7D1E">
        <w:rPr>
          <w:lang w:val="en-US"/>
        </w:rPr>
        <w:t xml:space="preserve"> HCF may include spillage, occupational exposure to infectious materials or radiation, accidental releases of infectious or hazardous substances to the environment, medical equipment failure, failure of solid waste and wastewater treatment facilities, and fire. These emergency events are likely to seriously affect medical workers, communities, the HCF’s operation and the environment. </w:t>
      </w:r>
    </w:p>
    <w:p w14:paraId="6A84F1BC" w14:textId="77777777" w:rsidR="00352ED9" w:rsidRPr="00AB7D1E" w:rsidRDefault="00352ED9" w:rsidP="00BE60A0">
      <w:pPr>
        <w:pStyle w:val="ListParagraph"/>
        <w:numPr>
          <w:ilvl w:val="0"/>
          <w:numId w:val="65"/>
        </w:numPr>
        <w:rPr>
          <w:lang w:val="en-US"/>
        </w:rPr>
      </w:pPr>
      <w:r w:rsidRPr="00AB7D1E">
        <w:rPr>
          <w:lang w:val="en-US"/>
        </w:rPr>
        <w:t>Provide an overview of the existing practices to deal with the emergency situations.</w:t>
      </w:r>
    </w:p>
    <w:p w14:paraId="093AA832" w14:textId="77777777" w:rsidR="00352ED9" w:rsidRPr="00AB7D1E" w:rsidRDefault="00352ED9" w:rsidP="00BE60A0">
      <w:pPr>
        <w:pStyle w:val="ListParagraph"/>
        <w:numPr>
          <w:ilvl w:val="0"/>
          <w:numId w:val="64"/>
        </w:numPr>
        <w:rPr>
          <w:b/>
          <w:bCs/>
          <w:lang w:val="en-US"/>
        </w:rPr>
      </w:pPr>
      <w:r w:rsidRPr="00AB7D1E">
        <w:rPr>
          <w:b/>
          <w:bCs/>
          <w:lang w:val="en-US"/>
        </w:rPr>
        <w:t>Institutional Arrangement and Capacity Building</w:t>
      </w:r>
    </w:p>
    <w:p w14:paraId="2A53330C" w14:textId="77777777" w:rsidR="00352ED9" w:rsidRPr="00AB7D1E" w:rsidRDefault="00352ED9" w:rsidP="00352ED9">
      <w:pPr>
        <w:rPr>
          <w:lang w:val="en-US"/>
        </w:rPr>
      </w:pPr>
      <w:r w:rsidRPr="00AB7D1E">
        <w:rPr>
          <w:lang w:val="en-US"/>
        </w:rPr>
        <w:t>A clearly defined institutional arrangement, roles and responsibilities should be included. A training plan with recurring training programs should be developed. The following aspects are recommended:</w:t>
      </w:r>
    </w:p>
    <w:p w14:paraId="54DA25A1"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Define roles and responsibilities along each link of the chain along the cradle-to-crave infection control and waste management process;</w:t>
      </w:r>
    </w:p>
    <w:p w14:paraId="4FE27C43"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 xml:space="preserve">Ensure adequate and qualified staff are in place, including those in charge of infection control and biosafety and waste management facility operation. </w:t>
      </w:r>
    </w:p>
    <w:p w14:paraId="3EC5E9F6"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Stress the chief of a HCF takes overall responsibility for infection control and waste management;</w:t>
      </w:r>
    </w:p>
    <w:p w14:paraId="49AD511E"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t xml:space="preserve">Involve all relevant departments in a HCF, and build an intra-departmental team to manage, coordinate and regularly review issues and performance; </w:t>
      </w:r>
    </w:p>
    <w:p w14:paraId="190DC212"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cstheme="minorHAnsi"/>
          <w:lang w:val="en-US"/>
        </w:rPr>
      </w:pPr>
      <w:r w:rsidRPr="00AB7D1E">
        <w:rPr>
          <w:rFonts w:cstheme="minorHAnsi"/>
          <w:lang w:val="en-US"/>
        </w:rPr>
        <w:lastRenderedPageBreak/>
        <w:t xml:space="preserve">Establish an information management system to track and record the waste streams in HCF, </w:t>
      </w:r>
    </w:p>
    <w:p w14:paraId="3FDADBAB" w14:textId="77777777" w:rsidR="00352ED9" w:rsidRPr="00AB7D1E" w:rsidRDefault="00352ED9" w:rsidP="00BE60A0">
      <w:pPr>
        <w:pStyle w:val="ListParagraph"/>
        <w:numPr>
          <w:ilvl w:val="0"/>
          <w:numId w:val="62"/>
        </w:numPr>
        <w:suppressAutoHyphens w:val="0"/>
        <w:autoSpaceDN/>
        <w:adjustRightInd w:val="0"/>
        <w:snapToGrid w:val="0"/>
        <w:spacing w:before="0" w:line="240" w:lineRule="auto"/>
        <w:textAlignment w:val="auto"/>
        <w:rPr>
          <w:rFonts w:ascii="Times New Roman" w:hAnsi="Times New Roman"/>
          <w:lang w:val="en-US"/>
        </w:rPr>
      </w:pPr>
      <w:r w:rsidRPr="00AB7D1E">
        <w:rPr>
          <w:rFonts w:cstheme="minorHAnsi"/>
          <w:lang w:val="en-US"/>
        </w:rPr>
        <w:t xml:space="preserve">Capacity building and training should involve medical workers, waste management workers and cleaners. Third-party waste management service providers should be provided with relevant training as well. </w:t>
      </w:r>
    </w:p>
    <w:p w14:paraId="4A2A12A0" w14:textId="77777777" w:rsidR="00352ED9" w:rsidRPr="00AB7D1E" w:rsidRDefault="00352ED9" w:rsidP="00BE60A0">
      <w:pPr>
        <w:pStyle w:val="ListParagraph"/>
        <w:numPr>
          <w:ilvl w:val="0"/>
          <w:numId w:val="64"/>
        </w:numPr>
        <w:rPr>
          <w:rFonts w:cstheme="minorHAnsi"/>
          <w:b/>
          <w:bCs/>
          <w:lang w:val="en-US"/>
        </w:rPr>
      </w:pPr>
      <w:r w:rsidRPr="00AB7D1E">
        <w:rPr>
          <w:rFonts w:cstheme="minorHAnsi"/>
          <w:b/>
          <w:bCs/>
          <w:lang w:val="en-US"/>
        </w:rPr>
        <w:t xml:space="preserve">Monitoring and Reporting </w:t>
      </w:r>
    </w:p>
    <w:p w14:paraId="4B19665B" w14:textId="77777777" w:rsidR="00352ED9" w:rsidRPr="00AB7D1E" w:rsidRDefault="00352ED9" w:rsidP="00352ED9">
      <w:pPr>
        <w:ind w:left="360"/>
        <w:rPr>
          <w:rFonts w:cstheme="minorHAnsi"/>
          <w:lang w:val="en-US"/>
        </w:rPr>
      </w:pPr>
      <w:r w:rsidRPr="00AB7D1E">
        <w:rPr>
          <w:rFonts w:cstheme="minorHAnsi"/>
          <w:lang w:val="en-US"/>
        </w:rPr>
        <w:t xml:space="preserve">Many HCFs in developing countries face the challenge of inadequate monitoring and records of healthcare waste streams. HCF should establish an information management system to track and record the waste streams from the point of generation, segregation, packaging, temporary storage, transport carts/vehicles, to treatment facilities. The HCF is encouraged to develop an IT based information management system should their technical and financial capacity allow. </w:t>
      </w:r>
    </w:p>
    <w:p w14:paraId="28788FEB" w14:textId="77777777" w:rsidR="00352ED9" w:rsidRPr="00AB7D1E" w:rsidRDefault="00352ED9" w:rsidP="00352ED9">
      <w:pPr>
        <w:ind w:left="360"/>
        <w:rPr>
          <w:rFonts w:cstheme="minorHAnsi"/>
          <w:lang w:val="en-US"/>
        </w:rPr>
      </w:pPr>
      <w:r w:rsidRPr="00AB7D1E">
        <w:rPr>
          <w:rFonts w:cstheme="minorHAnsi"/>
          <w:lang w:val="en-US"/>
        </w:rPr>
        <w:t xml:space="preserve">As discussed above, the HCF chief takes overall responsibility, leads an intra-departmental team and regularly reviews issues and performance of the infection control and waste management practices in the HCF. Internal reporting and filing systems should be in place. </w:t>
      </w:r>
    </w:p>
    <w:p w14:paraId="34360290" w14:textId="7B5D9BF0" w:rsidR="00352ED9" w:rsidRPr="00AB7D1E" w:rsidRDefault="00352ED9" w:rsidP="00352ED9">
      <w:pPr>
        <w:ind w:left="360"/>
        <w:rPr>
          <w:rFonts w:cstheme="minorHAnsi"/>
          <w:lang w:val="en-US"/>
        </w:rPr>
      </w:pPr>
      <w:r w:rsidRPr="00AB7D1E">
        <w:rPr>
          <w:rFonts w:cstheme="minorHAnsi"/>
          <w:lang w:val="en-US"/>
        </w:rPr>
        <w:t>Externally, reporting should be conducted per government and World Bank requirements</w:t>
      </w:r>
      <w:r w:rsidR="003E7631">
        <w:rPr>
          <w:rFonts w:cstheme="minorHAnsi"/>
          <w:lang w:val="en-US"/>
        </w:rPr>
        <w:t xml:space="preserve"> defined int the ESMF E&amp;S Review Procedures.</w:t>
      </w:r>
    </w:p>
    <w:p w14:paraId="170D2023" w14:textId="77777777" w:rsidR="00352ED9" w:rsidRPr="00AB7D1E" w:rsidRDefault="00352ED9" w:rsidP="00352ED9">
      <w:pPr>
        <w:ind w:left="360"/>
        <w:rPr>
          <w:rFonts w:cstheme="minorHAnsi"/>
          <w:lang w:val="en-US"/>
        </w:rPr>
      </w:pPr>
      <w:r w:rsidRPr="00AB7D1E">
        <w:rPr>
          <w:rFonts w:cstheme="minorHAnsi"/>
          <w:lang w:val="en-US"/>
        </w:rPr>
        <w:t>HCF should establish an information management system to track and record the waste streams from the point of generation, segregation, packaging, temporary storage, transport carts/vehicles, to treatment facilities. Also, records on air emissions and water emissions should be kept, where applicable.</w:t>
      </w:r>
    </w:p>
    <w:p w14:paraId="6D969FAD" w14:textId="77777777" w:rsidR="00352ED9" w:rsidRPr="00AB7D1E" w:rsidRDefault="00352ED9" w:rsidP="00352ED9">
      <w:pPr>
        <w:suppressAutoHyphens w:val="0"/>
        <w:autoSpaceDN/>
        <w:adjustRightInd w:val="0"/>
        <w:snapToGrid w:val="0"/>
        <w:spacing w:before="0" w:line="240" w:lineRule="auto"/>
        <w:textAlignment w:val="auto"/>
        <w:rPr>
          <w:rFonts w:cstheme="minorHAnsi"/>
          <w:i/>
          <w:iCs/>
          <w:color w:val="2683C6" w:themeColor="accent6"/>
          <w:lang w:val="en-US"/>
        </w:rPr>
      </w:pPr>
      <w:r w:rsidRPr="00AB7D1E">
        <w:rPr>
          <w:rFonts w:cstheme="minorHAnsi"/>
          <w:i/>
          <w:iCs/>
          <w:color w:val="2683C6" w:themeColor="accent6"/>
          <w:lang w:val="en-US"/>
        </w:rPr>
        <w:t>Note: Environmental Information System in the Republic of Croatia (record keeping) is regulated by:</w:t>
      </w:r>
    </w:p>
    <w:p w14:paraId="46789C32" w14:textId="301109BF" w:rsidR="00352ED9" w:rsidRPr="00AB7D1E" w:rsidRDefault="00C40C75" w:rsidP="00352ED9">
      <w:pPr>
        <w:rPr>
          <w:rFonts w:cstheme="minorHAnsi"/>
          <w:i/>
          <w:iCs/>
          <w:color w:val="C00000"/>
          <w:lang w:val="en-US"/>
        </w:rPr>
      </w:pPr>
      <w:hyperlink r:id="rId84" w:history="1">
        <w:r w:rsidR="00352ED9" w:rsidRPr="00AB7D1E">
          <w:rPr>
            <w:rStyle w:val="Hyperlink"/>
            <w:rFonts w:cstheme="minorHAnsi"/>
            <w:i/>
            <w:iCs/>
            <w:color w:val="C00000"/>
            <w:lang w:val="en-US"/>
          </w:rPr>
          <w:t>Ordinance on waste management (OG 81/20</w:t>
        </w:r>
      </w:hyperlink>
      <w:r w:rsidR="00352ED9" w:rsidRPr="00AB7D1E">
        <w:rPr>
          <w:rFonts w:cstheme="minorHAnsi"/>
          <w:i/>
          <w:iCs/>
          <w:color w:val="C00000"/>
          <w:lang w:val="en-US"/>
        </w:rPr>
        <w:t xml:space="preserve">), </w:t>
      </w:r>
      <w:hyperlink r:id="rId85" w:history="1">
        <w:r w:rsidR="00352ED9" w:rsidRPr="00AB7D1E">
          <w:rPr>
            <w:rStyle w:val="Hyperlink"/>
            <w:rFonts w:cstheme="minorHAnsi"/>
            <w:i/>
            <w:iCs/>
            <w:color w:val="C00000"/>
            <w:lang w:val="en-US"/>
          </w:rPr>
          <w:t>Ordinance on medical waste management (OG 50/15</w:t>
        </w:r>
      </w:hyperlink>
      <w:r w:rsidR="00352ED9" w:rsidRPr="00AB7D1E">
        <w:rPr>
          <w:rFonts w:cstheme="minorHAnsi"/>
          <w:i/>
          <w:iCs/>
          <w:color w:val="C00000"/>
          <w:lang w:val="en-US"/>
        </w:rPr>
        <w:t xml:space="preserve">), </w:t>
      </w:r>
      <w:hyperlink r:id="rId86" w:history="1">
        <w:r w:rsidR="00352ED9" w:rsidRPr="00AB7D1E">
          <w:rPr>
            <w:rStyle w:val="Hyperlink"/>
            <w:rFonts w:cstheme="minorHAnsi"/>
            <w:i/>
            <w:iCs/>
            <w:color w:val="C00000"/>
            <w:lang w:val="en-US"/>
          </w:rPr>
          <w:t>Ordinance on the environmental pollution registry (OG 87/15)</w:t>
        </w:r>
      </w:hyperlink>
      <w:r w:rsidR="00352ED9" w:rsidRPr="00AB7D1E">
        <w:rPr>
          <w:rFonts w:cstheme="minorHAnsi"/>
          <w:i/>
          <w:iCs/>
          <w:color w:val="C00000"/>
          <w:lang w:val="en-US"/>
        </w:rPr>
        <w:t xml:space="preserve"> ; </w:t>
      </w:r>
      <w:hyperlink r:id="rId87" w:history="1">
        <w:r w:rsidR="00352ED9" w:rsidRPr="00AB7D1E">
          <w:rPr>
            <w:rStyle w:val="Hyperlink"/>
            <w:rFonts w:cstheme="minorHAnsi"/>
            <w:i/>
            <w:iCs/>
            <w:color w:val="C00000"/>
            <w:lang w:val="en-US"/>
          </w:rPr>
          <w:t>Ordinance on disposal of radioactive waste and used sources (OG 12/18)</w:t>
        </w:r>
      </w:hyperlink>
      <w:r w:rsidR="00352ED9" w:rsidRPr="00AB7D1E">
        <w:rPr>
          <w:rFonts w:cstheme="minorHAnsi"/>
          <w:i/>
          <w:iCs/>
          <w:color w:val="C00000"/>
          <w:lang w:val="en-US"/>
        </w:rPr>
        <w:t xml:space="preserve">); </w:t>
      </w:r>
      <w:hyperlink r:id="rId88" w:history="1">
        <w:r w:rsidR="00352ED9" w:rsidRPr="00AB7D1E">
          <w:rPr>
            <w:rStyle w:val="Hyperlink"/>
            <w:rFonts w:cstheme="minorHAnsi"/>
            <w:i/>
            <w:iCs/>
            <w:color w:val="C00000"/>
            <w:lang w:val="en-US"/>
          </w:rPr>
          <w:t>Ordinance on limit values of wastewater emissions (OG 26/20)</w:t>
        </w:r>
      </w:hyperlink>
      <w:r w:rsidR="00352ED9" w:rsidRPr="00AB7D1E">
        <w:rPr>
          <w:rFonts w:cstheme="minorHAnsi"/>
          <w:i/>
          <w:iCs/>
          <w:color w:val="C00000"/>
          <w:lang w:val="en-US"/>
        </w:rPr>
        <w:t xml:space="preserve">; </w:t>
      </w:r>
      <w:hyperlink r:id="rId89" w:history="1">
        <w:r w:rsidR="00352ED9" w:rsidRPr="00AB7D1E">
          <w:rPr>
            <w:rStyle w:val="Hyperlink"/>
            <w:rFonts w:cstheme="minorHAnsi"/>
            <w:i/>
            <w:iCs/>
            <w:color w:val="C00000"/>
            <w:lang w:val="en-US"/>
          </w:rPr>
          <w:t>Regulation on limit values of emissions of pollutants into the air from immovable sources (OG 8</w:t>
        </w:r>
        <w:r w:rsidR="003F3128">
          <w:rPr>
            <w:rStyle w:val="Hyperlink"/>
            <w:rFonts w:cstheme="minorHAnsi"/>
            <w:i/>
            <w:iCs/>
            <w:color w:val="C00000"/>
            <w:lang w:val="en-US"/>
          </w:rPr>
          <w:t>7</w:t>
        </w:r>
        <w:r w:rsidR="00352ED9" w:rsidRPr="00AB7D1E">
          <w:rPr>
            <w:rStyle w:val="Hyperlink"/>
            <w:rFonts w:cstheme="minorHAnsi"/>
            <w:i/>
            <w:iCs/>
            <w:color w:val="C00000"/>
            <w:lang w:val="en-US"/>
          </w:rPr>
          <w:t>/17)</w:t>
        </w:r>
      </w:hyperlink>
      <w:r w:rsidR="00352ED9" w:rsidRPr="00AB7D1E">
        <w:rPr>
          <w:rFonts w:cstheme="minorHAnsi"/>
          <w:i/>
          <w:iCs/>
          <w:color w:val="C00000"/>
          <w:lang w:val="en-US"/>
        </w:rPr>
        <w:t>.</w:t>
      </w:r>
    </w:p>
    <w:p w14:paraId="1C0CF6D1" w14:textId="77777777" w:rsidR="00352ED9" w:rsidRPr="00AB7D1E" w:rsidRDefault="00352ED9" w:rsidP="00352ED9">
      <w:pPr>
        <w:ind w:left="360"/>
        <w:rPr>
          <w:rFonts w:cstheme="minorHAnsi"/>
          <w:lang w:val="en-US"/>
        </w:rPr>
      </w:pPr>
    </w:p>
    <w:p w14:paraId="386582CC" w14:textId="77777777" w:rsidR="00352ED9" w:rsidRPr="00AB7D1E" w:rsidRDefault="00352ED9" w:rsidP="00352ED9">
      <w:pPr>
        <w:ind w:left="360"/>
        <w:rPr>
          <w:rFonts w:cstheme="minorHAnsi"/>
          <w:lang w:val="en-US"/>
        </w:rPr>
      </w:pPr>
    </w:p>
    <w:p w14:paraId="2957A1E7" w14:textId="77777777" w:rsidR="00352ED9" w:rsidRPr="00AB7D1E" w:rsidRDefault="00352ED9" w:rsidP="00352ED9">
      <w:pPr>
        <w:ind w:left="360"/>
        <w:rPr>
          <w:rFonts w:cstheme="minorHAnsi"/>
          <w:lang w:val="en-US"/>
        </w:rPr>
        <w:sectPr w:rsidR="00352ED9" w:rsidRPr="00AB7D1E" w:rsidSect="001037F7">
          <w:pgSz w:w="12240" w:h="15840"/>
          <w:pgMar w:top="1440" w:right="1440" w:bottom="1440" w:left="1440" w:header="720" w:footer="720" w:gutter="0"/>
          <w:cols w:space="720"/>
          <w:docGrid w:linePitch="360"/>
        </w:sectPr>
      </w:pPr>
    </w:p>
    <w:p w14:paraId="21EAF3EF" w14:textId="19D3DA41" w:rsidR="00352ED9" w:rsidRPr="00AB7D1E" w:rsidRDefault="009F23D8" w:rsidP="009F23D8">
      <w:pPr>
        <w:pStyle w:val="Caption"/>
        <w:keepNext/>
        <w:rPr>
          <w:rFonts w:cstheme="minorHAnsi"/>
          <w:b/>
          <w:lang w:val="en-US"/>
        </w:rPr>
      </w:pPr>
      <w:bookmarkStart w:id="289" w:name="_Toc56952731"/>
      <w:r>
        <w:lastRenderedPageBreak/>
        <w:t xml:space="preserve">Table </w:t>
      </w:r>
      <w:fldSimple w:instr=" SEQ Table \* ARABIC ">
        <w:r w:rsidR="007D1E1B">
          <w:rPr>
            <w:noProof/>
          </w:rPr>
          <w:t>31</w:t>
        </w:r>
      </w:fldSimple>
      <w:r>
        <w:t xml:space="preserve">. </w:t>
      </w:r>
      <w:r w:rsidR="00352ED9" w:rsidRPr="00FF7C22">
        <w:rPr>
          <w:rFonts w:cstheme="minorHAnsi"/>
          <w:bCs/>
          <w:lang w:val="en-US"/>
        </w:rPr>
        <w:t>ICWMP</w:t>
      </w:r>
      <w:r w:rsidRPr="00FF7C22">
        <w:rPr>
          <w:rFonts w:cstheme="minorHAnsi"/>
          <w:bCs/>
          <w:lang w:val="en-US"/>
        </w:rPr>
        <w:t xml:space="preserve"> table</w:t>
      </w:r>
      <w:bookmarkEnd w:id="289"/>
    </w:p>
    <w:tbl>
      <w:tblPr>
        <w:tblStyle w:val="TableGrid"/>
        <w:tblW w:w="5000" w:type="pct"/>
        <w:tblLook w:val="04A0" w:firstRow="1" w:lastRow="0" w:firstColumn="1" w:lastColumn="0" w:noHBand="0" w:noVBand="1"/>
      </w:tblPr>
      <w:tblGrid>
        <w:gridCol w:w="2695"/>
        <w:gridCol w:w="3297"/>
        <w:gridCol w:w="2792"/>
        <w:gridCol w:w="1855"/>
        <w:gridCol w:w="1822"/>
        <w:gridCol w:w="1487"/>
      </w:tblGrid>
      <w:tr w:rsidR="00352ED9" w:rsidRPr="00AB7D1E" w14:paraId="5D11B12A" w14:textId="77777777" w:rsidTr="00232AF5">
        <w:trPr>
          <w:tblHeader/>
        </w:trPr>
        <w:tc>
          <w:tcPr>
            <w:tcW w:w="966" w:type="pct"/>
            <w:shd w:val="clear" w:color="auto" w:fill="CEDBE6" w:themeFill="background2"/>
          </w:tcPr>
          <w:p w14:paraId="4D9CE992" w14:textId="77777777" w:rsidR="00352ED9" w:rsidRPr="00AB7D1E" w:rsidRDefault="00352ED9" w:rsidP="00232AF5">
            <w:pPr>
              <w:jc w:val="center"/>
              <w:rPr>
                <w:b/>
                <w:sz w:val="20"/>
                <w:szCs w:val="20"/>
                <w:lang w:val="en-US"/>
              </w:rPr>
            </w:pPr>
            <w:r w:rsidRPr="00AB7D1E">
              <w:rPr>
                <w:rFonts w:eastAsia="SimSun"/>
                <w:b/>
                <w:sz w:val="20"/>
                <w:szCs w:val="20"/>
                <w:lang w:val="en-US" w:eastAsia="zh-CN"/>
              </w:rPr>
              <w:t>Activities</w:t>
            </w:r>
          </w:p>
        </w:tc>
        <w:tc>
          <w:tcPr>
            <w:tcW w:w="1182" w:type="pct"/>
            <w:shd w:val="clear" w:color="auto" w:fill="CEDBE6" w:themeFill="background2"/>
          </w:tcPr>
          <w:p w14:paraId="17B96666" w14:textId="77777777" w:rsidR="00352ED9" w:rsidRPr="00AB7D1E" w:rsidRDefault="00352ED9" w:rsidP="00232AF5">
            <w:pPr>
              <w:jc w:val="center"/>
              <w:rPr>
                <w:b/>
                <w:sz w:val="20"/>
                <w:szCs w:val="20"/>
                <w:lang w:val="en-US"/>
              </w:rPr>
            </w:pPr>
            <w:r w:rsidRPr="00AB7D1E">
              <w:rPr>
                <w:rFonts w:eastAsia="SimSun"/>
                <w:b/>
                <w:sz w:val="20"/>
                <w:szCs w:val="20"/>
                <w:lang w:val="en-US"/>
              </w:rPr>
              <w:br w:type="page"/>
              <w:t>Potential E&amp;S Issues and Risks</w:t>
            </w:r>
          </w:p>
        </w:tc>
        <w:tc>
          <w:tcPr>
            <w:tcW w:w="1001" w:type="pct"/>
            <w:shd w:val="clear" w:color="auto" w:fill="CEDBE6" w:themeFill="background2"/>
          </w:tcPr>
          <w:p w14:paraId="3E9A2129" w14:textId="77777777" w:rsidR="00352ED9" w:rsidRPr="00AB7D1E" w:rsidRDefault="00352ED9" w:rsidP="00232AF5">
            <w:pPr>
              <w:jc w:val="center"/>
              <w:rPr>
                <w:b/>
                <w:sz w:val="20"/>
                <w:szCs w:val="20"/>
                <w:lang w:val="en-US"/>
              </w:rPr>
            </w:pPr>
            <w:r w:rsidRPr="00AB7D1E">
              <w:rPr>
                <w:rFonts w:eastAsia="SimSun"/>
                <w:b/>
                <w:sz w:val="20"/>
                <w:szCs w:val="20"/>
                <w:lang w:val="en-US"/>
              </w:rPr>
              <w:t>Proposed Mitigation Measures</w:t>
            </w:r>
          </w:p>
        </w:tc>
        <w:tc>
          <w:tcPr>
            <w:tcW w:w="665" w:type="pct"/>
            <w:shd w:val="clear" w:color="auto" w:fill="CEDBE6" w:themeFill="background2"/>
          </w:tcPr>
          <w:p w14:paraId="39F6EE06" w14:textId="77777777" w:rsidR="00352ED9" w:rsidRPr="00AB7D1E" w:rsidRDefault="00352ED9" w:rsidP="00232AF5">
            <w:pPr>
              <w:jc w:val="center"/>
              <w:rPr>
                <w:b/>
                <w:sz w:val="20"/>
                <w:szCs w:val="20"/>
                <w:lang w:val="en-US"/>
              </w:rPr>
            </w:pPr>
            <w:r w:rsidRPr="00AB7D1E">
              <w:rPr>
                <w:rFonts w:eastAsia="SimSun"/>
                <w:b/>
                <w:sz w:val="20"/>
                <w:szCs w:val="20"/>
                <w:lang w:val="en-US"/>
              </w:rPr>
              <w:t>Responsibilities</w:t>
            </w:r>
          </w:p>
        </w:tc>
        <w:tc>
          <w:tcPr>
            <w:tcW w:w="653" w:type="pct"/>
            <w:shd w:val="clear" w:color="auto" w:fill="CEDBE6" w:themeFill="background2"/>
          </w:tcPr>
          <w:p w14:paraId="511624A2" w14:textId="77777777" w:rsidR="00352ED9" w:rsidRPr="00AB7D1E" w:rsidRDefault="00352ED9" w:rsidP="00232AF5">
            <w:pPr>
              <w:jc w:val="center"/>
              <w:rPr>
                <w:b/>
                <w:sz w:val="20"/>
                <w:szCs w:val="20"/>
                <w:lang w:val="en-US"/>
              </w:rPr>
            </w:pPr>
            <w:r w:rsidRPr="00AB7D1E">
              <w:rPr>
                <w:rFonts w:eastAsia="SimSun"/>
                <w:b/>
                <w:sz w:val="20"/>
                <w:szCs w:val="20"/>
                <w:lang w:val="en-US"/>
              </w:rPr>
              <w:t>Timeline</w:t>
            </w:r>
          </w:p>
        </w:tc>
        <w:tc>
          <w:tcPr>
            <w:tcW w:w="533" w:type="pct"/>
            <w:shd w:val="clear" w:color="auto" w:fill="CEDBE6" w:themeFill="background2"/>
          </w:tcPr>
          <w:p w14:paraId="59884D7E" w14:textId="77777777" w:rsidR="00352ED9" w:rsidRPr="00AB7D1E" w:rsidRDefault="00352ED9" w:rsidP="00232AF5">
            <w:pPr>
              <w:jc w:val="center"/>
              <w:rPr>
                <w:b/>
                <w:sz w:val="20"/>
                <w:szCs w:val="20"/>
                <w:lang w:val="en-US"/>
              </w:rPr>
            </w:pPr>
            <w:r w:rsidRPr="00AB7D1E">
              <w:rPr>
                <w:rFonts w:eastAsia="SimSun"/>
                <w:b/>
                <w:sz w:val="20"/>
                <w:szCs w:val="20"/>
                <w:lang w:val="en-US"/>
              </w:rPr>
              <w:t>Budget</w:t>
            </w:r>
          </w:p>
        </w:tc>
      </w:tr>
      <w:tr w:rsidR="00352ED9" w:rsidRPr="00AB7D1E" w14:paraId="7067FF3A" w14:textId="77777777" w:rsidTr="00232AF5">
        <w:tc>
          <w:tcPr>
            <w:tcW w:w="966" w:type="pct"/>
          </w:tcPr>
          <w:p w14:paraId="0AC682A9" w14:textId="77777777" w:rsidR="00352ED9" w:rsidRPr="00AB7D1E" w:rsidRDefault="00352ED9" w:rsidP="00232AF5">
            <w:pPr>
              <w:rPr>
                <w:b/>
                <w:sz w:val="20"/>
                <w:szCs w:val="20"/>
                <w:lang w:val="en-US"/>
              </w:rPr>
            </w:pPr>
            <w:r w:rsidRPr="00AB7D1E">
              <w:rPr>
                <w:sz w:val="20"/>
                <w:szCs w:val="20"/>
                <w:lang w:val="en-US"/>
              </w:rPr>
              <w:t>General HCF operation – Environment</w:t>
            </w:r>
          </w:p>
        </w:tc>
        <w:tc>
          <w:tcPr>
            <w:tcW w:w="1182" w:type="pct"/>
          </w:tcPr>
          <w:p w14:paraId="7C8F3E2B" w14:textId="77777777" w:rsidR="00352ED9" w:rsidRPr="00AB7D1E" w:rsidRDefault="00352ED9" w:rsidP="00232AF5">
            <w:pPr>
              <w:rPr>
                <w:b/>
                <w:sz w:val="20"/>
                <w:szCs w:val="20"/>
                <w:lang w:val="en-US"/>
              </w:rPr>
            </w:pPr>
            <w:r w:rsidRPr="00AB7D1E">
              <w:rPr>
                <w:sz w:val="20"/>
                <w:szCs w:val="20"/>
                <w:lang w:val="en-US"/>
              </w:rPr>
              <w:t>General wastes, wastewater and air emissions</w:t>
            </w:r>
          </w:p>
        </w:tc>
        <w:tc>
          <w:tcPr>
            <w:tcW w:w="1001" w:type="pct"/>
          </w:tcPr>
          <w:p w14:paraId="1E510157" w14:textId="77777777" w:rsidR="00352ED9" w:rsidRPr="00AB7D1E" w:rsidRDefault="00352ED9" w:rsidP="00232AF5">
            <w:pPr>
              <w:rPr>
                <w:b/>
                <w:sz w:val="20"/>
                <w:szCs w:val="20"/>
                <w:lang w:val="en-US"/>
              </w:rPr>
            </w:pPr>
          </w:p>
        </w:tc>
        <w:tc>
          <w:tcPr>
            <w:tcW w:w="665" w:type="pct"/>
          </w:tcPr>
          <w:p w14:paraId="24AD3B0D" w14:textId="77777777" w:rsidR="00352ED9" w:rsidRPr="00AB7D1E" w:rsidRDefault="00352ED9" w:rsidP="00232AF5">
            <w:pPr>
              <w:rPr>
                <w:b/>
                <w:sz w:val="20"/>
                <w:szCs w:val="20"/>
                <w:lang w:val="en-US"/>
              </w:rPr>
            </w:pPr>
          </w:p>
        </w:tc>
        <w:tc>
          <w:tcPr>
            <w:tcW w:w="653" w:type="pct"/>
          </w:tcPr>
          <w:p w14:paraId="24BF3066" w14:textId="77777777" w:rsidR="00352ED9" w:rsidRPr="00AB7D1E" w:rsidRDefault="00352ED9" w:rsidP="00232AF5">
            <w:pPr>
              <w:rPr>
                <w:b/>
                <w:sz w:val="20"/>
                <w:szCs w:val="20"/>
                <w:lang w:val="en-US"/>
              </w:rPr>
            </w:pPr>
          </w:p>
        </w:tc>
        <w:tc>
          <w:tcPr>
            <w:tcW w:w="533" w:type="pct"/>
          </w:tcPr>
          <w:p w14:paraId="55B08841" w14:textId="77777777" w:rsidR="00352ED9" w:rsidRPr="00AB7D1E" w:rsidRDefault="00352ED9" w:rsidP="00232AF5">
            <w:pPr>
              <w:rPr>
                <w:b/>
                <w:sz w:val="20"/>
                <w:szCs w:val="20"/>
                <w:lang w:val="en-US"/>
              </w:rPr>
            </w:pPr>
          </w:p>
        </w:tc>
      </w:tr>
      <w:tr w:rsidR="00352ED9" w:rsidRPr="00AB7D1E" w14:paraId="114C8CC1" w14:textId="77777777" w:rsidTr="00232AF5">
        <w:tc>
          <w:tcPr>
            <w:tcW w:w="966" w:type="pct"/>
          </w:tcPr>
          <w:p w14:paraId="60B73733" w14:textId="77777777" w:rsidR="00352ED9" w:rsidRPr="00AB7D1E" w:rsidRDefault="00352ED9" w:rsidP="00232AF5">
            <w:pPr>
              <w:rPr>
                <w:b/>
                <w:sz w:val="20"/>
                <w:szCs w:val="20"/>
                <w:lang w:val="en-US"/>
              </w:rPr>
            </w:pPr>
            <w:r w:rsidRPr="00AB7D1E">
              <w:rPr>
                <w:sz w:val="20"/>
                <w:szCs w:val="20"/>
                <w:lang w:val="en-US"/>
              </w:rPr>
              <w:t>General HCF operation – OHS issues</w:t>
            </w:r>
          </w:p>
        </w:tc>
        <w:tc>
          <w:tcPr>
            <w:tcW w:w="1182" w:type="pct"/>
          </w:tcPr>
          <w:p w14:paraId="6FCD855A"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 xml:space="preserve">Physical hazards; </w:t>
            </w:r>
          </w:p>
          <w:p w14:paraId="3A81C821"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Electrical and explosive hazards;</w:t>
            </w:r>
          </w:p>
          <w:p w14:paraId="1FE76C56"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Fire;</w:t>
            </w:r>
          </w:p>
          <w:p w14:paraId="0C33EAA0"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Chemical use;</w:t>
            </w:r>
          </w:p>
          <w:p w14:paraId="3EBCA543"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Ergonomic hazard;</w:t>
            </w:r>
          </w:p>
          <w:p w14:paraId="661CCA76"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Radioactive hazard.</w:t>
            </w:r>
          </w:p>
        </w:tc>
        <w:tc>
          <w:tcPr>
            <w:tcW w:w="1001" w:type="pct"/>
          </w:tcPr>
          <w:p w14:paraId="799009E0" w14:textId="77777777" w:rsidR="00352ED9" w:rsidRPr="00AB7D1E" w:rsidRDefault="00352ED9" w:rsidP="00232AF5">
            <w:pPr>
              <w:rPr>
                <w:b/>
                <w:sz w:val="20"/>
                <w:szCs w:val="20"/>
                <w:lang w:val="en-US"/>
              </w:rPr>
            </w:pPr>
          </w:p>
        </w:tc>
        <w:tc>
          <w:tcPr>
            <w:tcW w:w="665" w:type="pct"/>
          </w:tcPr>
          <w:p w14:paraId="25D7BDA1" w14:textId="77777777" w:rsidR="00352ED9" w:rsidRPr="00AB7D1E" w:rsidRDefault="00352ED9" w:rsidP="00232AF5">
            <w:pPr>
              <w:rPr>
                <w:b/>
                <w:sz w:val="20"/>
                <w:szCs w:val="20"/>
                <w:lang w:val="en-US"/>
              </w:rPr>
            </w:pPr>
          </w:p>
        </w:tc>
        <w:tc>
          <w:tcPr>
            <w:tcW w:w="653" w:type="pct"/>
          </w:tcPr>
          <w:p w14:paraId="609288A7" w14:textId="77777777" w:rsidR="00352ED9" w:rsidRPr="00AB7D1E" w:rsidRDefault="00352ED9" w:rsidP="00232AF5">
            <w:pPr>
              <w:rPr>
                <w:b/>
                <w:sz w:val="20"/>
                <w:szCs w:val="20"/>
                <w:lang w:val="en-US"/>
              </w:rPr>
            </w:pPr>
          </w:p>
        </w:tc>
        <w:tc>
          <w:tcPr>
            <w:tcW w:w="533" w:type="pct"/>
          </w:tcPr>
          <w:p w14:paraId="70914D3A" w14:textId="77777777" w:rsidR="00352ED9" w:rsidRPr="00AB7D1E" w:rsidRDefault="00352ED9" w:rsidP="00232AF5">
            <w:pPr>
              <w:rPr>
                <w:b/>
                <w:sz w:val="20"/>
                <w:szCs w:val="20"/>
                <w:lang w:val="en-US"/>
              </w:rPr>
            </w:pPr>
          </w:p>
        </w:tc>
      </w:tr>
      <w:tr w:rsidR="00352ED9" w:rsidRPr="00AB7D1E" w14:paraId="3BBA5B9A" w14:textId="77777777" w:rsidTr="00232AF5">
        <w:tc>
          <w:tcPr>
            <w:tcW w:w="966" w:type="pct"/>
          </w:tcPr>
          <w:p w14:paraId="40C08422" w14:textId="77777777" w:rsidR="00352ED9" w:rsidRPr="00AB7D1E" w:rsidRDefault="00352ED9" w:rsidP="00232AF5">
            <w:pPr>
              <w:rPr>
                <w:b/>
                <w:sz w:val="20"/>
                <w:szCs w:val="20"/>
                <w:lang w:val="en-US"/>
              </w:rPr>
            </w:pPr>
            <w:r w:rsidRPr="00AB7D1E">
              <w:rPr>
                <w:sz w:val="20"/>
                <w:szCs w:val="20"/>
                <w:lang w:val="en-US"/>
              </w:rPr>
              <w:t>HCF operation - Infection control and waste management plan</w:t>
            </w:r>
          </w:p>
        </w:tc>
        <w:tc>
          <w:tcPr>
            <w:tcW w:w="1182" w:type="pct"/>
          </w:tcPr>
          <w:p w14:paraId="3499D2C9" w14:textId="77777777" w:rsidR="00352ED9" w:rsidRPr="00AB7D1E" w:rsidRDefault="00352ED9" w:rsidP="00232AF5">
            <w:pPr>
              <w:rPr>
                <w:b/>
                <w:sz w:val="20"/>
                <w:szCs w:val="20"/>
                <w:lang w:val="en-US"/>
              </w:rPr>
            </w:pPr>
          </w:p>
        </w:tc>
        <w:tc>
          <w:tcPr>
            <w:tcW w:w="1001" w:type="pct"/>
          </w:tcPr>
          <w:p w14:paraId="0C3838F9" w14:textId="77777777" w:rsidR="00352ED9" w:rsidRPr="00AB7D1E" w:rsidRDefault="00352ED9" w:rsidP="00232AF5">
            <w:pPr>
              <w:rPr>
                <w:b/>
                <w:sz w:val="20"/>
                <w:szCs w:val="20"/>
                <w:lang w:val="en-US"/>
              </w:rPr>
            </w:pPr>
          </w:p>
        </w:tc>
        <w:tc>
          <w:tcPr>
            <w:tcW w:w="665" w:type="pct"/>
          </w:tcPr>
          <w:p w14:paraId="63EE54AA" w14:textId="77777777" w:rsidR="00352ED9" w:rsidRPr="00AB7D1E" w:rsidRDefault="00352ED9" w:rsidP="00232AF5">
            <w:pPr>
              <w:rPr>
                <w:b/>
                <w:sz w:val="20"/>
                <w:szCs w:val="20"/>
                <w:lang w:val="en-US"/>
              </w:rPr>
            </w:pPr>
          </w:p>
        </w:tc>
        <w:tc>
          <w:tcPr>
            <w:tcW w:w="653" w:type="pct"/>
          </w:tcPr>
          <w:p w14:paraId="4932DE0A" w14:textId="77777777" w:rsidR="00352ED9" w:rsidRPr="00AB7D1E" w:rsidRDefault="00352ED9" w:rsidP="00232AF5">
            <w:pPr>
              <w:rPr>
                <w:b/>
                <w:sz w:val="20"/>
                <w:szCs w:val="20"/>
                <w:lang w:val="en-US"/>
              </w:rPr>
            </w:pPr>
          </w:p>
        </w:tc>
        <w:tc>
          <w:tcPr>
            <w:tcW w:w="533" w:type="pct"/>
          </w:tcPr>
          <w:p w14:paraId="3F7D0F22" w14:textId="77777777" w:rsidR="00352ED9" w:rsidRPr="00AB7D1E" w:rsidRDefault="00352ED9" w:rsidP="00232AF5">
            <w:pPr>
              <w:rPr>
                <w:b/>
                <w:sz w:val="20"/>
                <w:szCs w:val="20"/>
                <w:lang w:val="en-US"/>
              </w:rPr>
            </w:pPr>
          </w:p>
        </w:tc>
      </w:tr>
      <w:tr w:rsidR="00352ED9" w:rsidRPr="00AB7D1E" w14:paraId="35BEFACA" w14:textId="77777777" w:rsidTr="00232AF5">
        <w:tc>
          <w:tcPr>
            <w:tcW w:w="966" w:type="pct"/>
          </w:tcPr>
          <w:p w14:paraId="7758EB06" w14:textId="77777777" w:rsidR="00352ED9" w:rsidRPr="00AB7D1E" w:rsidRDefault="00352ED9" w:rsidP="00232AF5">
            <w:pPr>
              <w:rPr>
                <w:b/>
                <w:sz w:val="20"/>
                <w:szCs w:val="20"/>
                <w:lang w:val="en-US"/>
              </w:rPr>
            </w:pPr>
            <w:r w:rsidRPr="00AB7D1E">
              <w:rPr>
                <w:sz w:val="20"/>
                <w:szCs w:val="20"/>
                <w:lang w:val="en-US"/>
              </w:rPr>
              <w:t>Waste minimization, reuse and recycling</w:t>
            </w:r>
          </w:p>
        </w:tc>
        <w:tc>
          <w:tcPr>
            <w:tcW w:w="1182" w:type="pct"/>
          </w:tcPr>
          <w:p w14:paraId="293D3B58" w14:textId="77777777" w:rsidR="00352ED9" w:rsidRPr="00AB7D1E" w:rsidRDefault="00352ED9" w:rsidP="00232AF5">
            <w:pPr>
              <w:rPr>
                <w:b/>
                <w:sz w:val="20"/>
                <w:szCs w:val="20"/>
                <w:lang w:val="en-US"/>
              </w:rPr>
            </w:pPr>
          </w:p>
        </w:tc>
        <w:tc>
          <w:tcPr>
            <w:tcW w:w="1001" w:type="pct"/>
          </w:tcPr>
          <w:p w14:paraId="2D1A63AE" w14:textId="77777777" w:rsidR="00352ED9" w:rsidRPr="00AB7D1E" w:rsidRDefault="00352ED9" w:rsidP="00232AF5">
            <w:pPr>
              <w:rPr>
                <w:b/>
                <w:sz w:val="20"/>
                <w:szCs w:val="20"/>
                <w:lang w:val="en-US"/>
              </w:rPr>
            </w:pPr>
          </w:p>
        </w:tc>
        <w:tc>
          <w:tcPr>
            <w:tcW w:w="665" w:type="pct"/>
          </w:tcPr>
          <w:p w14:paraId="686ED357" w14:textId="77777777" w:rsidR="00352ED9" w:rsidRPr="00AB7D1E" w:rsidRDefault="00352ED9" w:rsidP="00232AF5">
            <w:pPr>
              <w:rPr>
                <w:b/>
                <w:sz w:val="20"/>
                <w:szCs w:val="20"/>
                <w:lang w:val="en-US"/>
              </w:rPr>
            </w:pPr>
          </w:p>
        </w:tc>
        <w:tc>
          <w:tcPr>
            <w:tcW w:w="653" w:type="pct"/>
          </w:tcPr>
          <w:p w14:paraId="7EAE953B" w14:textId="77777777" w:rsidR="00352ED9" w:rsidRPr="00AB7D1E" w:rsidRDefault="00352ED9" w:rsidP="00232AF5">
            <w:pPr>
              <w:rPr>
                <w:b/>
                <w:sz w:val="20"/>
                <w:szCs w:val="20"/>
                <w:lang w:val="en-US"/>
              </w:rPr>
            </w:pPr>
          </w:p>
        </w:tc>
        <w:tc>
          <w:tcPr>
            <w:tcW w:w="533" w:type="pct"/>
          </w:tcPr>
          <w:p w14:paraId="0A9FF677" w14:textId="77777777" w:rsidR="00352ED9" w:rsidRPr="00AB7D1E" w:rsidRDefault="00352ED9" w:rsidP="00232AF5">
            <w:pPr>
              <w:rPr>
                <w:b/>
                <w:sz w:val="20"/>
                <w:szCs w:val="20"/>
                <w:lang w:val="en-US"/>
              </w:rPr>
            </w:pPr>
          </w:p>
        </w:tc>
      </w:tr>
      <w:tr w:rsidR="00352ED9" w:rsidRPr="00AB7D1E" w14:paraId="1E54D404" w14:textId="77777777" w:rsidTr="00232AF5">
        <w:tc>
          <w:tcPr>
            <w:tcW w:w="966" w:type="pct"/>
          </w:tcPr>
          <w:p w14:paraId="7AA7DCC3" w14:textId="77777777" w:rsidR="00352ED9" w:rsidRPr="00AB7D1E" w:rsidRDefault="00352ED9" w:rsidP="00232AF5">
            <w:pPr>
              <w:rPr>
                <w:b/>
                <w:sz w:val="20"/>
                <w:szCs w:val="20"/>
                <w:lang w:val="en-US"/>
              </w:rPr>
            </w:pPr>
            <w:r w:rsidRPr="00AB7D1E">
              <w:rPr>
                <w:sz w:val="20"/>
                <w:szCs w:val="20"/>
                <w:lang w:val="en-US"/>
              </w:rPr>
              <w:t>Delivery and storage of specimen, samples, reagents, pharmaceuticals and medical supplies</w:t>
            </w:r>
          </w:p>
        </w:tc>
        <w:tc>
          <w:tcPr>
            <w:tcW w:w="1182" w:type="pct"/>
          </w:tcPr>
          <w:p w14:paraId="14CD2CB0" w14:textId="77777777" w:rsidR="00352ED9" w:rsidRPr="00AB7D1E" w:rsidRDefault="00352ED9" w:rsidP="00232AF5">
            <w:pPr>
              <w:rPr>
                <w:b/>
                <w:sz w:val="20"/>
                <w:szCs w:val="20"/>
                <w:lang w:val="en-US"/>
              </w:rPr>
            </w:pPr>
          </w:p>
        </w:tc>
        <w:tc>
          <w:tcPr>
            <w:tcW w:w="1001" w:type="pct"/>
          </w:tcPr>
          <w:p w14:paraId="1E381B8E" w14:textId="77777777" w:rsidR="00352ED9" w:rsidRPr="00AB7D1E" w:rsidRDefault="00352ED9" w:rsidP="00232AF5">
            <w:pPr>
              <w:rPr>
                <w:b/>
                <w:sz w:val="20"/>
                <w:szCs w:val="20"/>
                <w:lang w:val="en-US"/>
              </w:rPr>
            </w:pPr>
          </w:p>
        </w:tc>
        <w:tc>
          <w:tcPr>
            <w:tcW w:w="665" w:type="pct"/>
          </w:tcPr>
          <w:p w14:paraId="6985D23A" w14:textId="77777777" w:rsidR="00352ED9" w:rsidRPr="00AB7D1E" w:rsidRDefault="00352ED9" w:rsidP="00232AF5">
            <w:pPr>
              <w:rPr>
                <w:b/>
                <w:sz w:val="20"/>
                <w:szCs w:val="20"/>
                <w:lang w:val="en-US"/>
              </w:rPr>
            </w:pPr>
          </w:p>
        </w:tc>
        <w:tc>
          <w:tcPr>
            <w:tcW w:w="653" w:type="pct"/>
          </w:tcPr>
          <w:p w14:paraId="4DDEEB63" w14:textId="77777777" w:rsidR="00352ED9" w:rsidRPr="00AB7D1E" w:rsidRDefault="00352ED9" w:rsidP="00232AF5">
            <w:pPr>
              <w:rPr>
                <w:b/>
                <w:sz w:val="20"/>
                <w:szCs w:val="20"/>
                <w:lang w:val="en-US"/>
              </w:rPr>
            </w:pPr>
          </w:p>
        </w:tc>
        <w:tc>
          <w:tcPr>
            <w:tcW w:w="533" w:type="pct"/>
          </w:tcPr>
          <w:p w14:paraId="7BF91984" w14:textId="77777777" w:rsidR="00352ED9" w:rsidRPr="00AB7D1E" w:rsidRDefault="00352ED9" w:rsidP="00232AF5">
            <w:pPr>
              <w:rPr>
                <w:b/>
                <w:sz w:val="20"/>
                <w:szCs w:val="20"/>
                <w:lang w:val="en-US"/>
              </w:rPr>
            </w:pPr>
          </w:p>
        </w:tc>
      </w:tr>
      <w:tr w:rsidR="00352ED9" w:rsidRPr="00AB7D1E" w14:paraId="38C20139" w14:textId="77777777" w:rsidTr="00232AF5">
        <w:tc>
          <w:tcPr>
            <w:tcW w:w="966" w:type="pct"/>
          </w:tcPr>
          <w:p w14:paraId="3756690E" w14:textId="77777777" w:rsidR="00352ED9" w:rsidRPr="00AB7D1E" w:rsidRDefault="00352ED9" w:rsidP="00232AF5">
            <w:pPr>
              <w:rPr>
                <w:b/>
                <w:sz w:val="20"/>
                <w:szCs w:val="20"/>
                <w:lang w:val="en-US"/>
              </w:rPr>
            </w:pPr>
            <w:r w:rsidRPr="00AB7D1E">
              <w:rPr>
                <w:sz w:val="20"/>
                <w:szCs w:val="20"/>
                <w:lang w:val="en-US"/>
              </w:rPr>
              <w:t>Storage and handling of specimen, samples, reagents, and infectious materials</w:t>
            </w:r>
          </w:p>
        </w:tc>
        <w:tc>
          <w:tcPr>
            <w:tcW w:w="1182" w:type="pct"/>
          </w:tcPr>
          <w:p w14:paraId="0909227E" w14:textId="77777777" w:rsidR="00352ED9" w:rsidRPr="00AB7D1E" w:rsidRDefault="00352ED9" w:rsidP="00232AF5">
            <w:pPr>
              <w:rPr>
                <w:b/>
                <w:sz w:val="20"/>
                <w:szCs w:val="20"/>
                <w:lang w:val="en-US"/>
              </w:rPr>
            </w:pPr>
          </w:p>
        </w:tc>
        <w:tc>
          <w:tcPr>
            <w:tcW w:w="1001" w:type="pct"/>
          </w:tcPr>
          <w:p w14:paraId="3E7CFE89" w14:textId="77777777" w:rsidR="00352ED9" w:rsidRPr="00AB7D1E" w:rsidRDefault="00352ED9" w:rsidP="00232AF5">
            <w:pPr>
              <w:rPr>
                <w:b/>
                <w:sz w:val="20"/>
                <w:szCs w:val="20"/>
                <w:lang w:val="en-US"/>
              </w:rPr>
            </w:pPr>
          </w:p>
        </w:tc>
        <w:tc>
          <w:tcPr>
            <w:tcW w:w="665" w:type="pct"/>
          </w:tcPr>
          <w:p w14:paraId="5C3DA18A" w14:textId="77777777" w:rsidR="00352ED9" w:rsidRPr="00AB7D1E" w:rsidRDefault="00352ED9" w:rsidP="00232AF5">
            <w:pPr>
              <w:rPr>
                <w:b/>
                <w:sz w:val="20"/>
                <w:szCs w:val="20"/>
                <w:lang w:val="en-US"/>
              </w:rPr>
            </w:pPr>
          </w:p>
        </w:tc>
        <w:tc>
          <w:tcPr>
            <w:tcW w:w="653" w:type="pct"/>
          </w:tcPr>
          <w:p w14:paraId="436B07D2" w14:textId="77777777" w:rsidR="00352ED9" w:rsidRPr="00AB7D1E" w:rsidRDefault="00352ED9" w:rsidP="00232AF5">
            <w:pPr>
              <w:rPr>
                <w:b/>
                <w:sz w:val="20"/>
                <w:szCs w:val="20"/>
                <w:lang w:val="en-US"/>
              </w:rPr>
            </w:pPr>
          </w:p>
        </w:tc>
        <w:tc>
          <w:tcPr>
            <w:tcW w:w="533" w:type="pct"/>
          </w:tcPr>
          <w:p w14:paraId="7C17D136" w14:textId="77777777" w:rsidR="00352ED9" w:rsidRPr="00AB7D1E" w:rsidRDefault="00352ED9" w:rsidP="00232AF5">
            <w:pPr>
              <w:rPr>
                <w:b/>
                <w:sz w:val="20"/>
                <w:szCs w:val="20"/>
                <w:lang w:val="en-US"/>
              </w:rPr>
            </w:pPr>
          </w:p>
        </w:tc>
      </w:tr>
      <w:tr w:rsidR="00352ED9" w:rsidRPr="00AB7D1E" w14:paraId="547E946C" w14:textId="77777777" w:rsidTr="00232AF5">
        <w:tc>
          <w:tcPr>
            <w:tcW w:w="966" w:type="pct"/>
          </w:tcPr>
          <w:p w14:paraId="05B5C43F" w14:textId="77777777" w:rsidR="00352ED9" w:rsidRPr="00AB7D1E" w:rsidRDefault="00352ED9" w:rsidP="00232AF5">
            <w:pPr>
              <w:rPr>
                <w:b/>
                <w:sz w:val="20"/>
                <w:szCs w:val="20"/>
                <w:lang w:val="en-US"/>
              </w:rPr>
            </w:pPr>
            <w:r w:rsidRPr="00AB7D1E">
              <w:rPr>
                <w:sz w:val="20"/>
                <w:szCs w:val="20"/>
                <w:lang w:val="en-US"/>
              </w:rPr>
              <w:t xml:space="preserve">Waste segregation, packaging, </w:t>
            </w:r>
            <w:proofErr w:type="spellStart"/>
            <w:r w:rsidRPr="00AB7D1E">
              <w:rPr>
                <w:sz w:val="20"/>
                <w:szCs w:val="20"/>
                <w:lang w:val="en-US"/>
              </w:rPr>
              <w:t>colour</w:t>
            </w:r>
            <w:proofErr w:type="spellEnd"/>
            <w:r w:rsidRPr="00AB7D1E">
              <w:rPr>
                <w:sz w:val="20"/>
                <w:szCs w:val="20"/>
                <w:lang w:val="en-US"/>
              </w:rPr>
              <w:t xml:space="preserve"> coding and labelling</w:t>
            </w:r>
          </w:p>
        </w:tc>
        <w:tc>
          <w:tcPr>
            <w:tcW w:w="1182" w:type="pct"/>
          </w:tcPr>
          <w:p w14:paraId="293664E1" w14:textId="77777777" w:rsidR="00352ED9" w:rsidRPr="00AB7D1E" w:rsidRDefault="00352ED9" w:rsidP="00232AF5">
            <w:pPr>
              <w:rPr>
                <w:b/>
                <w:sz w:val="20"/>
                <w:szCs w:val="20"/>
                <w:lang w:val="en-US"/>
              </w:rPr>
            </w:pPr>
          </w:p>
        </w:tc>
        <w:tc>
          <w:tcPr>
            <w:tcW w:w="1001" w:type="pct"/>
          </w:tcPr>
          <w:p w14:paraId="26C8C3DD" w14:textId="77777777" w:rsidR="00352ED9" w:rsidRPr="00AB7D1E" w:rsidRDefault="00352ED9" w:rsidP="00232AF5">
            <w:pPr>
              <w:rPr>
                <w:b/>
                <w:sz w:val="20"/>
                <w:szCs w:val="20"/>
                <w:lang w:val="en-US"/>
              </w:rPr>
            </w:pPr>
          </w:p>
        </w:tc>
        <w:tc>
          <w:tcPr>
            <w:tcW w:w="665" w:type="pct"/>
          </w:tcPr>
          <w:p w14:paraId="7F0EAAA1" w14:textId="77777777" w:rsidR="00352ED9" w:rsidRPr="00AB7D1E" w:rsidRDefault="00352ED9" w:rsidP="00232AF5">
            <w:pPr>
              <w:rPr>
                <w:b/>
                <w:sz w:val="20"/>
                <w:szCs w:val="20"/>
                <w:lang w:val="en-US"/>
              </w:rPr>
            </w:pPr>
          </w:p>
        </w:tc>
        <w:tc>
          <w:tcPr>
            <w:tcW w:w="653" w:type="pct"/>
          </w:tcPr>
          <w:p w14:paraId="70B4EF47" w14:textId="77777777" w:rsidR="00352ED9" w:rsidRPr="00AB7D1E" w:rsidRDefault="00352ED9" w:rsidP="00232AF5">
            <w:pPr>
              <w:rPr>
                <w:b/>
                <w:sz w:val="20"/>
                <w:szCs w:val="20"/>
                <w:lang w:val="en-US"/>
              </w:rPr>
            </w:pPr>
          </w:p>
        </w:tc>
        <w:tc>
          <w:tcPr>
            <w:tcW w:w="533" w:type="pct"/>
          </w:tcPr>
          <w:p w14:paraId="684C5C52" w14:textId="77777777" w:rsidR="00352ED9" w:rsidRPr="00AB7D1E" w:rsidRDefault="00352ED9" w:rsidP="00232AF5">
            <w:pPr>
              <w:rPr>
                <w:b/>
                <w:sz w:val="20"/>
                <w:szCs w:val="20"/>
                <w:lang w:val="en-US"/>
              </w:rPr>
            </w:pPr>
          </w:p>
        </w:tc>
      </w:tr>
      <w:tr w:rsidR="00352ED9" w:rsidRPr="00AB7D1E" w14:paraId="340FDFB1" w14:textId="77777777" w:rsidTr="00232AF5">
        <w:tc>
          <w:tcPr>
            <w:tcW w:w="966" w:type="pct"/>
          </w:tcPr>
          <w:p w14:paraId="1710DCE3" w14:textId="77777777" w:rsidR="00352ED9" w:rsidRPr="00AB7D1E" w:rsidRDefault="00352ED9" w:rsidP="00232AF5">
            <w:pPr>
              <w:rPr>
                <w:sz w:val="20"/>
                <w:szCs w:val="20"/>
                <w:lang w:val="en-US"/>
              </w:rPr>
            </w:pPr>
            <w:r w:rsidRPr="00AB7D1E">
              <w:rPr>
                <w:sz w:val="20"/>
                <w:szCs w:val="20"/>
                <w:lang w:val="en-US"/>
              </w:rPr>
              <w:t>Onsite collection and transport</w:t>
            </w:r>
          </w:p>
        </w:tc>
        <w:tc>
          <w:tcPr>
            <w:tcW w:w="1182" w:type="pct"/>
          </w:tcPr>
          <w:p w14:paraId="7CF6A848" w14:textId="77777777" w:rsidR="00352ED9" w:rsidRPr="00AB7D1E" w:rsidRDefault="00352ED9" w:rsidP="00232AF5">
            <w:pPr>
              <w:rPr>
                <w:b/>
                <w:sz w:val="20"/>
                <w:szCs w:val="20"/>
                <w:lang w:val="en-US"/>
              </w:rPr>
            </w:pPr>
          </w:p>
        </w:tc>
        <w:tc>
          <w:tcPr>
            <w:tcW w:w="1001" w:type="pct"/>
          </w:tcPr>
          <w:p w14:paraId="1DA2DEB9" w14:textId="77777777" w:rsidR="00352ED9" w:rsidRPr="00AB7D1E" w:rsidRDefault="00352ED9" w:rsidP="00232AF5">
            <w:pPr>
              <w:rPr>
                <w:b/>
                <w:sz w:val="20"/>
                <w:szCs w:val="20"/>
                <w:lang w:val="en-US"/>
              </w:rPr>
            </w:pPr>
          </w:p>
        </w:tc>
        <w:tc>
          <w:tcPr>
            <w:tcW w:w="665" w:type="pct"/>
          </w:tcPr>
          <w:p w14:paraId="0C472FC2" w14:textId="77777777" w:rsidR="00352ED9" w:rsidRPr="00AB7D1E" w:rsidRDefault="00352ED9" w:rsidP="00232AF5">
            <w:pPr>
              <w:rPr>
                <w:b/>
                <w:sz w:val="20"/>
                <w:szCs w:val="20"/>
                <w:lang w:val="en-US"/>
              </w:rPr>
            </w:pPr>
          </w:p>
        </w:tc>
        <w:tc>
          <w:tcPr>
            <w:tcW w:w="653" w:type="pct"/>
          </w:tcPr>
          <w:p w14:paraId="21FFE312" w14:textId="77777777" w:rsidR="00352ED9" w:rsidRPr="00AB7D1E" w:rsidRDefault="00352ED9" w:rsidP="00232AF5">
            <w:pPr>
              <w:rPr>
                <w:b/>
                <w:sz w:val="20"/>
                <w:szCs w:val="20"/>
                <w:lang w:val="en-US"/>
              </w:rPr>
            </w:pPr>
          </w:p>
        </w:tc>
        <w:tc>
          <w:tcPr>
            <w:tcW w:w="533" w:type="pct"/>
          </w:tcPr>
          <w:p w14:paraId="70B6E8DA" w14:textId="77777777" w:rsidR="00352ED9" w:rsidRPr="00AB7D1E" w:rsidRDefault="00352ED9" w:rsidP="00232AF5">
            <w:pPr>
              <w:rPr>
                <w:b/>
                <w:sz w:val="20"/>
                <w:szCs w:val="20"/>
                <w:lang w:val="en-US"/>
              </w:rPr>
            </w:pPr>
          </w:p>
        </w:tc>
      </w:tr>
      <w:tr w:rsidR="00352ED9" w:rsidRPr="00AB7D1E" w14:paraId="7743D7DD" w14:textId="77777777" w:rsidTr="00232AF5">
        <w:tc>
          <w:tcPr>
            <w:tcW w:w="966" w:type="pct"/>
          </w:tcPr>
          <w:p w14:paraId="600563BD" w14:textId="77777777" w:rsidR="00352ED9" w:rsidRPr="00AB7D1E" w:rsidRDefault="00352ED9" w:rsidP="00232AF5">
            <w:pPr>
              <w:rPr>
                <w:sz w:val="20"/>
                <w:szCs w:val="20"/>
                <w:lang w:val="en-US"/>
              </w:rPr>
            </w:pPr>
            <w:r w:rsidRPr="00AB7D1E">
              <w:rPr>
                <w:sz w:val="20"/>
                <w:szCs w:val="20"/>
                <w:lang w:val="en-US"/>
              </w:rPr>
              <w:lastRenderedPageBreak/>
              <w:t>Waste storage</w:t>
            </w:r>
          </w:p>
        </w:tc>
        <w:tc>
          <w:tcPr>
            <w:tcW w:w="1182" w:type="pct"/>
          </w:tcPr>
          <w:p w14:paraId="49D02CB7" w14:textId="77777777" w:rsidR="00352ED9" w:rsidRPr="00AB7D1E" w:rsidRDefault="00352ED9" w:rsidP="00232AF5">
            <w:pPr>
              <w:rPr>
                <w:b/>
                <w:sz w:val="20"/>
                <w:szCs w:val="20"/>
                <w:lang w:val="en-US"/>
              </w:rPr>
            </w:pPr>
          </w:p>
        </w:tc>
        <w:tc>
          <w:tcPr>
            <w:tcW w:w="1001" w:type="pct"/>
          </w:tcPr>
          <w:p w14:paraId="52504744" w14:textId="77777777" w:rsidR="00352ED9" w:rsidRPr="00AB7D1E" w:rsidRDefault="00352ED9" w:rsidP="00232AF5">
            <w:pPr>
              <w:rPr>
                <w:b/>
                <w:sz w:val="20"/>
                <w:szCs w:val="20"/>
                <w:lang w:val="en-US"/>
              </w:rPr>
            </w:pPr>
          </w:p>
        </w:tc>
        <w:tc>
          <w:tcPr>
            <w:tcW w:w="665" w:type="pct"/>
          </w:tcPr>
          <w:p w14:paraId="6CCACCEC" w14:textId="77777777" w:rsidR="00352ED9" w:rsidRPr="00AB7D1E" w:rsidRDefault="00352ED9" w:rsidP="00232AF5">
            <w:pPr>
              <w:rPr>
                <w:b/>
                <w:sz w:val="20"/>
                <w:szCs w:val="20"/>
                <w:lang w:val="en-US"/>
              </w:rPr>
            </w:pPr>
          </w:p>
        </w:tc>
        <w:tc>
          <w:tcPr>
            <w:tcW w:w="653" w:type="pct"/>
          </w:tcPr>
          <w:p w14:paraId="3B24760B" w14:textId="77777777" w:rsidR="00352ED9" w:rsidRPr="00AB7D1E" w:rsidRDefault="00352ED9" w:rsidP="00232AF5">
            <w:pPr>
              <w:rPr>
                <w:b/>
                <w:sz w:val="20"/>
                <w:szCs w:val="20"/>
                <w:lang w:val="en-US"/>
              </w:rPr>
            </w:pPr>
          </w:p>
        </w:tc>
        <w:tc>
          <w:tcPr>
            <w:tcW w:w="533" w:type="pct"/>
          </w:tcPr>
          <w:p w14:paraId="00D144AA" w14:textId="77777777" w:rsidR="00352ED9" w:rsidRPr="00AB7D1E" w:rsidRDefault="00352ED9" w:rsidP="00232AF5">
            <w:pPr>
              <w:rPr>
                <w:b/>
                <w:sz w:val="20"/>
                <w:szCs w:val="20"/>
                <w:lang w:val="en-US"/>
              </w:rPr>
            </w:pPr>
          </w:p>
        </w:tc>
      </w:tr>
      <w:tr w:rsidR="00352ED9" w:rsidRPr="00AB7D1E" w14:paraId="7A2E7DA9" w14:textId="77777777" w:rsidTr="00232AF5">
        <w:tc>
          <w:tcPr>
            <w:tcW w:w="966" w:type="pct"/>
          </w:tcPr>
          <w:p w14:paraId="00BD3CA4" w14:textId="77777777" w:rsidR="00352ED9" w:rsidRPr="00AB7D1E" w:rsidRDefault="00352ED9" w:rsidP="00232AF5">
            <w:pPr>
              <w:rPr>
                <w:sz w:val="20"/>
                <w:szCs w:val="20"/>
                <w:lang w:val="en-US"/>
              </w:rPr>
            </w:pPr>
            <w:r w:rsidRPr="00AB7D1E">
              <w:rPr>
                <w:sz w:val="20"/>
                <w:szCs w:val="20"/>
                <w:lang w:val="en-US"/>
              </w:rPr>
              <w:t xml:space="preserve">Waste transportation to and disposal in offsite treatment and disposal facilities </w:t>
            </w:r>
          </w:p>
        </w:tc>
        <w:tc>
          <w:tcPr>
            <w:tcW w:w="1182" w:type="pct"/>
          </w:tcPr>
          <w:p w14:paraId="76CC0843" w14:textId="77777777" w:rsidR="00352ED9" w:rsidRPr="00AB7D1E" w:rsidRDefault="00352ED9" w:rsidP="00232AF5">
            <w:pPr>
              <w:rPr>
                <w:b/>
                <w:sz w:val="20"/>
                <w:szCs w:val="20"/>
                <w:lang w:val="en-US"/>
              </w:rPr>
            </w:pPr>
          </w:p>
        </w:tc>
        <w:tc>
          <w:tcPr>
            <w:tcW w:w="1001" w:type="pct"/>
          </w:tcPr>
          <w:p w14:paraId="0C65E463" w14:textId="77777777" w:rsidR="00352ED9" w:rsidRPr="00AB7D1E" w:rsidRDefault="00352ED9" w:rsidP="00232AF5">
            <w:pPr>
              <w:rPr>
                <w:b/>
                <w:sz w:val="20"/>
                <w:szCs w:val="20"/>
                <w:lang w:val="en-US"/>
              </w:rPr>
            </w:pPr>
          </w:p>
        </w:tc>
        <w:tc>
          <w:tcPr>
            <w:tcW w:w="665" w:type="pct"/>
          </w:tcPr>
          <w:p w14:paraId="3BF75426" w14:textId="77777777" w:rsidR="00352ED9" w:rsidRPr="00AB7D1E" w:rsidRDefault="00352ED9" w:rsidP="00232AF5">
            <w:pPr>
              <w:rPr>
                <w:b/>
                <w:sz w:val="20"/>
                <w:szCs w:val="20"/>
                <w:lang w:val="en-US"/>
              </w:rPr>
            </w:pPr>
          </w:p>
        </w:tc>
        <w:tc>
          <w:tcPr>
            <w:tcW w:w="653" w:type="pct"/>
          </w:tcPr>
          <w:p w14:paraId="1A6419C3" w14:textId="77777777" w:rsidR="00352ED9" w:rsidRPr="00AB7D1E" w:rsidRDefault="00352ED9" w:rsidP="00232AF5">
            <w:pPr>
              <w:rPr>
                <w:b/>
                <w:sz w:val="20"/>
                <w:szCs w:val="20"/>
                <w:lang w:val="en-US"/>
              </w:rPr>
            </w:pPr>
          </w:p>
        </w:tc>
        <w:tc>
          <w:tcPr>
            <w:tcW w:w="533" w:type="pct"/>
          </w:tcPr>
          <w:p w14:paraId="0D3D0D28" w14:textId="77777777" w:rsidR="00352ED9" w:rsidRPr="00AB7D1E" w:rsidRDefault="00352ED9" w:rsidP="00232AF5">
            <w:pPr>
              <w:rPr>
                <w:b/>
                <w:sz w:val="20"/>
                <w:szCs w:val="20"/>
                <w:lang w:val="en-US"/>
              </w:rPr>
            </w:pPr>
          </w:p>
        </w:tc>
      </w:tr>
      <w:tr w:rsidR="00352ED9" w:rsidRPr="00AB7D1E" w14:paraId="3EB35117" w14:textId="77777777" w:rsidTr="00232AF5">
        <w:tc>
          <w:tcPr>
            <w:tcW w:w="966" w:type="pct"/>
          </w:tcPr>
          <w:p w14:paraId="6497BD32" w14:textId="77777777" w:rsidR="00352ED9" w:rsidRPr="00AB7D1E" w:rsidRDefault="00352ED9" w:rsidP="00232AF5">
            <w:pPr>
              <w:rPr>
                <w:sz w:val="20"/>
                <w:szCs w:val="20"/>
                <w:lang w:val="en-US"/>
              </w:rPr>
            </w:pPr>
            <w:r w:rsidRPr="00AB7D1E">
              <w:rPr>
                <w:sz w:val="20"/>
                <w:szCs w:val="20"/>
                <w:lang w:val="en-US"/>
              </w:rPr>
              <w:t>HCF operation – transboundary movement of specimen, samples, reagents, medical equipment, and infectious materials</w:t>
            </w:r>
          </w:p>
        </w:tc>
        <w:tc>
          <w:tcPr>
            <w:tcW w:w="1182" w:type="pct"/>
          </w:tcPr>
          <w:p w14:paraId="2C420A4C" w14:textId="77777777" w:rsidR="00352ED9" w:rsidRPr="00AB7D1E" w:rsidRDefault="00352ED9" w:rsidP="00232AF5">
            <w:pPr>
              <w:rPr>
                <w:b/>
                <w:sz w:val="20"/>
                <w:szCs w:val="20"/>
                <w:lang w:val="en-US"/>
              </w:rPr>
            </w:pPr>
          </w:p>
        </w:tc>
        <w:tc>
          <w:tcPr>
            <w:tcW w:w="1001" w:type="pct"/>
          </w:tcPr>
          <w:p w14:paraId="7C91C4FF" w14:textId="77777777" w:rsidR="00352ED9" w:rsidRPr="00AB7D1E" w:rsidRDefault="00352ED9" w:rsidP="00232AF5">
            <w:pPr>
              <w:rPr>
                <w:b/>
                <w:sz w:val="20"/>
                <w:szCs w:val="20"/>
                <w:lang w:val="en-US"/>
              </w:rPr>
            </w:pPr>
          </w:p>
        </w:tc>
        <w:tc>
          <w:tcPr>
            <w:tcW w:w="665" w:type="pct"/>
          </w:tcPr>
          <w:p w14:paraId="7F3F5E19" w14:textId="77777777" w:rsidR="00352ED9" w:rsidRPr="00AB7D1E" w:rsidRDefault="00352ED9" w:rsidP="00232AF5">
            <w:pPr>
              <w:rPr>
                <w:b/>
                <w:sz w:val="20"/>
                <w:szCs w:val="20"/>
                <w:lang w:val="en-US"/>
              </w:rPr>
            </w:pPr>
          </w:p>
        </w:tc>
        <w:tc>
          <w:tcPr>
            <w:tcW w:w="653" w:type="pct"/>
          </w:tcPr>
          <w:p w14:paraId="3D09E1D7" w14:textId="77777777" w:rsidR="00352ED9" w:rsidRPr="00AB7D1E" w:rsidRDefault="00352ED9" w:rsidP="00232AF5">
            <w:pPr>
              <w:rPr>
                <w:b/>
                <w:sz w:val="20"/>
                <w:szCs w:val="20"/>
                <w:lang w:val="en-US"/>
              </w:rPr>
            </w:pPr>
          </w:p>
        </w:tc>
        <w:tc>
          <w:tcPr>
            <w:tcW w:w="533" w:type="pct"/>
          </w:tcPr>
          <w:p w14:paraId="3F29B937" w14:textId="77777777" w:rsidR="00352ED9" w:rsidRPr="00AB7D1E" w:rsidRDefault="00352ED9" w:rsidP="00232AF5">
            <w:pPr>
              <w:rPr>
                <w:b/>
                <w:sz w:val="20"/>
                <w:szCs w:val="20"/>
                <w:lang w:val="en-US"/>
              </w:rPr>
            </w:pPr>
          </w:p>
        </w:tc>
      </w:tr>
      <w:tr w:rsidR="00352ED9" w:rsidRPr="00AB7D1E" w14:paraId="2863B300" w14:textId="77777777" w:rsidTr="00232AF5">
        <w:tc>
          <w:tcPr>
            <w:tcW w:w="966" w:type="pct"/>
          </w:tcPr>
          <w:p w14:paraId="003ABE98" w14:textId="77777777" w:rsidR="00352ED9" w:rsidRPr="00AB7D1E" w:rsidRDefault="00352ED9" w:rsidP="00232AF5">
            <w:pPr>
              <w:rPr>
                <w:sz w:val="20"/>
                <w:szCs w:val="20"/>
                <w:lang w:val="en-US"/>
              </w:rPr>
            </w:pPr>
            <w:r w:rsidRPr="00AB7D1E">
              <w:rPr>
                <w:sz w:val="20"/>
                <w:szCs w:val="20"/>
                <w:lang w:val="en-US"/>
              </w:rPr>
              <w:t>Emergency events</w:t>
            </w:r>
          </w:p>
        </w:tc>
        <w:tc>
          <w:tcPr>
            <w:tcW w:w="1182" w:type="pct"/>
          </w:tcPr>
          <w:p w14:paraId="68AE7B86"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Spillage;</w:t>
            </w:r>
          </w:p>
          <w:p w14:paraId="08C5A744"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Occupational exposure to infectious;</w:t>
            </w:r>
          </w:p>
          <w:p w14:paraId="21AE8690"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Exposure to radiation;</w:t>
            </w:r>
          </w:p>
          <w:p w14:paraId="3F6D1841"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Accidental releases of infectious or hazardous substances to the environment;</w:t>
            </w:r>
          </w:p>
          <w:p w14:paraId="57485C90"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Medical equipment failure;</w:t>
            </w:r>
          </w:p>
          <w:p w14:paraId="0E13F02F"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Failure of solid waste and wastewater treatment facilities;</w:t>
            </w:r>
          </w:p>
          <w:p w14:paraId="2DF1F5D2"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Fire;</w:t>
            </w:r>
          </w:p>
          <w:p w14:paraId="36703C5A" w14:textId="77777777" w:rsidR="00352ED9" w:rsidRPr="00AB7D1E" w:rsidRDefault="00352ED9" w:rsidP="00BE60A0">
            <w:pPr>
              <w:pStyle w:val="ListParagraph"/>
              <w:numPr>
                <w:ilvl w:val="0"/>
                <w:numId w:val="62"/>
              </w:numPr>
              <w:suppressAutoHyphens w:val="0"/>
              <w:spacing w:before="0" w:after="0" w:line="240" w:lineRule="auto"/>
              <w:contextualSpacing/>
              <w:jc w:val="left"/>
              <w:rPr>
                <w:sz w:val="20"/>
                <w:szCs w:val="20"/>
                <w:lang w:val="en-US"/>
              </w:rPr>
            </w:pPr>
            <w:r w:rsidRPr="00AB7D1E">
              <w:rPr>
                <w:sz w:val="20"/>
                <w:szCs w:val="20"/>
                <w:lang w:val="en-US"/>
              </w:rPr>
              <w:t>Other emergent events</w:t>
            </w:r>
          </w:p>
        </w:tc>
        <w:tc>
          <w:tcPr>
            <w:tcW w:w="1001" w:type="pct"/>
          </w:tcPr>
          <w:p w14:paraId="0AC811FB" w14:textId="77777777" w:rsidR="00352ED9" w:rsidRPr="00AB7D1E" w:rsidRDefault="00352ED9" w:rsidP="00232AF5">
            <w:pPr>
              <w:rPr>
                <w:b/>
                <w:sz w:val="20"/>
                <w:szCs w:val="20"/>
                <w:lang w:val="en-US"/>
              </w:rPr>
            </w:pPr>
          </w:p>
        </w:tc>
        <w:tc>
          <w:tcPr>
            <w:tcW w:w="665" w:type="pct"/>
          </w:tcPr>
          <w:p w14:paraId="38667006" w14:textId="77777777" w:rsidR="00352ED9" w:rsidRPr="00AB7D1E" w:rsidRDefault="00352ED9" w:rsidP="00232AF5">
            <w:pPr>
              <w:rPr>
                <w:b/>
                <w:sz w:val="20"/>
                <w:szCs w:val="20"/>
                <w:lang w:val="en-US"/>
              </w:rPr>
            </w:pPr>
          </w:p>
        </w:tc>
        <w:tc>
          <w:tcPr>
            <w:tcW w:w="653" w:type="pct"/>
          </w:tcPr>
          <w:p w14:paraId="4CE4659A" w14:textId="77777777" w:rsidR="00352ED9" w:rsidRPr="00AB7D1E" w:rsidRDefault="00352ED9" w:rsidP="00232AF5">
            <w:pPr>
              <w:rPr>
                <w:b/>
                <w:sz w:val="20"/>
                <w:szCs w:val="20"/>
                <w:lang w:val="en-US"/>
              </w:rPr>
            </w:pPr>
          </w:p>
        </w:tc>
        <w:tc>
          <w:tcPr>
            <w:tcW w:w="533" w:type="pct"/>
          </w:tcPr>
          <w:p w14:paraId="711AB376" w14:textId="77777777" w:rsidR="00352ED9" w:rsidRPr="00AB7D1E" w:rsidRDefault="00352ED9" w:rsidP="00232AF5">
            <w:pPr>
              <w:rPr>
                <w:b/>
                <w:sz w:val="20"/>
                <w:szCs w:val="20"/>
                <w:lang w:val="en-US"/>
              </w:rPr>
            </w:pPr>
          </w:p>
        </w:tc>
      </w:tr>
      <w:tr w:rsidR="00352ED9" w:rsidRPr="00AB7D1E" w14:paraId="4AF47958" w14:textId="77777777" w:rsidTr="00232AF5">
        <w:tc>
          <w:tcPr>
            <w:tcW w:w="966" w:type="pct"/>
          </w:tcPr>
          <w:p w14:paraId="13D6C7AB" w14:textId="77777777" w:rsidR="00352ED9" w:rsidRPr="00AB7D1E" w:rsidRDefault="00352ED9" w:rsidP="00232AF5">
            <w:pPr>
              <w:rPr>
                <w:sz w:val="20"/>
                <w:szCs w:val="20"/>
                <w:lang w:val="en-US"/>
              </w:rPr>
            </w:pPr>
            <w:r w:rsidRPr="00AB7D1E">
              <w:rPr>
                <w:sz w:val="20"/>
                <w:szCs w:val="20"/>
                <w:lang w:val="en-US"/>
              </w:rPr>
              <w:t>Operation of acquired assets for holding potential COVID-19 patients</w:t>
            </w:r>
          </w:p>
        </w:tc>
        <w:tc>
          <w:tcPr>
            <w:tcW w:w="1182" w:type="pct"/>
          </w:tcPr>
          <w:p w14:paraId="31B6953B" w14:textId="77777777" w:rsidR="00352ED9" w:rsidRPr="00AB7D1E" w:rsidRDefault="00352ED9" w:rsidP="00232AF5">
            <w:pPr>
              <w:pStyle w:val="ListParagraph"/>
              <w:ind w:left="360"/>
              <w:rPr>
                <w:sz w:val="20"/>
                <w:szCs w:val="20"/>
                <w:lang w:val="en-US"/>
              </w:rPr>
            </w:pPr>
          </w:p>
        </w:tc>
        <w:tc>
          <w:tcPr>
            <w:tcW w:w="1001" w:type="pct"/>
          </w:tcPr>
          <w:p w14:paraId="4487D56B" w14:textId="77777777" w:rsidR="00352ED9" w:rsidRPr="00AB7D1E" w:rsidRDefault="00352ED9" w:rsidP="00232AF5">
            <w:pPr>
              <w:rPr>
                <w:sz w:val="20"/>
                <w:szCs w:val="20"/>
                <w:lang w:val="en-US"/>
              </w:rPr>
            </w:pPr>
          </w:p>
        </w:tc>
        <w:tc>
          <w:tcPr>
            <w:tcW w:w="665" w:type="pct"/>
          </w:tcPr>
          <w:p w14:paraId="2A1353AC" w14:textId="77777777" w:rsidR="00352ED9" w:rsidRPr="00AB7D1E" w:rsidRDefault="00352ED9" w:rsidP="00232AF5">
            <w:pPr>
              <w:rPr>
                <w:b/>
                <w:sz w:val="20"/>
                <w:szCs w:val="20"/>
                <w:lang w:val="en-US"/>
              </w:rPr>
            </w:pPr>
          </w:p>
        </w:tc>
        <w:tc>
          <w:tcPr>
            <w:tcW w:w="653" w:type="pct"/>
          </w:tcPr>
          <w:p w14:paraId="427DB33E" w14:textId="77777777" w:rsidR="00352ED9" w:rsidRPr="00AB7D1E" w:rsidRDefault="00352ED9" w:rsidP="00232AF5">
            <w:pPr>
              <w:rPr>
                <w:b/>
                <w:sz w:val="20"/>
                <w:szCs w:val="20"/>
                <w:lang w:val="en-US"/>
              </w:rPr>
            </w:pPr>
          </w:p>
        </w:tc>
        <w:tc>
          <w:tcPr>
            <w:tcW w:w="533" w:type="pct"/>
          </w:tcPr>
          <w:p w14:paraId="6B522F7B" w14:textId="77777777" w:rsidR="00352ED9" w:rsidRPr="00AB7D1E" w:rsidRDefault="00352ED9" w:rsidP="00232AF5">
            <w:pPr>
              <w:rPr>
                <w:b/>
                <w:sz w:val="20"/>
                <w:szCs w:val="20"/>
                <w:lang w:val="en-US"/>
              </w:rPr>
            </w:pPr>
          </w:p>
        </w:tc>
      </w:tr>
      <w:tr w:rsidR="00352ED9" w:rsidRPr="00AB7D1E" w14:paraId="40405B0B" w14:textId="77777777" w:rsidTr="00232AF5">
        <w:tc>
          <w:tcPr>
            <w:tcW w:w="966" w:type="pct"/>
          </w:tcPr>
          <w:p w14:paraId="1FE001F5" w14:textId="77777777" w:rsidR="00352ED9" w:rsidRPr="00AB7D1E" w:rsidRDefault="00352ED9" w:rsidP="00232AF5">
            <w:pPr>
              <w:rPr>
                <w:sz w:val="20"/>
                <w:szCs w:val="20"/>
                <w:lang w:val="en-US"/>
              </w:rPr>
            </w:pPr>
            <w:r w:rsidRPr="00AB7D1E">
              <w:rPr>
                <w:i/>
                <w:sz w:val="20"/>
                <w:szCs w:val="20"/>
                <w:lang w:val="en-US"/>
              </w:rPr>
              <w:t>To be expanded</w:t>
            </w:r>
          </w:p>
        </w:tc>
        <w:tc>
          <w:tcPr>
            <w:tcW w:w="1182" w:type="pct"/>
          </w:tcPr>
          <w:p w14:paraId="6FB7D770" w14:textId="77777777" w:rsidR="00352ED9" w:rsidRPr="00AB7D1E" w:rsidRDefault="00352ED9" w:rsidP="00232AF5">
            <w:pPr>
              <w:pStyle w:val="ListParagraph"/>
              <w:ind w:left="360"/>
              <w:rPr>
                <w:sz w:val="20"/>
                <w:szCs w:val="20"/>
                <w:lang w:val="en-US"/>
              </w:rPr>
            </w:pPr>
          </w:p>
        </w:tc>
        <w:tc>
          <w:tcPr>
            <w:tcW w:w="1001" w:type="pct"/>
          </w:tcPr>
          <w:p w14:paraId="7AD0CFCE" w14:textId="77777777" w:rsidR="00352ED9" w:rsidRPr="00AB7D1E" w:rsidRDefault="00352ED9" w:rsidP="00232AF5">
            <w:pPr>
              <w:rPr>
                <w:sz w:val="20"/>
                <w:szCs w:val="20"/>
                <w:lang w:val="en-US"/>
              </w:rPr>
            </w:pPr>
          </w:p>
        </w:tc>
        <w:tc>
          <w:tcPr>
            <w:tcW w:w="665" w:type="pct"/>
          </w:tcPr>
          <w:p w14:paraId="37C1163C" w14:textId="77777777" w:rsidR="00352ED9" w:rsidRPr="00AB7D1E" w:rsidRDefault="00352ED9" w:rsidP="00232AF5">
            <w:pPr>
              <w:rPr>
                <w:b/>
                <w:sz w:val="20"/>
                <w:szCs w:val="20"/>
                <w:lang w:val="en-US"/>
              </w:rPr>
            </w:pPr>
          </w:p>
        </w:tc>
        <w:tc>
          <w:tcPr>
            <w:tcW w:w="653" w:type="pct"/>
          </w:tcPr>
          <w:p w14:paraId="057ED424" w14:textId="77777777" w:rsidR="00352ED9" w:rsidRPr="00AB7D1E" w:rsidRDefault="00352ED9" w:rsidP="00232AF5">
            <w:pPr>
              <w:rPr>
                <w:b/>
                <w:sz w:val="20"/>
                <w:szCs w:val="20"/>
                <w:lang w:val="en-US"/>
              </w:rPr>
            </w:pPr>
          </w:p>
        </w:tc>
        <w:tc>
          <w:tcPr>
            <w:tcW w:w="533" w:type="pct"/>
          </w:tcPr>
          <w:p w14:paraId="6D9D2279" w14:textId="77777777" w:rsidR="00352ED9" w:rsidRPr="00AB7D1E" w:rsidRDefault="00352ED9" w:rsidP="00232AF5">
            <w:pPr>
              <w:rPr>
                <w:b/>
                <w:sz w:val="20"/>
                <w:szCs w:val="20"/>
                <w:lang w:val="en-US"/>
              </w:rPr>
            </w:pPr>
          </w:p>
        </w:tc>
      </w:tr>
    </w:tbl>
    <w:p w14:paraId="7FF17BCD" w14:textId="77777777" w:rsidR="00352ED9" w:rsidRPr="00AB7D1E" w:rsidRDefault="00352ED9" w:rsidP="00352ED9">
      <w:pPr>
        <w:suppressAutoHyphens w:val="0"/>
        <w:spacing w:before="0" w:after="160" w:line="256" w:lineRule="auto"/>
        <w:jc w:val="left"/>
        <w:rPr>
          <w:lang w:val="en-US"/>
        </w:rPr>
      </w:pPr>
    </w:p>
    <w:p w14:paraId="6E275A43" w14:textId="77777777" w:rsidR="00352ED9" w:rsidRPr="00AB7D1E" w:rsidRDefault="00352ED9" w:rsidP="00352ED9">
      <w:pPr>
        <w:suppressAutoHyphens w:val="0"/>
        <w:spacing w:before="0" w:after="160" w:line="256" w:lineRule="auto"/>
        <w:jc w:val="left"/>
        <w:rPr>
          <w:lang w:val="en-US"/>
        </w:rPr>
      </w:pPr>
      <w:r w:rsidRPr="00AB7D1E">
        <w:rPr>
          <w:lang w:val="en-US"/>
        </w:rPr>
        <w:br w:type="page"/>
      </w:r>
    </w:p>
    <w:p w14:paraId="392940A6" w14:textId="77777777" w:rsidR="00352ED9" w:rsidRPr="00AB7D1E" w:rsidRDefault="00352ED9" w:rsidP="005A563A">
      <w:pPr>
        <w:pStyle w:val="Heading2"/>
        <w:numPr>
          <w:ilvl w:val="0"/>
          <w:numId w:val="0"/>
        </w:numPr>
        <w:ind w:left="576" w:hanging="576"/>
        <w:rPr>
          <w:lang w:val="en-US"/>
        </w:rPr>
        <w:sectPr w:rsidR="00352ED9" w:rsidRPr="00AB7D1E" w:rsidSect="00352ED9">
          <w:pgSz w:w="16838" w:h="11906" w:orient="landscape"/>
          <w:pgMar w:top="1440" w:right="1440" w:bottom="1440" w:left="1440" w:header="720" w:footer="720" w:gutter="0"/>
          <w:cols w:space="720"/>
        </w:sectPr>
      </w:pPr>
    </w:p>
    <w:p w14:paraId="13152B31" w14:textId="16369203" w:rsidR="00740A8E" w:rsidRPr="00740A8E" w:rsidRDefault="007D4FEA" w:rsidP="007F2256">
      <w:pPr>
        <w:pStyle w:val="Heading1"/>
        <w:numPr>
          <w:ilvl w:val="0"/>
          <w:numId w:val="0"/>
        </w:numPr>
        <w:ind w:left="432" w:hanging="432"/>
        <w:rPr>
          <w:lang w:val="en-US"/>
        </w:rPr>
      </w:pPr>
      <w:bookmarkStart w:id="290" w:name="_Toc56952330"/>
      <w:bookmarkStart w:id="291" w:name="_Toc56954095"/>
      <w:bookmarkStart w:id="292" w:name="_Hlk51767707"/>
      <w:r>
        <w:lastRenderedPageBreak/>
        <w:t xml:space="preserve">ANNEX </w:t>
      </w:r>
      <w:fldSimple w:instr=" SEQ ANNEX \* ROMAN ">
        <w:r w:rsidR="007D1E1B">
          <w:rPr>
            <w:noProof/>
          </w:rPr>
          <w:t>XII</w:t>
        </w:r>
      </w:fldSimple>
      <w:r>
        <w:t xml:space="preserve"> </w:t>
      </w:r>
      <w:r w:rsidR="00740A8E" w:rsidRPr="00AB7D1E">
        <w:rPr>
          <w:lang w:val="en-US"/>
        </w:rPr>
        <w:t xml:space="preserve"> – </w:t>
      </w:r>
      <w:r w:rsidR="00740A8E">
        <w:t>ESF/SAFEGUARDS INTERIM NOTE</w:t>
      </w:r>
      <w:bookmarkEnd w:id="290"/>
      <w:bookmarkEnd w:id="291"/>
      <w:r w:rsidR="00740A8E">
        <w:t xml:space="preserve"> </w:t>
      </w:r>
    </w:p>
    <w:p w14:paraId="2E26BA76" w14:textId="77777777" w:rsidR="00740A8E" w:rsidRDefault="00740A8E" w:rsidP="00740A8E">
      <w:r>
        <w:t xml:space="preserve">COVID-19 CONSIDERATIONS IN CONSTRUCTION/CIVIL WORKS PROJECTS </w:t>
      </w:r>
    </w:p>
    <w:p w14:paraId="4CBF9F0C" w14:textId="1ECC1B88" w:rsidR="00740A8E" w:rsidRDefault="00740A8E" w:rsidP="00740A8E">
      <w:proofErr w:type="spellStart"/>
      <w:r>
        <w:t>This</w:t>
      </w:r>
      <w:proofErr w:type="spellEnd"/>
      <w:r>
        <w:t xml:space="preserve"> note </w:t>
      </w:r>
      <w:proofErr w:type="spellStart"/>
      <w:r>
        <w:t>was</w:t>
      </w:r>
      <w:proofErr w:type="spellEnd"/>
      <w:r>
        <w:t xml:space="preserve"> </w:t>
      </w:r>
      <w:proofErr w:type="spellStart"/>
      <w:r>
        <w:t>issued</w:t>
      </w:r>
      <w:proofErr w:type="spellEnd"/>
      <w:r>
        <w:t xml:space="preserve"> on April 7, 2020 </w:t>
      </w:r>
      <w:proofErr w:type="spellStart"/>
      <w:r>
        <w:t>and</w:t>
      </w:r>
      <w:proofErr w:type="spellEnd"/>
      <w:r>
        <w:t xml:space="preserve"> </w:t>
      </w:r>
      <w:proofErr w:type="spellStart"/>
      <w:r>
        <w:t>includes</w:t>
      </w:r>
      <w:proofErr w:type="spellEnd"/>
      <w:r>
        <w:t xml:space="preserve"> </w:t>
      </w:r>
      <w:proofErr w:type="spellStart"/>
      <w:r>
        <w:t>links</w:t>
      </w:r>
      <w:proofErr w:type="spellEnd"/>
      <w:r>
        <w:t xml:space="preserve"> to </w:t>
      </w:r>
      <w:proofErr w:type="spellStart"/>
      <w:r>
        <w:t>the</w:t>
      </w:r>
      <w:proofErr w:type="spellEnd"/>
      <w:r>
        <w:t xml:space="preserve"> </w:t>
      </w:r>
      <w:proofErr w:type="spellStart"/>
      <w:r>
        <w:t>latest</w:t>
      </w:r>
      <w:proofErr w:type="spellEnd"/>
      <w:r>
        <w:t xml:space="preserve"> </w:t>
      </w:r>
      <w:proofErr w:type="spellStart"/>
      <w:r>
        <w:t>guidance</w:t>
      </w:r>
      <w:proofErr w:type="spellEnd"/>
      <w:r>
        <w:t xml:space="preserve"> as </w:t>
      </w:r>
      <w:proofErr w:type="spellStart"/>
      <w:r>
        <w:t>of</w:t>
      </w:r>
      <w:proofErr w:type="spellEnd"/>
      <w:r>
        <w:t xml:space="preserve"> </w:t>
      </w:r>
      <w:proofErr w:type="spellStart"/>
      <w:r>
        <w:t>this</w:t>
      </w:r>
      <w:proofErr w:type="spellEnd"/>
      <w:r>
        <w:t xml:space="preserve"> date (</w:t>
      </w:r>
      <w:proofErr w:type="spellStart"/>
      <w:r>
        <w:t>e.g</w:t>
      </w:r>
      <w:proofErr w:type="spellEnd"/>
      <w:r>
        <w:t xml:space="preserve">. </w:t>
      </w:r>
      <w:proofErr w:type="spellStart"/>
      <w:r>
        <w:t>from</w:t>
      </w:r>
      <w:proofErr w:type="spellEnd"/>
      <w:r>
        <w:t xml:space="preserve"> WHO). </w:t>
      </w:r>
      <w:proofErr w:type="spellStart"/>
      <w:r>
        <w:t>Given</w:t>
      </w:r>
      <w:proofErr w:type="spellEnd"/>
      <w:r>
        <w:t xml:space="preserve"> </w:t>
      </w:r>
      <w:proofErr w:type="spellStart"/>
      <w:r>
        <w:t>the</w:t>
      </w:r>
      <w:proofErr w:type="spellEnd"/>
      <w:r>
        <w:t xml:space="preserve"> COVID-19 </w:t>
      </w:r>
      <w:proofErr w:type="spellStart"/>
      <w:r>
        <w:t>situation</w:t>
      </w:r>
      <w:proofErr w:type="spellEnd"/>
      <w:r>
        <w:t xml:space="preserve"> </w:t>
      </w:r>
      <w:proofErr w:type="spellStart"/>
      <w:r>
        <w:t>is</w:t>
      </w:r>
      <w:proofErr w:type="spellEnd"/>
      <w:r>
        <w:t xml:space="preserve"> </w:t>
      </w:r>
      <w:proofErr w:type="spellStart"/>
      <w:r>
        <w:t>rapidly</w:t>
      </w:r>
      <w:proofErr w:type="spellEnd"/>
      <w:r>
        <w:t xml:space="preserve"> </w:t>
      </w:r>
      <w:proofErr w:type="spellStart"/>
      <w:r>
        <w:t>evolving</w:t>
      </w:r>
      <w:proofErr w:type="spellEnd"/>
      <w:r>
        <w:t xml:space="preserve">, </w:t>
      </w:r>
      <w:proofErr w:type="spellStart"/>
      <w:r>
        <w:t>when</w:t>
      </w:r>
      <w:proofErr w:type="spellEnd"/>
      <w:r>
        <w:t xml:space="preserve"> </w:t>
      </w:r>
      <w:proofErr w:type="spellStart"/>
      <w:r>
        <w:t>using</w:t>
      </w:r>
      <w:proofErr w:type="spellEnd"/>
      <w:r>
        <w:t xml:space="preserve"> </w:t>
      </w:r>
      <w:proofErr w:type="spellStart"/>
      <w:r>
        <w:t>this</w:t>
      </w:r>
      <w:proofErr w:type="spellEnd"/>
      <w:r>
        <w:t xml:space="preserve"> note </w:t>
      </w:r>
      <w:proofErr w:type="spellStart"/>
      <w:r>
        <w:t>it</w:t>
      </w:r>
      <w:proofErr w:type="spellEnd"/>
      <w:r>
        <w:t xml:space="preserve"> </w:t>
      </w:r>
      <w:proofErr w:type="spellStart"/>
      <w:r>
        <w:t>is</w:t>
      </w:r>
      <w:proofErr w:type="spellEnd"/>
      <w:r>
        <w:t xml:space="preserve"> </w:t>
      </w:r>
      <w:proofErr w:type="spellStart"/>
      <w:r>
        <w:t>important</w:t>
      </w:r>
      <w:proofErr w:type="spellEnd"/>
      <w:r>
        <w:t xml:space="preserve"> to </w:t>
      </w:r>
      <w:proofErr w:type="spellStart"/>
      <w:r>
        <w:t>check</w:t>
      </w:r>
      <w:proofErr w:type="spellEnd"/>
      <w:r>
        <w:t xml:space="preserve"> </w:t>
      </w:r>
      <w:proofErr w:type="spellStart"/>
      <w:r>
        <w:t>whether</w:t>
      </w:r>
      <w:proofErr w:type="spellEnd"/>
      <w:r>
        <w:t xml:space="preserve"> </w:t>
      </w:r>
      <w:proofErr w:type="spellStart"/>
      <w:r>
        <w:t>any</w:t>
      </w:r>
      <w:proofErr w:type="spellEnd"/>
      <w:r>
        <w:t xml:space="preserve"> </w:t>
      </w:r>
      <w:proofErr w:type="spellStart"/>
      <w:r>
        <w:t>updates</w:t>
      </w:r>
      <w:proofErr w:type="spellEnd"/>
      <w:r>
        <w:t xml:space="preserve"> to </w:t>
      </w:r>
      <w:proofErr w:type="spellStart"/>
      <w:r>
        <w:t>these</w:t>
      </w:r>
      <w:proofErr w:type="spellEnd"/>
      <w:r>
        <w:t xml:space="preserve"> </w:t>
      </w:r>
      <w:proofErr w:type="spellStart"/>
      <w:r>
        <w:t>external</w:t>
      </w:r>
      <w:proofErr w:type="spellEnd"/>
      <w:r>
        <w:t xml:space="preserve"> </w:t>
      </w:r>
      <w:proofErr w:type="spellStart"/>
      <w:r>
        <w:t>resources</w:t>
      </w:r>
      <w:proofErr w:type="spellEnd"/>
      <w:r>
        <w:t xml:space="preserve"> </w:t>
      </w:r>
      <w:proofErr w:type="spellStart"/>
      <w:r>
        <w:t>have</w:t>
      </w:r>
      <w:proofErr w:type="spellEnd"/>
      <w:r>
        <w:t xml:space="preserve"> </w:t>
      </w:r>
      <w:proofErr w:type="spellStart"/>
      <w:r>
        <w:t>been</w:t>
      </w:r>
      <w:proofErr w:type="spellEnd"/>
      <w:r>
        <w:t xml:space="preserve"> </w:t>
      </w:r>
      <w:proofErr w:type="spellStart"/>
      <w:r>
        <w:t>issued</w:t>
      </w:r>
      <w:proofErr w:type="spellEnd"/>
      <w:r>
        <w:t>.</w:t>
      </w:r>
    </w:p>
    <w:bookmarkEnd w:id="292"/>
    <w:p w14:paraId="5D386DF3" w14:textId="6C9627F4"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color w:val="000000"/>
          <w:lang w:val="en-GB"/>
        </w:rPr>
      </w:pPr>
      <w:r w:rsidRPr="00E537E0">
        <w:rPr>
          <w:rFonts w:ascii="Calibri" w:hAnsi="Calibri" w:cs="Calibri"/>
          <w:b/>
          <w:bCs/>
          <w:color w:val="000000"/>
          <w:lang w:val="en-GB"/>
        </w:rPr>
        <w:t xml:space="preserve">INTRODUCTION </w:t>
      </w:r>
    </w:p>
    <w:p w14:paraId="58DEF4CB" w14:textId="77777777" w:rsidR="00740A8E" w:rsidRPr="00E537E0" w:rsidRDefault="00740A8E" w:rsidP="00E537E0">
      <w:proofErr w:type="spellStart"/>
      <w:r w:rsidRPr="00E537E0">
        <w:t>The</w:t>
      </w:r>
      <w:proofErr w:type="spellEnd"/>
      <w:r w:rsidRPr="00E537E0">
        <w:t xml:space="preserve"> COVID-19 </w:t>
      </w:r>
      <w:proofErr w:type="spellStart"/>
      <w:r w:rsidRPr="00E537E0">
        <w:t>pandemic</w:t>
      </w:r>
      <w:proofErr w:type="spellEnd"/>
      <w:r w:rsidRPr="00E537E0">
        <w:t xml:space="preserve"> </w:t>
      </w:r>
      <w:proofErr w:type="spellStart"/>
      <w:r w:rsidRPr="00E537E0">
        <w:t>presents</w:t>
      </w:r>
      <w:proofErr w:type="spellEnd"/>
      <w:r w:rsidRPr="00E537E0">
        <w:t xml:space="preserve"> </w:t>
      </w:r>
      <w:proofErr w:type="spellStart"/>
      <w:r w:rsidRPr="00E537E0">
        <w:t>Governments</w:t>
      </w:r>
      <w:proofErr w:type="spellEnd"/>
      <w:r w:rsidRPr="00E537E0">
        <w:t xml:space="preserve"> </w:t>
      </w:r>
      <w:proofErr w:type="spellStart"/>
      <w:r w:rsidRPr="00E537E0">
        <w:t>with</w:t>
      </w:r>
      <w:proofErr w:type="spellEnd"/>
      <w:r w:rsidRPr="00E537E0">
        <w:t xml:space="preserve"> </w:t>
      </w:r>
      <w:proofErr w:type="spellStart"/>
      <w:r w:rsidRPr="00E537E0">
        <w:t>unprecedented</w:t>
      </w:r>
      <w:proofErr w:type="spellEnd"/>
      <w:r w:rsidRPr="00E537E0">
        <w:t xml:space="preserve"> </w:t>
      </w:r>
      <w:proofErr w:type="spellStart"/>
      <w:r w:rsidRPr="00E537E0">
        <w:t>challenges</w:t>
      </w:r>
      <w:proofErr w:type="spellEnd"/>
      <w:r w:rsidRPr="00E537E0">
        <w:t xml:space="preserve">. </w:t>
      </w:r>
      <w:proofErr w:type="spellStart"/>
      <w:r w:rsidRPr="00E537E0">
        <w:t>Addressing</w:t>
      </w:r>
      <w:proofErr w:type="spellEnd"/>
      <w:r w:rsidRPr="00E537E0">
        <w:t xml:space="preserve"> COVID-19 </w:t>
      </w:r>
      <w:proofErr w:type="spellStart"/>
      <w:r w:rsidRPr="00E537E0">
        <w:t>related</w:t>
      </w:r>
      <w:proofErr w:type="spellEnd"/>
      <w:r w:rsidRPr="00E537E0">
        <w:t xml:space="preserve"> </w:t>
      </w:r>
      <w:proofErr w:type="spellStart"/>
      <w:r w:rsidRPr="00E537E0">
        <w:t>issues</w:t>
      </w:r>
      <w:proofErr w:type="spellEnd"/>
      <w:r w:rsidRPr="00E537E0">
        <w:t xml:space="preserve"> </w:t>
      </w:r>
      <w:proofErr w:type="spellStart"/>
      <w:r w:rsidRPr="00E537E0">
        <w:t>in</w:t>
      </w:r>
      <w:proofErr w:type="spellEnd"/>
      <w:r w:rsidRPr="00E537E0">
        <w:t xml:space="preserve"> </w:t>
      </w:r>
      <w:proofErr w:type="spellStart"/>
      <w:r w:rsidRPr="00E537E0">
        <w:t>both</w:t>
      </w:r>
      <w:proofErr w:type="spellEnd"/>
      <w:r w:rsidRPr="00E537E0">
        <w:t xml:space="preserve"> </w:t>
      </w:r>
      <w:proofErr w:type="spellStart"/>
      <w:r w:rsidRPr="00E537E0">
        <w:t>existing</w:t>
      </w:r>
      <w:proofErr w:type="spellEnd"/>
      <w:r w:rsidRPr="00E537E0">
        <w:t xml:space="preserve"> </w:t>
      </w:r>
      <w:proofErr w:type="spellStart"/>
      <w:r w:rsidRPr="00E537E0">
        <w:t>and</w:t>
      </w:r>
      <w:proofErr w:type="spellEnd"/>
      <w:r w:rsidRPr="00E537E0">
        <w:t xml:space="preserve"> </w:t>
      </w:r>
      <w:proofErr w:type="spellStart"/>
      <w:r w:rsidRPr="00E537E0">
        <w:t>new</w:t>
      </w:r>
      <w:proofErr w:type="spellEnd"/>
      <w:r w:rsidRPr="00E537E0">
        <w:t xml:space="preserve"> </w:t>
      </w:r>
      <w:proofErr w:type="spellStart"/>
      <w:r w:rsidRPr="00E537E0">
        <w:t>operations</w:t>
      </w:r>
      <w:proofErr w:type="spellEnd"/>
      <w:r w:rsidRPr="00E537E0">
        <w:t xml:space="preserve"> </w:t>
      </w:r>
      <w:proofErr w:type="spellStart"/>
      <w:r w:rsidRPr="00E537E0">
        <w:t>starts</w:t>
      </w:r>
      <w:proofErr w:type="spellEnd"/>
      <w:r w:rsidRPr="00E537E0">
        <w:t xml:space="preserve"> </w:t>
      </w:r>
      <w:proofErr w:type="spellStart"/>
      <w:r w:rsidRPr="00E537E0">
        <w:t>with</w:t>
      </w:r>
      <w:proofErr w:type="spellEnd"/>
      <w:r w:rsidRPr="00E537E0">
        <w:t xml:space="preserve"> </w:t>
      </w:r>
      <w:proofErr w:type="spellStart"/>
      <w:r w:rsidRPr="00E537E0">
        <w:t>recognizing</w:t>
      </w:r>
      <w:proofErr w:type="spellEnd"/>
      <w:r w:rsidRPr="00E537E0">
        <w:t xml:space="preserve"> </w:t>
      </w:r>
      <w:proofErr w:type="spellStart"/>
      <w:r w:rsidRPr="00E537E0">
        <w:t>that</w:t>
      </w:r>
      <w:proofErr w:type="spellEnd"/>
      <w:r w:rsidRPr="00E537E0">
        <w:t xml:space="preserve"> </w:t>
      </w:r>
      <w:proofErr w:type="spellStart"/>
      <w:r w:rsidRPr="00E537E0">
        <w:t>this</w:t>
      </w:r>
      <w:proofErr w:type="spellEnd"/>
      <w:r w:rsidRPr="00E537E0">
        <w:t xml:space="preserve"> </w:t>
      </w:r>
      <w:proofErr w:type="spellStart"/>
      <w:r w:rsidRPr="00E537E0">
        <w:t>is</w:t>
      </w:r>
      <w:proofErr w:type="spellEnd"/>
      <w:r w:rsidRPr="00E537E0">
        <w:t xml:space="preserve"> </w:t>
      </w:r>
      <w:proofErr w:type="spellStart"/>
      <w:r w:rsidRPr="00E537E0">
        <w:t>not</w:t>
      </w:r>
      <w:proofErr w:type="spellEnd"/>
      <w:r w:rsidRPr="00E537E0">
        <w:t xml:space="preserve"> </w:t>
      </w:r>
      <w:proofErr w:type="spellStart"/>
      <w:r w:rsidRPr="00E537E0">
        <w:t>business</w:t>
      </w:r>
      <w:proofErr w:type="spellEnd"/>
      <w:r w:rsidRPr="00E537E0">
        <w:t xml:space="preserve"> as </w:t>
      </w:r>
      <w:proofErr w:type="spellStart"/>
      <w:r w:rsidRPr="00E537E0">
        <w:t>usual</w:t>
      </w:r>
      <w:proofErr w:type="spellEnd"/>
      <w:r w:rsidRPr="00E537E0">
        <w:t xml:space="preserve"> </w:t>
      </w:r>
      <w:proofErr w:type="spellStart"/>
      <w:r w:rsidRPr="00E537E0">
        <w:t>and</w:t>
      </w:r>
      <w:proofErr w:type="spellEnd"/>
      <w:r w:rsidRPr="00E537E0">
        <w:t xml:space="preserve"> </w:t>
      </w:r>
      <w:proofErr w:type="spellStart"/>
      <w:r w:rsidRPr="00E537E0">
        <w:t>that</w:t>
      </w:r>
      <w:proofErr w:type="spellEnd"/>
      <w:r w:rsidRPr="00E537E0">
        <w:t xml:space="preserve"> </w:t>
      </w:r>
      <w:proofErr w:type="spellStart"/>
      <w:r w:rsidRPr="00E537E0">
        <w:t>circumstances</w:t>
      </w:r>
      <w:proofErr w:type="spellEnd"/>
      <w:r w:rsidRPr="00E537E0">
        <w:t xml:space="preserve"> </w:t>
      </w:r>
      <w:proofErr w:type="spellStart"/>
      <w:r w:rsidRPr="00E537E0">
        <w:t>require</w:t>
      </w:r>
      <w:proofErr w:type="spellEnd"/>
      <w:r w:rsidRPr="00E537E0">
        <w:t xml:space="preserve"> a </w:t>
      </w:r>
      <w:proofErr w:type="spellStart"/>
      <w:r w:rsidRPr="00E537E0">
        <w:t>highly</w:t>
      </w:r>
      <w:proofErr w:type="spellEnd"/>
      <w:r w:rsidRPr="00E537E0">
        <w:t xml:space="preserve"> </w:t>
      </w:r>
      <w:proofErr w:type="spellStart"/>
      <w:r w:rsidRPr="00E537E0">
        <w:t>adaptive</w:t>
      </w:r>
      <w:proofErr w:type="spellEnd"/>
      <w:r w:rsidRPr="00E537E0">
        <w:t xml:space="preserve"> </w:t>
      </w:r>
      <w:proofErr w:type="spellStart"/>
      <w:r w:rsidRPr="00E537E0">
        <w:t>responsive</w:t>
      </w:r>
      <w:proofErr w:type="spellEnd"/>
      <w:r w:rsidRPr="00E537E0">
        <w:t xml:space="preserve"> management design to </w:t>
      </w:r>
      <w:proofErr w:type="spellStart"/>
      <w:r w:rsidRPr="00E537E0">
        <w:t>avoid</w:t>
      </w:r>
      <w:proofErr w:type="spellEnd"/>
      <w:r w:rsidRPr="00E537E0">
        <w:t xml:space="preserve">, </w:t>
      </w:r>
      <w:proofErr w:type="spellStart"/>
      <w:r w:rsidRPr="00E537E0">
        <w:t>minimize</w:t>
      </w:r>
      <w:proofErr w:type="spellEnd"/>
      <w:r w:rsidRPr="00E537E0">
        <w:t xml:space="preserve"> </w:t>
      </w:r>
      <w:proofErr w:type="spellStart"/>
      <w:r w:rsidRPr="00E537E0">
        <w:t>and</w:t>
      </w:r>
      <w:proofErr w:type="spellEnd"/>
      <w:r w:rsidRPr="00E537E0">
        <w:t xml:space="preserve"> </w:t>
      </w:r>
      <w:proofErr w:type="spellStart"/>
      <w:r w:rsidRPr="00E537E0">
        <w:t>manage</w:t>
      </w:r>
      <w:proofErr w:type="spellEnd"/>
      <w:r w:rsidRPr="00E537E0">
        <w:t xml:space="preserve"> </w:t>
      </w:r>
      <w:proofErr w:type="spellStart"/>
      <w:r w:rsidRPr="00E537E0">
        <w:t>what</w:t>
      </w:r>
      <w:proofErr w:type="spellEnd"/>
      <w:r w:rsidRPr="00E537E0">
        <w:t xml:space="preserve"> </w:t>
      </w:r>
      <w:proofErr w:type="spellStart"/>
      <w:r w:rsidRPr="00E537E0">
        <w:t>may</w:t>
      </w:r>
      <w:proofErr w:type="spellEnd"/>
      <w:r w:rsidRPr="00E537E0">
        <w:t xml:space="preserve"> </w:t>
      </w:r>
      <w:proofErr w:type="spellStart"/>
      <w:r w:rsidRPr="00E537E0">
        <w:t>be</w:t>
      </w:r>
      <w:proofErr w:type="spellEnd"/>
      <w:r w:rsidRPr="00E537E0">
        <w:t xml:space="preserve"> a </w:t>
      </w:r>
      <w:proofErr w:type="spellStart"/>
      <w:r w:rsidRPr="00E537E0">
        <w:t>rapidly</w:t>
      </w:r>
      <w:proofErr w:type="spellEnd"/>
      <w:r w:rsidRPr="00E537E0">
        <w:t xml:space="preserve"> </w:t>
      </w:r>
      <w:proofErr w:type="spellStart"/>
      <w:r w:rsidRPr="00E537E0">
        <w:t>evolving</w:t>
      </w:r>
      <w:proofErr w:type="spellEnd"/>
      <w:r w:rsidRPr="00E537E0">
        <w:t xml:space="preserve"> </w:t>
      </w:r>
      <w:proofErr w:type="spellStart"/>
      <w:r w:rsidRPr="00E537E0">
        <w:t>situation</w:t>
      </w:r>
      <w:proofErr w:type="spellEnd"/>
      <w:r w:rsidRPr="00E537E0">
        <w:t xml:space="preserve">. In </w:t>
      </w:r>
      <w:proofErr w:type="spellStart"/>
      <w:r w:rsidRPr="00E537E0">
        <w:t>many</w:t>
      </w:r>
      <w:proofErr w:type="spellEnd"/>
      <w:r w:rsidRPr="00E537E0">
        <w:t xml:space="preserve"> </w:t>
      </w:r>
      <w:proofErr w:type="spellStart"/>
      <w:r w:rsidRPr="00E537E0">
        <w:t>cases</w:t>
      </w:r>
      <w:proofErr w:type="spellEnd"/>
      <w:r w:rsidRPr="00E537E0">
        <w:t xml:space="preserve">, </w:t>
      </w:r>
      <w:proofErr w:type="spellStart"/>
      <w:r w:rsidRPr="00E537E0">
        <w:t>we</w:t>
      </w:r>
      <w:proofErr w:type="spellEnd"/>
      <w:r w:rsidRPr="00E537E0">
        <w:t xml:space="preserve"> </w:t>
      </w:r>
      <w:proofErr w:type="spellStart"/>
      <w:r w:rsidRPr="00E537E0">
        <w:t>will</w:t>
      </w:r>
      <w:proofErr w:type="spellEnd"/>
      <w:r w:rsidRPr="00E537E0">
        <w:t xml:space="preserve"> </w:t>
      </w:r>
      <w:proofErr w:type="spellStart"/>
      <w:r w:rsidRPr="00E537E0">
        <w:t>ask</w:t>
      </w:r>
      <w:proofErr w:type="spellEnd"/>
      <w:r w:rsidRPr="00E537E0">
        <w:t xml:space="preserve"> </w:t>
      </w:r>
      <w:proofErr w:type="spellStart"/>
      <w:r w:rsidRPr="00E537E0">
        <w:t>Borrowers</w:t>
      </w:r>
      <w:proofErr w:type="spellEnd"/>
      <w:r w:rsidRPr="00E537E0">
        <w:t xml:space="preserve"> to use </w:t>
      </w:r>
      <w:proofErr w:type="spellStart"/>
      <w:r w:rsidRPr="00E537E0">
        <w:t>reasonable</w:t>
      </w:r>
      <w:proofErr w:type="spellEnd"/>
      <w:r w:rsidRPr="00E537E0">
        <w:t xml:space="preserve"> </w:t>
      </w:r>
      <w:proofErr w:type="spellStart"/>
      <w:r w:rsidRPr="00E537E0">
        <w:t>efforts</w:t>
      </w:r>
      <w:proofErr w:type="spellEnd"/>
      <w:r w:rsidRPr="00E537E0">
        <w:t xml:space="preserve"> </w:t>
      </w:r>
      <w:proofErr w:type="spellStart"/>
      <w:r w:rsidRPr="00E537E0">
        <w:t>in</w:t>
      </w:r>
      <w:proofErr w:type="spellEnd"/>
      <w:r w:rsidRPr="00E537E0">
        <w:t xml:space="preserve"> </w:t>
      </w:r>
      <w:proofErr w:type="spellStart"/>
      <w:r w:rsidRPr="00E537E0">
        <w:t>the</w:t>
      </w:r>
      <w:proofErr w:type="spellEnd"/>
      <w:r w:rsidRPr="00E537E0">
        <w:t xml:space="preserve"> </w:t>
      </w:r>
      <w:proofErr w:type="spellStart"/>
      <w:r w:rsidRPr="00E537E0">
        <w:t>circumstances</w:t>
      </w:r>
      <w:proofErr w:type="spellEnd"/>
      <w:r w:rsidRPr="00E537E0">
        <w:t xml:space="preserve">, </w:t>
      </w:r>
      <w:proofErr w:type="spellStart"/>
      <w:r w:rsidRPr="00E537E0">
        <w:t>recognizing</w:t>
      </w:r>
      <w:proofErr w:type="spellEnd"/>
      <w:r w:rsidRPr="00E537E0">
        <w:t xml:space="preserve"> </w:t>
      </w:r>
      <w:proofErr w:type="spellStart"/>
      <w:r w:rsidRPr="00E537E0">
        <w:t>that</w:t>
      </w:r>
      <w:proofErr w:type="spellEnd"/>
      <w:r w:rsidRPr="00E537E0">
        <w:t xml:space="preserve"> </w:t>
      </w:r>
      <w:proofErr w:type="spellStart"/>
      <w:r w:rsidRPr="00E537E0">
        <w:t>what</w:t>
      </w:r>
      <w:proofErr w:type="spellEnd"/>
      <w:r w:rsidRPr="00E537E0">
        <w:t xml:space="preserve"> </w:t>
      </w:r>
      <w:proofErr w:type="spellStart"/>
      <w:r w:rsidRPr="00E537E0">
        <w:t>may</w:t>
      </w:r>
      <w:proofErr w:type="spellEnd"/>
      <w:r w:rsidRPr="00E537E0">
        <w:t xml:space="preserve"> </w:t>
      </w:r>
      <w:proofErr w:type="spellStart"/>
      <w:r w:rsidRPr="00E537E0">
        <w:t>be</w:t>
      </w:r>
      <w:proofErr w:type="spellEnd"/>
      <w:r w:rsidRPr="00E537E0">
        <w:t xml:space="preserve"> </w:t>
      </w:r>
      <w:proofErr w:type="spellStart"/>
      <w:r w:rsidRPr="00E537E0">
        <w:t>possible</w:t>
      </w:r>
      <w:proofErr w:type="spellEnd"/>
      <w:r w:rsidRPr="00E537E0">
        <w:t xml:space="preserve"> </w:t>
      </w:r>
      <w:proofErr w:type="spellStart"/>
      <w:r w:rsidRPr="00E537E0">
        <w:t>today</w:t>
      </w:r>
      <w:proofErr w:type="spellEnd"/>
      <w:r w:rsidRPr="00E537E0">
        <w:t xml:space="preserve"> </w:t>
      </w:r>
      <w:proofErr w:type="spellStart"/>
      <w:r w:rsidRPr="00E537E0">
        <w:t>may</w:t>
      </w:r>
      <w:proofErr w:type="spellEnd"/>
      <w:r w:rsidRPr="00E537E0">
        <w:t xml:space="preserve"> </w:t>
      </w:r>
      <w:proofErr w:type="spellStart"/>
      <w:r w:rsidRPr="00E537E0">
        <w:t>be</w:t>
      </w:r>
      <w:proofErr w:type="spellEnd"/>
      <w:r w:rsidRPr="00E537E0">
        <w:t xml:space="preserve"> </w:t>
      </w:r>
      <w:proofErr w:type="spellStart"/>
      <w:r w:rsidRPr="00E537E0">
        <w:t>different</w:t>
      </w:r>
      <w:proofErr w:type="spellEnd"/>
      <w:r w:rsidRPr="00E537E0">
        <w:t xml:space="preserve"> </w:t>
      </w:r>
      <w:proofErr w:type="spellStart"/>
      <w:r w:rsidRPr="00E537E0">
        <w:t>next</w:t>
      </w:r>
      <w:proofErr w:type="spellEnd"/>
      <w:r w:rsidRPr="00E537E0">
        <w:t xml:space="preserve"> </w:t>
      </w:r>
      <w:proofErr w:type="spellStart"/>
      <w:r w:rsidRPr="00E537E0">
        <w:t>week</w:t>
      </w:r>
      <w:proofErr w:type="spellEnd"/>
      <w:r w:rsidRPr="00E537E0">
        <w:t xml:space="preserve"> (</w:t>
      </w:r>
      <w:proofErr w:type="spellStart"/>
      <w:r w:rsidRPr="00E537E0">
        <w:t>both</w:t>
      </w:r>
      <w:proofErr w:type="spellEnd"/>
      <w:r w:rsidRPr="00E537E0">
        <w:t xml:space="preserve"> </w:t>
      </w:r>
      <w:proofErr w:type="spellStart"/>
      <w:r w:rsidRPr="00E537E0">
        <w:t>positively</w:t>
      </w:r>
      <w:proofErr w:type="spellEnd"/>
      <w:r w:rsidRPr="00E537E0">
        <w:t xml:space="preserve">, </w:t>
      </w:r>
      <w:proofErr w:type="spellStart"/>
      <w:r w:rsidRPr="00E537E0">
        <w:t>because</w:t>
      </w:r>
      <w:proofErr w:type="spellEnd"/>
      <w:r w:rsidRPr="00E537E0">
        <w:t xml:space="preserve"> more </w:t>
      </w:r>
      <w:proofErr w:type="spellStart"/>
      <w:r w:rsidRPr="00E537E0">
        <w:t>supplies</w:t>
      </w:r>
      <w:proofErr w:type="spellEnd"/>
      <w:r w:rsidRPr="00E537E0">
        <w:t xml:space="preserve"> </w:t>
      </w:r>
      <w:proofErr w:type="spellStart"/>
      <w:r w:rsidRPr="00E537E0">
        <w:t>and</w:t>
      </w:r>
      <w:proofErr w:type="spellEnd"/>
      <w:r w:rsidRPr="00E537E0">
        <w:t xml:space="preserve"> </w:t>
      </w:r>
      <w:proofErr w:type="spellStart"/>
      <w:r w:rsidRPr="00E537E0">
        <w:t>guidance</w:t>
      </w:r>
      <w:proofErr w:type="spellEnd"/>
      <w:r w:rsidRPr="00E537E0">
        <w:t xml:space="preserve"> </w:t>
      </w:r>
      <w:proofErr w:type="spellStart"/>
      <w:r w:rsidRPr="00E537E0">
        <w:t>may</w:t>
      </w:r>
      <w:proofErr w:type="spellEnd"/>
      <w:r w:rsidRPr="00E537E0">
        <w:t xml:space="preserve"> </w:t>
      </w:r>
      <w:proofErr w:type="spellStart"/>
      <w:r w:rsidRPr="00E537E0">
        <w:t>be</w:t>
      </w:r>
      <w:proofErr w:type="spellEnd"/>
      <w:r w:rsidRPr="00E537E0">
        <w:t xml:space="preserve"> </w:t>
      </w:r>
      <w:proofErr w:type="spellStart"/>
      <w:r w:rsidRPr="00E537E0">
        <w:t>available</w:t>
      </w:r>
      <w:proofErr w:type="spellEnd"/>
      <w:r w:rsidRPr="00E537E0">
        <w:t xml:space="preserve">, </w:t>
      </w:r>
      <w:proofErr w:type="spellStart"/>
      <w:r w:rsidRPr="00E537E0">
        <w:t>and</w:t>
      </w:r>
      <w:proofErr w:type="spellEnd"/>
      <w:r w:rsidRPr="00E537E0">
        <w:t xml:space="preserve"> </w:t>
      </w:r>
      <w:proofErr w:type="spellStart"/>
      <w:r w:rsidRPr="00E537E0">
        <w:t>negatively</w:t>
      </w:r>
      <w:proofErr w:type="spellEnd"/>
      <w:r w:rsidRPr="00E537E0">
        <w:t xml:space="preserve">, </w:t>
      </w:r>
      <w:proofErr w:type="spellStart"/>
      <w:r w:rsidRPr="00E537E0">
        <w:t>because</w:t>
      </w:r>
      <w:proofErr w:type="spellEnd"/>
      <w:r w:rsidRPr="00E537E0">
        <w:t xml:space="preserve"> </w:t>
      </w:r>
      <w:proofErr w:type="spellStart"/>
      <w:r w:rsidRPr="00E537E0">
        <w:t>the</w:t>
      </w:r>
      <w:proofErr w:type="spellEnd"/>
      <w:r w:rsidRPr="00E537E0">
        <w:t xml:space="preserve"> </w:t>
      </w:r>
      <w:proofErr w:type="spellStart"/>
      <w:r w:rsidRPr="00E537E0">
        <w:t>spread</w:t>
      </w:r>
      <w:proofErr w:type="spellEnd"/>
      <w:r w:rsidRPr="00E537E0">
        <w:t xml:space="preserve"> </w:t>
      </w:r>
      <w:proofErr w:type="spellStart"/>
      <w:r w:rsidRPr="00E537E0">
        <w:t>of</w:t>
      </w:r>
      <w:proofErr w:type="spellEnd"/>
      <w:r w:rsidRPr="00E537E0">
        <w:t xml:space="preserve"> </w:t>
      </w:r>
      <w:proofErr w:type="spellStart"/>
      <w:r w:rsidRPr="00E537E0">
        <w:t>the</w:t>
      </w:r>
      <w:proofErr w:type="spellEnd"/>
      <w:r w:rsidRPr="00E537E0">
        <w:t xml:space="preserve"> virus </w:t>
      </w:r>
      <w:proofErr w:type="spellStart"/>
      <w:r w:rsidRPr="00E537E0">
        <w:t>may</w:t>
      </w:r>
      <w:proofErr w:type="spellEnd"/>
      <w:r w:rsidRPr="00E537E0">
        <w:t xml:space="preserve"> </w:t>
      </w:r>
      <w:proofErr w:type="spellStart"/>
      <w:r w:rsidRPr="00E537E0">
        <w:t>have</w:t>
      </w:r>
      <w:proofErr w:type="spellEnd"/>
      <w:r w:rsidRPr="00E537E0">
        <w:t xml:space="preserve"> </w:t>
      </w:r>
      <w:proofErr w:type="spellStart"/>
      <w:r w:rsidRPr="00E537E0">
        <w:t>accelerated</w:t>
      </w:r>
      <w:proofErr w:type="spellEnd"/>
      <w:r w:rsidRPr="00E537E0">
        <w:t xml:space="preserve">). </w:t>
      </w:r>
    </w:p>
    <w:p w14:paraId="545C04E1" w14:textId="77777777" w:rsidR="00740A8E" w:rsidRPr="00E537E0" w:rsidRDefault="00740A8E" w:rsidP="00E537E0">
      <w:proofErr w:type="spellStart"/>
      <w:r w:rsidRPr="00E537E0">
        <w:t>This</w:t>
      </w:r>
      <w:proofErr w:type="spellEnd"/>
      <w:r w:rsidRPr="00E537E0">
        <w:t xml:space="preserve"> </w:t>
      </w:r>
      <w:proofErr w:type="spellStart"/>
      <w:r w:rsidRPr="00E537E0">
        <w:t>interim</w:t>
      </w:r>
      <w:proofErr w:type="spellEnd"/>
      <w:r w:rsidRPr="00E537E0">
        <w:t xml:space="preserve"> note </w:t>
      </w:r>
      <w:proofErr w:type="spellStart"/>
      <w:r w:rsidRPr="00E537E0">
        <w:t>is</w:t>
      </w:r>
      <w:proofErr w:type="spellEnd"/>
      <w:r w:rsidRPr="00E537E0">
        <w:t xml:space="preserve"> </w:t>
      </w:r>
      <w:proofErr w:type="spellStart"/>
      <w:r w:rsidRPr="00E537E0">
        <w:t>intended</w:t>
      </w:r>
      <w:proofErr w:type="spellEnd"/>
      <w:r w:rsidRPr="00E537E0">
        <w:t xml:space="preserve"> to provide </w:t>
      </w:r>
      <w:proofErr w:type="spellStart"/>
      <w:r w:rsidRPr="00E537E0">
        <w:t>guidance</w:t>
      </w:r>
      <w:proofErr w:type="spellEnd"/>
      <w:r w:rsidRPr="00E537E0">
        <w:t xml:space="preserve"> to </w:t>
      </w:r>
      <w:proofErr w:type="spellStart"/>
      <w:r w:rsidRPr="00E537E0">
        <w:t>teams</w:t>
      </w:r>
      <w:proofErr w:type="spellEnd"/>
      <w:r w:rsidRPr="00E537E0">
        <w:t xml:space="preserve"> on how to </w:t>
      </w:r>
      <w:proofErr w:type="spellStart"/>
      <w:r w:rsidRPr="00E537E0">
        <w:t>support</w:t>
      </w:r>
      <w:proofErr w:type="spellEnd"/>
      <w:r w:rsidRPr="00E537E0">
        <w:t xml:space="preserve"> </w:t>
      </w:r>
      <w:proofErr w:type="spellStart"/>
      <w:r w:rsidRPr="00E537E0">
        <w:t>Borrowers</w:t>
      </w:r>
      <w:proofErr w:type="spellEnd"/>
      <w:r w:rsidRPr="00E537E0">
        <w:t xml:space="preserve"> </w:t>
      </w:r>
      <w:proofErr w:type="spellStart"/>
      <w:r w:rsidRPr="00E537E0">
        <w:t>in</w:t>
      </w:r>
      <w:proofErr w:type="spellEnd"/>
      <w:r w:rsidRPr="00E537E0">
        <w:t xml:space="preserve"> </w:t>
      </w:r>
      <w:proofErr w:type="spellStart"/>
      <w:r w:rsidRPr="00E537E0">
        <w:t>addressing</w:t>
      </w:r>
      <w:proofErr w:type="spellEnd"/>
      <w:r w:rsidRPr="00E537E0">
        <w:t xml:space="preserve"> </w:t>
      </w:r>
      <w:proofErr w:type="spellStart"/>
      <w:r w:rsidRPr="00E537E0">
        <w:t>key</w:t>
      </w:r>
      <w:proofErr w:type="spellEnd"/>
      <w:r w:rsidRPr="00E537E0">
        <w:t xml:space="preserve"> </w:t>
      </w:r>
      <w:proofErr w:type="spellStart"/>
      <w:r w:rsidRPr="00E537E0">
        <w:t>issues</w:t>
      </w:r>
      <w:proofErr w:type="spellEnd"/>
      <w:r w:rsidRPr="00E537E0">
        <w:t xml:space="preserve"> </w:t>
      </w:r>
      <w:proofErr w:type="spellStart"/>
      <w:r w:rsidRPr="00E537E0">
        <w:t>associated</w:t>
      </w:r>
      <w:proofErr w:type="spellEnd"/>
      <w:r w:rsidRPr="00E537E0">
        <w:t xml:space="preserve"> </w:t>
      </w:r>
      <w:proofErr w:type="spellStart"/>
      <w:r w:rsidRPr="00E537E0">
        <w:t>with</w:t>
      </w:r>
      <w:proofErr w:type="spellEnd"/>
      <w:r w:rsidRPr="00E537E0">
        <w:t xml:space="preserve"> COVID-19, </w:t>
      </w:r>
      <w:proofErr w:type="spellStart"/>
      <w:r w:rsidRPr="00E537E0">
        <w:t>and</w:t>
      </w:r>
      <w:proofErr w:type="spellEnd"/>
      <w:r w:rsidRPr="00E537E0">
        <w:t xml:space="preserve"> </w:t>
      </w:r>
      <w:proofErr w:type="spellStart"/>
      <w:r w:rsidRPr="00E537E0">
        <w:t>consolidates</w:t>
      </w:r>
      <w:proofErr w:type="spellEnd"/>
      <w:r w:rsidRPr="00E537E0">
        <w:t xml:space="preserve"> </w:t>
      </w:r>
      <w:proofErr w:type="spellStart"/>
      <w:r w:rsidRPr="00E537E0">
        <w:t>the</w:t>
      </w:r>
      <w:proofErr w:type="spellEnd"/>
      <w:r w:rsidRPr="00E537E0">
        <w:t xml:space="preserve"> </w:t>
      </w:r>
      <w:proofErr w:type="spellStart"/>
      <w:r w:rsidRPr="00E537E0">
        <w:t>advice</w:t>
      </w:r>
      <w:proofErr w:type="spellEnd"/>
      <w:r w:rsidRPr="00E537E0">
        <w:t xml:space="preserve"> </w:t>
      </w:r>
      <w:proofErr w:type="spellStart"/>
      <w:r w:rsidRPr="00E537E0">
        <w:t>that</w:t>
      </w:r>
      <w:proofErr w:type="spellEnd"/>
      <w:r w:rsidRPr="00E537E0">
        <w:t xml:space="preserve"> </w:t>
      </w:r>
      <w:proofErr w:type="spellStart"/>
      <w:r w:rsidRPr="00E537E0">
        <w:t>has</w:t>
      </w:r>
      <w:proofErr w:type="spellEnd"/>
      <w:r w:rsidRPr="00E537E0">
        <w:t xml:space="preserve"> </w:t>
      </w:r>
      <w:proofErr w:type="spellStart"/>
      <w:r w:rsidRPr="00E537E0">
        <w:t>already</w:t>
      </w:r>
      <w:proofErr w:type="spellEnd"/>
      <w:r w:rsidRPr="00E537E0">
        <w:t xml:space="preserve"> </w:t>
      </w:r>
      <w:proofErr w:type="spellStart"/>
      <w:r w:rsidRPr="00E537E0">
        <w:t>been</w:t>
      </w:r>
      <w:proofErr w:type="spellEnd"/>
      <w:r w:rsidRPr="00E537E0">
        <w:t xml:space="preserve"> </w:t>
      </w:r>
      <w:proofErr w:type="spellStart"/>
      <w:r w:rsidRPr="00E537E0">
        <w:t>provided</w:t>
      </w:r>
      <w:proofErr w:type="spellEnd"/>
      <w:r w:rsidRPr="00E537E0">
        <w:t xml:space="preserve"> </w:t>
      </w:r>
      <w:proofErr w:type="spellStart"/>
      <w:r w:rsidRPr="00E537E0">
        <w:t>over</w:t>
      </w:r>
      <w:proofErr w:type="spellEnd"/>
      <w:r w:rsidRPr="00E537E0">
        <w:t xml:space="preserve"> </w:t>
      </w:r>
      <w:proofErr w:type="spellStart"/>
      <w:r w:rsidRPr="00E537E0">
        <w:t>the</w:t>
      </w:r>
      <w:proofErr w:type="spellEnd"/>
      <w:r w:rsidRPr="00E537E0">
        <w:t xml:space="preserve"> past </w:t>
      </w:r>
      <w:proofErr w:type="spellStart"/>
      <w:r w:rsidRPr="00E537E0">
        <w:t>month</w:t>
      </w:r>
      <w:proofErr w:type="spellEnd"/>
      <w:r w:rsidRPr="00E537E0">
        <w:t xml:space="preserve">. As </w:t>
      </w:r>
      <w:proofErr w:type="spellStart"/>
      <w:r w:rsidRPr="00E537E0">
        <w:t>such</w:t>
      </w:r>
      <w:proofErr w:type="spellEnd"/>
      <w:r w:rsidRPr="00E537E0">
        <w:t xml:space="preserve">, </w:t>
      </w:r>
      <w:proofErr w:type="spellStart"/>
      <w:r w:rsidRPr="00E537E0">
        <w:t>it</w:t>
      </w:r>
      <w:proofErr w:type="spellEnd"/>
      <w:r w:rsidRPr="00E537E0">
        <w:t xml:space="preserve"> </w:t>
      </w:r>
      <w:proofErr w:type="spellStart"/>
      <w:r w:rsidRPr="00E537E0">
        <w:t>should</w:t>
      </w:r>
      <w:proofErr w:type="spellEnd"/>
      <w:r w:rsidRPr="00E537E0">
        <w:t xml:space="preserve"> </w:t>
      </w:r>
      <w:proofErr w:type="spellStart"/>
      <w:r w:rsidRPr="00E537E0">
        <w:t>be</w:t>
      </w:r>
      <w:proofErr w:type="spellEnd"/>
      <w:r w:rsidRPr="00E537E0">
        <w:t xml:space="preserve"> </w:t>
      </w:r>
      <w:proofErr w:type="spellStart"/>
      <w:r w:rsidRPr="00E537E0">
        <w:t>used</w:t>
      </w:r>
      <w:proofErr w:type="spellEnd"/>
      <w:r w:rsidRPr="00E537E0">
        <w:t xml:space="preserve"> </w:t>
      </w:r>
      <w:proofErr w:type="spellStart"/>
      <w:r w:rsidRPr="00E537E0">
        <w:t>in</w:t>
      </w:r>
      <w:proofErr w:type="spellEnd"/>
      <w:r w:rsidRPr="00E537E0">
        <w:t xml:space="preserve"> place </w:t>
      </w:r>
      <w:proofErr w:type="spellStart"/>
      <w:r w:rsidRPr="00E537E0">
        <w:t>of</w:t>
      </w:r>
      <w:proofErr w:type="spellEnd"/>
      <w:r w:rsidRPr="00E537E0">
        <w:t xml:space="preserve"> </w:t>
      </w:r>
      <w:proofErr w:type="spellStart"/>
      <w:r w:rsidRPr="00E537E0">
        <w:t>other</w:t>
      </w:r>
      <w:proofErr w:type="spellEnd"/>
      <w:r w:rsidRPr="00E537E0">
        <w:t xml:space="preserve"> </w:t>
      </w:r>
      <w:proofErr w:type="spellStart"/>
      <w:r w:rsidRPr="00E537E0">
        <w:t>guidance</w:t>
      </w:r>
      <w:proofErr w:type="spellEnd"/>
      <w:r w:rsidRPr="00E537E0">
        <w:t xml:space="preserve"> </w:t>
      </w:r>
      <w:proofErr w:type="spellStart"/>
      <w:r w:rsidRPr="00E537E0">
        <w:t>that</w:t>
      </w:r>
      <w:proofErr w:type="spellEnd"/>
      <w:r w:rsidRPr="00E537E0">
        <w:t xml:space="preserve"> </w:t>
      </w:r>
      <w:proofErr w:type="spellStart"/>
      <w:r w:rsidRPr="00E537E0">
        <w:t>has</w:t>
      </w:r>
      <w:proofErr w:type="spellEnd"/>
      <w:r w:rsidRPr="00E537E0">
        <w:t xml:space="preserve"> </w:t>
      </w:r>
      <w:proofErr w:type="spellStart"/>
      <w:r w:rsidRPr="00E537E0">
        <w:t>been</w:t>
      </w:r>
      <w:proofErr w:type="spellEnd"/>
      <w:r w:rsidRPr="00E537E0">
        <w:t xml:space="preserve"> </w:t>
      </w:r>
      <w:proofErr w:type="spellStart"/>
      <w:r w:rsidRPr="00E537E0">
        <w:t>provided</w:t>
      </w:r>
      <w:proofErr w:type="spellEnd"/>
      <w:r w:rsidRPr="00E537E0">
        <w:t xml:space="preserve"> to date. </w:t>
      </w:r>
      <w:proofErr w:type="spellStart"/>
      <w:r w:rsidRPr="00E537E0">
        <w:t>This</w:t>
      </w:r>
      <w:proofErr w:type="spellEnd"/>
      <w:r w:rsidRPr="00E537E0">
        <w:t xml:space="preserve"> note </w:t>
      </w:r>
      <w:proofErr w:type="spellStart"/>
      <w:r w:rsidRPr="00E537E0">
        <w:t>will</w:t>
      </w:r>
      <w:proofErr w:type="spellEnd"/>
      <w:r w:rsidRPr="00E537E0">
        <w:t xml:space="preserve"> </w:t>
      </w:r>
      <w:proofErr w:type="spellStart"/>
      <w:r w:rsidRPr="00E537E0">
        <w:t>be</w:t>
      </w:r>
      <w:proofErr w:type="spellEnd"/>
      <w:r w:rsidRPr="00E537E0">
        <w:t xml:space="preserve"> </w:t>
      </w:r>
      <w:proofErr w:type="spellStart"/>
      <w:r w:rsidRPr="00E537E0">
        <w:t>developed</w:t>
      </w:r>
      <w:proofErr w:type="spellEnd"/>
      <w:r w:rsidRPr="00E537E0">
        <w:t xml:space="preserve"> as </w:t>
      </w:r>
      <w:proofErr w:type="spellStart"/>
      <w:r w:rsidRPr="00E537E0">
        <w:t>the</w:t>
      </w:r>
      <w:proofErr w:type="spellEnd"/>
      <w:r w:rsidRPr="00E537E0">
        <w:t xml:space="preserve"> global </w:t>
      </w:r>
      <w:proofErr w:type="spellStart"/>
      <w:r w:rsidRPr="00E537E0">
        <w:t>situation</w:t>
      </w:r>
      <w:proofErr w:type="spellEnd"/>
      <w:r w:rsidRPr="00E537E0">
        <w:t xml:space="preserve"> </w:t>
      </w:r>
      <w:proofErr w:type="spellStart"/>
      <w:r w:rsidRPr="00E537E0">
        <w:t>and</w:t>
      </w:r>
      <w:proofErr w:type="spellEnd"/>
      <w:r w:rsidRPr="00E537E0">
        <w:t xml:space="preserve"> </w:t>
      </w:r>
      <w:proofErr w:type="spellStart"/>
      <w:r w:rsidRPr="00E537E0">
        <w:t>the</w:t>
      </w:r>
      <w:proofErr w:type="spellEnd"/>
      <w:r w:rsidRPr="00E537E0">
        <w:t xml:space="preserve"> </w:t>
      </w:r>
      <w:proofErr w:type="spellStart"/>
      <w:r w:rsidRPr="00E537E0">
        <w:t>Bank’s</w:t>
      </w:r>
      <w:proofErr w:type="spellEnd"/>
      <w:r w:rsidRPr="00E537E0">
        <w:t xml:space="preserve"> </w:t>
      </w:r>
      <w:proofErr w:type="spellStart"/>
      <w:r w:rsidRPr="00E537E0">
        <w:t>learning</w:t>
      </w:r>
      <w:proofErr w:type="spellEnd"/>
      <w:r w:rsidRPr="00E537E0">
        <w:t xml:space="preserve"> (</w:t>
      </w:r>
      <w:proofErr w:type="spellStart"/>
      <w:r w:rsidRPr="00E537E0">
        <w:t>and</w:t>
      </w:r>
      <w:proofErr w:type="spellEnd"/>
      <w:r w:rsidRPr="00E537E0">
        <w:t xml:space="preserve"> </w:t>
      </w:r>
      <w:proofErr w:type="spellStart"/>
      <w:r w:rsidRPr="00E537E0">
        <w:t>that</w:t>
      </w:r>
      <w:proofErr w:type="spellEnd"/>
      <w:r w:rsidRPr="00E537E0">
        <w:t xml:space="preserve"> </w:t>
      </w:r>
      <w:proofErr w:type="spellStart"/>
      <w:r w:rsidRPr="00E537E0">
        <w:t>of</w:t>
      </w:r>
      <w:proofErr w:type="spellEnd"/>
      <w:r w:rsidRPr="00E537E0">
        <w:t xml:space="preserve"> </w:t>
      </w:r>
      <w:proofErr w:type="spellStart"/>
      <w:r w:rsidRPr="00E537E0">
        <w:t>others</w:t>
      </w:r>
      <w:proofErr w:type="spellEnd"/>
      <w:r w:rsidRPr="00E537E0">
        <w:t xml:space="preserve">) </w:t>
      </w:r>
      <w:proofErr w:type="spellStart"/>
      <w:r w:rsidRPr="00E537E0">
        <w:t>develops</w:t>
      </w:r>
      <w:proofErr w:type="spellEnd"/>
      <w:r w:rsidRPr="00E537E0">
        <w:t xml:space="preserve">. </w:t>
      </w:r>
      <w:proofErr w:type="spellStart"/>
      <w:r w:rsidRPr="00E537E0">
        <w:t>This</w:t>
      </w:r>
      <w:proofErr w:type="spellEnd"/>
      <w:r w:rsidRPr="00E537E0">
        <w:t xml:space="preserve"> </w:t>
      </w:r>
      <w:proofErr w:type="spellStart"/>
      <w:r w:rsidRPr="00E537E0">
        <w:t>is</w:t>
      </w:r>
      <w:proofErr w:type="spellEnd"/>
      <w:r w:rsidRPr="00E537E0">
        <w:t xml:space="preserve"> </w:t>
      </w:r>
      <w:proofErr w:type="spellStart"/>
      <w:r w:rsidRPr="00E537E0">
        <w:t>not</w:t>
      </w:r>
      <w:proofErr w:type="spellEnd"/>
      <w:r w:rsidRPr="00E537E0">
        <w:t xml:space="preserve"> a time </w:t>
      </w:r>
      <w:proofErr w:type="spellStart"/>
      <w:r w:rsidRPr="00E537E0">
        <w:t>when</w:t>
      </w:r>
      <w:proofErr w:type="spellEnd"/>
      <w:r w:rsidRPr="00E537E0">
        <w:t xml:space="preserve"> ‘one </w:t>
      </w:r>
      <w:proofErr w:type="spellStart"/>
      <w:r w:rsidRPr="00E537E0">
        <w:t>size</w:t>
      </w:r>
      <w:proofErr w:type="spellEnd"/>
      <w:r w:rsidRPr="00E537E0">
        <w:t xml:space="preserve"> </w:t>
      </w:r>
      <w:proofErr w:type="spellStart"/>
      <w:r w:rsidRPr="00E537E0">
        <w:t>fits</w:t>
      </w:r>
      <w:proofErr w:type="spellEnd"/>
      <w:r w:rsidRPr="00E537E0">
        <w:t xml:space="preserve"> </w:t>
      </w:r>
      <w:proofErr w:type="spellStart"/>
      <w:r w:rsidRPr="00E537E0">
        <w:t>all</w:t>
      </w:r>
      <w:proofErr w:type="spellEnd"/>
      <w:r w:rsidRPr="00E537E0">
        <w:t xml:space="preserve">’. More </w:t>
      </w:r>
      <w:proofErr w:type="spellStart"/>
      <w:r w:rsidRPr="00E537E0">
        <w:t>than</w:t>
      </w:r>
      <w:proofErr w:type="spellEnd"/>
      <w:r w:rsidRPr="00E537E0">
        <w:t xml:space="preserve"> </w:t>
      </w:r>
      <w:proofErr w:type="spellStart"/>
      <w:r w:rsidRPr="00E537E0">
        <w:t>ever</w:t>
      </w:r>
      <w:proofErr w:type="spellEnd"/>
      <w:r w:rsidRPr="00E537E0">
        <w:t xml:space="preserve">, </w:t>
      </w:r>
      <w:proofErr w:type="spellStart"/>
      <w:r w:rsidRPr="00E537E0">
        <w:t>teams</w:t>
      </w:r>
      <w:proofErr w:type="spellEnd"/>
      <w:r w:rsidRPr="00E537E0">
        <w:t xml:space="preserve"> </w:t>
      </w:r>
      <w:proofErr w:type="spellStart"/>
      <w:r w:rsidRPr="00E537E0">
        <w:t>will</w:t>
      </w:r>
      <w:proofErr w:type="spellEnd"/>
      <w:r w:rsidRPr="00E537E0">
        <w:t xml:space="preserve"> </w:t>
      </w:r>
      <w:proofErr w:type="spellStart"/>
      <w:r w:rsidRPr="00E537E0">
        <w:t>need</w:t>
      </w:r>
      <w:proofErr w:type="spellEnd"/>
      <w:r w:rsidRPr="00E537E0">
        <w:t xml:space="preserve"> to </w:t>
      </w:r>
      <w:proofErr w:type="spellStart"/>
      <w:r w:rsidRPr="00E537E0">
        <w:t>work</w:t>
      </w:r>
      <w:proofErr w:type="spellEnd"/>
      <w:r w:rsidRPr="00E537E0">
        <w:t xml:space="preserve"> </w:t>
      </w:r>
      <w:proofErr w:type="spellStart"/>
      <w:r w:rsidRPr="00E537E0">
        <w:t>with</w:t>
      </w:r>
      <w:proofErr w:type="spellEnd"/>
      <w:r w:rsidRPr="00E537E0">
        <w:t xml:space="preserve"> </w:t>
      </w:r>
      <w:proofErr w:type="spellStart"/>
      <w:r w:rsidRPr="00E537E0">
        <w:t>Borrowers</w:t>
      </w:r>
      <w:proofErr w:type="spellEnd"/>
      <w:r w:rsidRPr="00E537E0">
        <w:t xml:space="preserve"> </w:t>
      </w:r>
      <w:proofErr w:type="spellStart"/>
      <w:r w:rsidRPr="00E537E0">
        <w:t>and</w:t>
      </w:r>
      <w:proofErr w:type="spellEnd"/>
      <w:r w:rsidRPr="00E537E0">
        <w:t xml:space="preserve"> </w:t>
      </w:r>
      <w:proofErr w:type="spellStart"/>
      <w:r w:rsidRPr="00E537E0">
        <w:t>projects</w:t>
      </w:r>
      <w:proofErr w:type="spellEnd"/>
      <w:r w:rsidRPr="00E537E0">
        <w:t xml:space="preserve"> to </w:t>
      </w:r>
      <w:proofErr w:type="spellStart"/>
      <w:r w:rsidRPr="00E537E0">
        <w:t>understand</w:t>
      </w:r>
      <w:proofErr w:type="spellEnd"/>
      <w:r w:rsidRPr="00E537E0">
        <w:t xml:space="preserve"> </w:t>
      </w:r>
      <w:proofErr w:type="spellStart"/>
      <w:r w:rsidRPr="00E537E0">
        <w:t>the</w:t>
      </w:r>
      <w:proofErr w:type="spellEnd"/>
      <w:r w:rsidRPr="00E537E0">
        <w:t xml:space="preserve"> </w:t>
      </w:r>
      <w:proofErr w:type="spellStart"/>
      <w:r w:rsidRPr="00E537E0">
        <w:t>activities</w:t>
      </w:r>
      <w:proofErr w:type="spellEnd"/>
      <w:r w:rsidRPr="00E537E0">
        <w:t xml:space="preserve"> </w:t>
      </w:r>
      <w:proofErr w:type="spellStart"/>
      <w:r w:rsidRPr="00E537E0">
        <w:t>being</w:t>
      </w:r>
      <w:proofErr w:type="spellEnd"/>
      <w:r w:rsidRPr="00E537E0">
        <w:t xml:space="preserve"> </w:t>
      </w:r>
      <w:proofErr w:type="spellStart"/>
      <w:r w:rsidRPr="00E537E0">
        <w:t>carried</w:t>
      </w:r>
      <w:proofErr w:type="spellEnd"/>
      <w:r w:rsidRPr="00E537E0">
        <w:t xml:space="preserve"> </w:t>
      </w:r>
      <w:proofErr w:type="spellStart"/>
      <w:r w:rsidRPr="00E537E0">
        <w:t>out</w:t>
      </w:r>
      <w:proofErr w:type="spellEnd"/>
      <w:r w:rsidRPr="00E537E0">
        <w:t xml:space="preserve"> </w:t>
      </w:r>
      <w:proofErr w:type="spellStart"/>
      <w:r w:rsidRPr="00E537E0">
        <w:t>and</w:t>
      </w:r>
      <w:proofErr w:type="spellEnd"/>
      <w:r w:rsidRPr="00E537E0">
        <w:t xml:space="preserve"> </w:t>
      </w:r>
      <w:proofErr w:type="spellStart"/>
      <w:r w:rsidRPr="00E537E0">
        <w:t>the</w:t>
      </w:r>
      <w:proofErr w:type="spellEnd"/>
      <w:r w:rsidRPr="00E537E0">
        <w:t xml:space="preserve"> </w:t>
      </w:r>
      <w:proofErr w:type="spellStart"/>
      <w:r w:rsidRPr="00E537E0">
        <w:t>risks</w:t>
      </w:r>
      <w:proofErr w:type="spellEnd"/>
      <w:r w:rsidRPr="00E537E0">
        <w:t xml:space="preserve"> </w:t>
      </w:r>
      <w:proofErr w:type="spellStart"/>
      <w:r w:rsidRPr="00E537E0">
        <w:t>that</w:t>
      </w:r>
      <w:proofErr w:type="spellEnd"/>
      <w:r w:rsidRPr="00E537E0">
        <w:t xml:space="preserve"> </w:t>
      </w:r>
      <w:proofErr w:type="spellStart"/>
      <w:r w:rsidRPr="00E537E0">
        <w:t>these</w:t>
      </w:r>
      <w:proofErr w:type="spellEnd"/>
      <w:r w:rsidRPr="00E537E0">
        <w:t xml:space="preserve"> </w:t>
      </w:r>
      <w:proofErr w:type="spellStart"/>
      <w:r w:rsidRPr="00E537E0">
        <w:t>activities</w:t>
      </w:r>
      <w:proofErr w:type="spellEnd"/>
      <w:r w:rsidRPr="00E537E0">
        <w:t xml:space="preserve"> </w:t>
      </w:r>
      <w:proofErr w:type="spellStart"/>
      <w:r w:rsidRPr="00E537E0">
        <w:t>may</w:t>
      </w:r>
      <w:proofErr w:type="spellEnd"/>
      <w:r w:rsidRPr="00E537E0">
        <w:t xml:space="preserve"> </w:t>
      </w:r>
      <w:proofErr w:type="spellStart"/>
      <w:r w:rsidRPr="00E537E0">
        <w:t>entail</w:t>
      </w:r>
      <w:proofErr w:type="spellEnd"/>
      <w:r w:rsidRPr="00E537E0">
        <w:t xml:space="preserve">. </w:t>
      </w:r>
      <w:proofErr w:type="spellStart"/>
      <w:r w:rsidRPr="00E537E0">
        <w:t>Support</w:t>
      </w:r>
      <w:proofErr w:type="spellEnd"/>
      <w:r w:rsidRPr="00E537E0">
        <w:t xml:space="preserve"> </w:t>
      </w:r>
      <w:proofErr w:type="spellStart"/>
      <w:r w:rsidRPr="00E537E0">
        <w:t>will</w:t>
      </w:r>
      <w:proofErr w:type="spellEnd"/>
      <w:r w:rsidRPr="00E537E0">
        <w:t xml:space="preserve"> </w:t>
      </w:r>
      <w:proofErr w:type="spellStart"/>
      <w:r w:rsidRPr="00E537E0">
        <w:t>be</w:t>
      </w:r>
      <w:proofErr w:type="spellEnd"/>
      <w:r w:rsidRPr="00E537E0">
        <w:t xml:space="preserve"> </w:t>
      </w:r>
      <w:proofErr w:type="spellStart"/>
      <w:r w:rsidRPr="00E537E0">
        <w:t>needed</w:t>
      </w:r>
      <w:proofErr w:type="spellEnd"/>
      <w:r w:rsidRPr="00E537E0">
        <w:t xml:space="preserve"> </w:t>
      </w:r>
      <w:proofErr w:type="spellStart"/>
      <w:r w:rsidRPr="00E537E0">
        <w:t>in</w:t>
      </w:r>
      <w:proofErr w:type="spellEnd"/>
      <w:r w:rsidRPr="00E537E0">
        <w:t xml:space="preserve"> </w:t>
      </w:r>
      <w:proofErr w:type="spellStart"/>
      <w:r w:rsidRPr="00E537E0">
        <w:t>designing</w:t>
      </w:r>
      <w:proofErr w:type="spellEnd"/>
      <w:r w:rsidRPr="00E537E0">
        <w:t xml:space="preserve"> </w:t>
      </w:r>
      <w:proofErr w:type="spellStart"/>
      <w:r w:rsidRPr="00E537E0">
        <w:t>mitigation</w:t>
      </w:r>
      <w:proofErr w:type="spellEnd"/>
      <w:r w:rsidRPr="00E537E0">
        <w:t xml:space="preserve"> </w:t>
      </w:r>
      <w:proofErr w:type="spellStart"/>
      <w:r w:rsidRPr="00E537E0">
        <w:t>measures</w:t>
      </w:r>
      <w:proofErr w:type="spellEnd"/>
      <w:r w:rsidRPr="00E537E0">
        <w:t xml:space="preserve"> </w:t>
      </w:r>
      <w:proofErr w:type="spellStart"/>
      <w:r w:rsidRPr="00E537E0">
        <w:t>that</w:t>
      </w:r>
      <w:proofErr w:type="spellEnd"/>
      <w:r w:rsidRPr="00E537E0">
        <w:t xml:space="preserve"> are </w:t>
      </w:r>
      <w:proofErr w:type="spellStart"/>
      <w:r w:rsidRPr="00E537E0">
        <w:t>implementable</w:t>
      </w:r>
      <w:proofErr w:type="spellEnd"/>
      <w:r w:rsidRPr="00E537E0">
        <w:t xml:space="preserve"> </w:t>
      </w:r>
      <w:proofErr w:type="spellStart"/>
      <w:r w:rsidRPr="00E537E0">
        <w:t>in</w:t>
      </w:r>
      <w:proofErr w:type="spellEnd"/>
      <w:r w:rsidRPr="00E537E0">
        <w:t xml:space="preserve"> </w:t>
      </w:r>
      <w:proofErr w:type="spellStart"/>
      <w:r w:rsidRPr="00E537E0">
        <w:t>the</w:t>
      </w:r>
      <w:proofErr w:type="spellEnd"/>
      <w:r w:rsidRPr="00E537E0">
        <w:t xml:space="preserve"> </w:t>
      </w:r>
      <w:proofErr w:type="spellStart"/>
      <w:r w:rsidRPr="00E537E0">
        <w:t>context</w:t>
      </w:r>
      <w:proofErr w:type="spellEnd"/>
      <w:r w:rsidRPr="00E537E0">
        <w:t xml:space="preserve"> </w:t>
      </w:r>
      <w:proofErr w:type="spellStart"/>
      <w:r w:rsidRPr="00E537E0">
        <w:t>of</w:t>
      </w:r>
      <w:proofErr w:type="spellEnd"/>
      <w:r w:rsidRPr="00E537E0">
        <w:t xml:space="preserve"> </w:t>
      </w:r>
      <w:proofErr w:type="spellStart"/>
      <w:r w:rsidRPr="00E537E0">
        <w:t>the</w:t>
      </w:r>
      <w:proofErr w:type="spellEnd"/>
      <w:r w:rsidRPr="00E537E0">
        <w:t xml:space="preserve"> </w:t>
      </w:r>
      <w:proofErr w:type="spellStart"/>
      <w:r w:rsidRPr="00E537E0">
        <w:t>project</w:t>
      </w:r>
      <w:proofErr w:type="spellEnd"/>
      <w:r w:rsidRPr="00E537E0">
        <w:t xml:space="preserve">. </w:t>
      </w:r>
      <w:proofErr w:type="spellStart"/>
      <w:r w:rsidRPr="00E537E0">
        <w:t>These</w:t>
      </w:r>
      <w:proofErr w:type="spellEnd"/>
      <w:r w:rsidRPr="00E537E0">
        <w:t xml:space="preserve"> </w:t>
      </w:r>
      <w:proofErr w:type="spellStart"/>
      <w:r w:rsidRPr="00E537E0">
        <w:t>measures</w:t>
      </w:r>
      <w:proofErr w:type="spellEnd"/>
      <w:r w:rsidRPr="00E537E0">
        <w:t xml:space="preserve"> </w:t>
      </w:r>
      <w:proofErr w:type="spellStart"/>
      <w:r w:rsidRPr="00E537E0">
        <w:t>will</w:t>
      </w:r>
      <w:proofErr w:type="spellEnd"/>
      <w:r w:rsidRPr="00E537E0">
        <w:t xml:space="preserve"> </w:t>
      </w:r>
      <w:proofErr w:type="spellStart"/>
      <w:r w:rsidRPr="00E537E0">
        <w:t>need</w:t>
      </w:r>
      <w:proofErr w:type="spellEnd"/>
      <w:r w:rsidRPr="00E537E0">
        <w:t xml:space="preserve"> to take </w:t>
      </w:r>
      <w:proofErr w:type="spellStart"/>
      <w:r w:rsidRPr="00E537E0">
        <w:t>into</w:t>
      </w:r>
      <w:proofErr w:type="spellEnd"/>
      <w:r w:rsidRPr="00E537E0">
        <w:t xml:space="preserve"> </w:t>
      </w:r>
      <w:proofErr w:type="spellStart"/>
      <w:r w:rsidRPr="00E537E0">
        <w:t>account</w:t>
      </w:r>
      <w:proofErr w:type="spellEnd"/>
      <w:r w:rsidRPr="00E537E0">
        <w:t xml:space="preserve"> </w:t>
      </w:r>
      <w:proofErr w:type="spellStart"/>
      <w:r w:rsidRPr="00E537E0">
        <w:t>capacity</w:t>
      </w:r>
      <w:proofErr w:type="spellEnd"/>
      <w:r w:rsidRPr="00E537E0">
        <w:t xml:space="preserve"> </w:t>
      </w:r>
      <w:proofErr w:type="spellStart"/>
      <w:r w:rsidRPr="00E537E0">
        <w:t>of</w:t>
      </w:r>
      <w:proofErr w:type="spellEnd"/>
      <w:r w:rsidRPr="00E537E0">
        <w:t xml:space="preserve"> </w:t>
      </w:r>
      <w:proofErr w:type="spellStart"/>
      <w:r w:rsidRPr="00E537E0">
        <w:t>the</w:t>
      </w:r>
      <w:proofErr w:type="spellEnd"/>
      <w:r w:rsidRPr="00E537E0">
        <w:t xml:space="preserve"> </w:t>
      </w:r>
      <w:proofErr w:type="spellStart"/>
      <w:r w:rsidRPr="00E537E0">
        <w:t>Government</w:t>
      </w:r>
      <w:proofErr w:type="spellEnd"/>
      <w:r w:rsidRPr="00E537E0">
        <w:t xml:space="preserve"> </w:t>
      </w:r>
      <w:proofErr w:type="spellStart"/>
      <w:r w:rsidRPr="00E537E0">
        <w:t>agencies</w:t>
      </w:r>
      <w:proofErr w:type="spellEnd"/>
      <w:r w:rsidRPr="00E537E0">
        <w:t xml:space="preserve">, </w:t>
      </w:r>
      <w:proofErr w:type="spellStart"/>
      <w:r w:rsidRPr="00E537E0">
        <w:t>availability</w:t>
      </w:r>
      <w:proofErr w:type="spellEnd"/>
      <w:r w:rsidRPr="00E537E0">
        <w:t xml:space="preserve"> </w:t>
      </w:r>
      <w:proofErr w:type="spellStart"/>
      <w:r w:rsidRPr="00E537E0">
        <w:t>of</w:t>
      </w:r>
      <w:proofErr w:type="spellEnd"/>
      <w:r w:rsidRPr="00E537E0">
        <w:t xml:space="preserve"> </w:t>
      </w:r>
      <w:proofErr w:type="spellStart"/>
      <w:r w:rsidRPr="00E537E0">
        <w:t>supplies</w:t>
      </w:r>
      <w:proofErr w:type="spellEnd"/>
      <w:r w:rsidRPr="00E537E0">
        <w:t xml:space="preserve"> </w:t>
      </w:r>
      <w:proofErr w:type="spellStart"/>
      <w:r w:rsidRPr="00E537E0">
        <w:t>and</w:t>
      </w:r>
      <w:proofErr w:type="spellEnd"/>
      <w:r w:rsidRPr="00E537E0">
        <w:t xml:space="preserve"> </w:t>
      </w:r>
      <w:proofErr w:type="spellStart"/>
      <w:r w:rsidRPr="00E537E0">
        <w:t>the</w:t>
      </w:r>
      <w:proofErr w:type="spellEnd"/>
      <w:r w:rsidRPr="00E537E0">
        <w:t xml:space="preserve"> </w:t>
      </w:r>
      <w:proofErr w:type="spellStart"/>
      <w:r w:rsidRPr="00E537E0">
        <w:t>practical</w:t>
      </w:r>
      <w:proofErr w:type="spellEnd"/>
      <w:r w:rsidRPr="00E537E0">
        <w:t xml:space="preserve"> </w:t>
      </w:r>
      <w:proofErr w:type="spellStart"/>
      <w:r w:rsidRPr="00E537E0">
        <w:t>challenges</w:t>
      </w:r>
      <w:proofErr w:type="spellEnd"/>
      <w:r w:rsidRPr="00E537E0">
        <w:t xml:space="preserve"> </w:t>
      </w:r>
      <w:proofErr w:type="spellStart"/>
      <w:r w:rsidRPr="00E537E0">
        <w:t>of</w:t>
      </w:r>
      <w:proofErr w:type="spellEnd"/>
      <w:r w:rsidRPr="00E537E0">
        <w:t xml:space="preserve"> </w:t>
      </w:r>
      <w:proofErr w:type="spellStart"/>
      <w:r w:rsidRPr="00E537E0">
        <w:t>operations</w:t>
      </w:r>
      <w:proofErr w:type="spellEnd"/>
      <w:r w:rsidRPr="00E537E0">
        <w:t xml:space="preserve"> on-</w:t>
      </w:r>
      <w:proofErr w:type="spellStart"/>
      <w:r w:rsidRPr="00E537E0">
        <w:t>the</w:t>
      </w:r>
      <w:proofErr w:type="spellEnd"/>
      <w:r w:rsidRPr="00E537E0">
        <w:t>-</w:t>
      </w:r>
      <w:proofErr w:type="spellStart"/>
      <w:r w:rsidRPr="00E537E0">
        <w:t>ground</w:t>
      </w:r>
      <w:proofErr w:type="spellEnd"/>
      <w:r w:rsidRPr="00E537E0">
        <w:t xml:space="preserve">, </w:t>
      </w:r>
      <w:proofErr w:type="spellStart"/>
      <w:r w:rsidRPr="00E537E0">
        <w:t>including</w:t>
      </w:r>
      <w:proofErr w:type="spellEnd"/>
      <w:r w:rsidRPr="00E537E0">
        <w:t xml:space="preserve"> </w:t>
      </w:r>
      <w:proofErr w:type="spellStart"/>
      <w:r w:rsidRPr="00E537E0">
        <w:t>stakeholder</w:t>
      </w:r>
      <w:proofErr w:type="spellEnd"/>
      <w:r w:rsidRPr="00E537E0">
        <w:t xml:space="preserve"> </w:t>
      </w:r>
      <w:proofErr w:type="spellStart"/>
      <w:r w:rsidRPr="00E537E0">
        <w:t>engagement</w:t>
      </w:r>
      <w:proofErr w:type="spellEnd"/>
      <w:r w:rsidRPr="00E537E0">
        <w:t xml:space="preserve">, </w:t>
      </w:r>
      <w:proofErr w:type="spellStart"/>
      <w:r w:rsidRPr="00E537E0">
        <w:t>supervision</w:t>
      </w:r>
      <w:proofErr w:type="spellEnd"/>
      <w:r w:rsidRPr="00E537E0">
        <w:t xml:space="preserve"> </w:t>
      </w:r>
      <w:proofErr w:type="spellStart"/>
      <w:r w:rsidRPr="00E537E0">
        <w:t>and</w:t>
      </w:r>
      <w:proofErr w:type="spellEnd"/>
      <w:r w:rsidRPr="00E537E0">
        <w:t xml:space="preserve"> monitoring. In </w:t>
      </w:r>
      <w:proofErr w:type="spellStart"/>
      <w:r w:rsidRPr="00E537E0">
        <w:t>many</w:t>
      </w:r>
      <w:proofErr w:type="spellEnd"/>
      <w:r w:rsidRPr="00E537E0">
        <w:t xml:space="preserve"> </w:t>
      </w:r>
      <w:proofErr w:type="spellStart"/>
      <w:r w:rsidRPr="00E537E0">
        <w:t>circumstances</w:t>
      </w:r>
      <w:proofErr w:type="spellEnd"/>
      <w:r w:rsidRPr="00E537E0">
        <w:t xml:space="preserve">, </w:t>
      </w:r>
      <w:proofErr w:type="spellStart"/>
      <w:r w:rsidRPr="00E537E0">
        <w:t>communication</w:t>
      </w:r>
      <w:proofErr w:type="spellEnd"/>
      <w:r w:rsidRPr="00E537E0">
        <w:t xml:space="preserve"> </w:t>
      </w:r>
      <w:proofErr w:type="spellStart"/>
      <w:r w:rsidRPr="00E537E0">
        <w:t>itself</w:t>
      </w:r>
      <w:proofErr w:type="spellEnd"/>
      <w:r w:rsidRPr="00E537E0">
        <w:t xml:space="preserve"> </w:t>
      </w:r>
      <w:proofErr w:type="spellStart"/>
      <w:r w:rsidRPr="00E537E0">
        <w:t>may</w:t>
      </w:r>
      <w:proofErr w:type="spellEnd"/>
      <w:r w:rsidRPr="00E537E0">
        <w:t xml:space="preserve"> </w:t>
      </w:r>
      <w:proofErr w:type="spellStart"/>
      <w:r w:rsidRPr="00E537E0">
        <w:t>be</w:t>
      </w:r>
      <w:proofErr w:type="spellEnd"/>
      <w:r w:rsidRPr="00E537E0">
        <w:t xml:space="preserve"> </w:t>
      </w:r>
      <w:proofErr w:type="spellStart"/>
      <w:r w:rsidRPr="00E537E0">
        <w:t>challenging</w:t>
      </w:r>
      <w:proofErr w:type="spellEnd"/>
      <w:r w:rsidRPr="00E537E0">
        <w:t xml:space="preserve">, </w:t>
      </w:r>
      <w:proofErr w:type="spellStart"/>
      <w:r w:rsidRPr="00E537E0">
        <w:t>where</w:t>
      </w:r>
      <w:proofErr w:type="spellEnd"/>
      <w:r w:rsidRPr="00E537E0">
        <w:t xml:space="preserve"> face-to-face </w:t>
      </w:r>
      <w:proofErr w:type="spellStart"/>
      <w:r w:rsidRPr="00E537E0">
        <w:t>meetings</w:t>
      </w:r>
      <w:proofErr w:type="spellEnd"/>
      <w:r w:rsidRPr="00E537E0">
        <w:t xml:space="preserve"> are </w:t>
      </w:r>
      <w:proofErr w:type="spellStart"/>
      <w:r w:rsidRPr="00E537E0">
        <w:t>restricted</w:t>
      </w:r>
      <w:proofErr w:type="spellEnd"/>
      <w:r w:rsidRPr="00E537E0">
        <w:t xml:space="preserve"> </w:t>
      </w:r>
      <w:proofErr w:type="spellStart"/>
      <w:r w:rsidRPr="00E537E0">
        <w:t>or</w:t>
      </w:r>
      <w:proofErr w:type="spellEnd"/>
      <w:r w:rsidRPr="00E537E0">
        <w:t xml:space="preserve"> </w:t>
      </w:r>
      <w:proofErr w:type="spellStart"/>
      <w:r w:rsidRPr="00E537E0">
        <w:t>prohibited</w:t>
      </w:r>
      <w:proofErr w:type="spellEnd"/>
      <w:r w:rsidRPr="00E537E0">
        <w:t xml:space="preserve">, </w:t>
      </w:r>
      <w:proofErr w:type="spellStart"/>
      <w:r w:rsidRPr="00E537E0">
        <w:t>and</w:t>
      </w:r>
      <w:proofErr w:type="spellEnd"/>
      <w:r w:rsidRPr="00E537E0">
        <w:t xml:space="preserve"> </w:t>
      </w:r>
      <w:proofErr w:type="spellStart"/>
      <w:r w:rsidRPr="00E537E0">
        <w:t>where</w:t>
      </w:r>
      <w:proofErr w:type="spellEnd"/>
      <w:r w:rsidRPr="00E537E0">
        <w:t xml:space="preserve"> IT </w:t>
      </w:r>
      <w:proofErr w:type="spellStart"/>
      <w:r w:rsidRPr="00E537E0">
        <w:t>solutions</w:t>
      </w:r>
      <w:proofErr w:type="spellEnd"/>
      <w:r w:rsidRPr="00E537E0">
        <w:t xml:space="preserve"> are </w:t>
      </w:r>
      <w:proofErr w:type="spellStart"/>
      <w:r w:rsidRPr="00E537E0">
        <w:t>limited</w:t>
      </w:r>
      <w:proofErr w:type="spellEnd"/>
      <w:r w:rsidRPr="00E537E0">
        <w:t xml:space="preserve"> </w:t>
      </w:r>
      <w:proofErr w:type="spellStart"/>
      <w:r w:rsidRPr="00E537E0">
        <w:t>or</w:t>
      </w:r>
      <w:proofErr w:type="spellEnd"/>
      <w:r w:rsidRPr="00E537E0">
        <w:t xml:space="preserve"> </w:t>
      </w:r>
      <w:proofErr w:type="spellStart"/>
      <w:r w:rsidRPr="00E537E0">
        <w:t>unreliable</w:t>
      </w:r>
      <w:proofErr w:type="spellEnd"/>
      <w:r w:rsidRPr="00E537E0">
        <w:t xml:space="preserve">. </w:t>
      </w:r>
    </w:p>
    <w:p w14:paraId="0A8A9EAB" w14:textId="77777777" w:rsidR="00740A8E" w:rsidRPr="00E537E0" w:rsidRDefault="00740A8E" w:rsidP="00E537E0">
      <w:proofErr w:type="spellStart"/>
      <w:r w:rsidRPr="00E537E0">
        <w:t>This</w:t>
      </w:r>
      <w:proofErr w:type="spellEnd"/>
      <w:r w:rsidRPr="00E537E0">
        <w:t xml:space="preserve"> note </w:t>
      </w:r>
      <w:proofErr w:type="spellStart"/>
      <w:r w:rsidRPr="00E537E0">
        <w:t>emphasizes</w:t>
      </w:r>
      <w:proofErr w:type="spellEnd"/>
      <w:r w:rsidRPr="00E537E0">
        <w:t xml:space="preserve"> </w:t>
      </w:r>
      <w:proofErr w:type="spellStart"/>
      <w:r w:rsidRPr="00E537E0">
        <w:t>the</w:t>
      </w:r>
      <w:proofErr w:type="spellEnd"/>
      <w:r w:rsidRPr="00E537E0">
        <w:t xml:space="preserve"> </w:t>
      </w:r>
      <w:proofErr w:type="spellStart"/>
      <w:r w:rsidRPr="00E537E0">
        <w:t>importance</w:t>
      </w:r>
      <w:proofErr w:type="spellEnd"/>
      <w:r w:rsidRPr="00E537E0">
        <w:t xml:space="preserve"> </w:t>
      </w:r>
      <w:proofErr w:type="spellStart"/>
      <w:r w:rsidRPr="00E537E0">
        <w:t>of</w:t>
      </w:r>
      <w:proofErr w:type="spellEnd"/>
      <w:r w:rsidRPr="00E537E0">
        <w:t xml:space="preserve"> </w:t>
      </w:r>
      <w:proofErr w:type="spellStart"/>
      <w:r w:rsidRPr="00E537E0">
        <w:t>careful</w:t>
      </w:r>
      <w:proofErr w:type="spellEnd"/>
      <w:r w:rsidRPr="00E537E0">
        <w:t xml:space="preserve"> </w:t>
      </w:r>
      <w:proofErr w:type="spellStart"/>
      <w:r w:rsidRPr="00E537E0">
        <w:t>scenario</w:t>
      </w:r>
      <w:proofErr w:type="spellEnd"/>
      <w:r w:rsidRPr="00E537E0">
        <w:t xml:space="preserve"> </w:t>
      </w:r>
      <w:proofErr w:type="spellStart"/>
      <w:r w:rsidRPr="00E537E0">
        <w:t>planning</w:t>
      </w:r>
      <w:proofErr w:type="spellEnd"/>
      <w:r w:rsidRPr="00E537E0">
        <w:t xml:space="preserve">, </w:t>
      </w:r>
      <w:proofErr w:type="spellStart"/>
      <w:r w:rsidRPr="00E537E0">
        <w:t>clear</w:t>
      </w:r>
      <w:proofErr w:type="spellEnd"/>
      <w:r w:rsidRPr="00E537E0">
        <w:t xml:space="preserve"> </w:t>
      </w:r>
      <w:proofErr w:type="spellStart"/>
      <w:r w:rsidRPr="00E537E0">
        <w:t>procedures</w:t>
      </w:r>
      <w:proofErr w:type="spellEnd"/>
      <w:r w:rsidRPr="00E537E0">
        <w:t xml:space="preserve"> </w:t>
      </w:r>
      <w:proofErr w:type="spellStart"/>
      <w:r w:rsidRPr="00E537E0">
        <w:t>and</w:t>
      </w:r>
      <w:proofErr w:type="spellEnd"/>
      <w:r w:rsidRPr="00E537E0">
        <w:t xml:space="preserve"> </w:t>
      </w:r>
      <w:proofErr w:type="spellStart"/>
      <w:r w:rsidRPr="00E537E0">
        <w:t>protocols</w:t>
      </w:r>
      <w:proofErr w:type="spellEnd"/>
      <w:r w:rsidRPr="00E537E0">
        <w:t xml:space="preserve">, management </w:t>
      </w:r>
      <w:proofErr w:type="spellStart"/>
      <w:r w:rsidRPr="00E537E0">
        <w:t>systems</w:t>
      </w:r>
      <w:proofErr w:type="spellEnd"/>
      <w:r w:rsidRPr="00E537E0">
        <w:t xml:space="preserve">, </w:t>
      </w:r>
      <w:proofErr w:type="spellStart"/>
      <w:r w:rsidRPr="00E537E0">
        <w:t>effective</w:t>
      </w:r>
      <w:proofErr w:type="spellEnd"/>
      <w:r w:rsidRPr="00E537E0">
        <w:t xml:space="preserve"> </w:t>
      </w:r>
      <w:proofErr w:type="spellStart"/>
      <w:r w:rsidRPr="00E537E0">
        <w:t>communication</w:t>
      </w:r>
      <w:proofErr w:type="spellEnd"/>
      <w:r w:rsidRPr="00E537E0">
        <w:t xml:space="preserve"> </w:t>
      </w:r>
      <w:proofErr w:type="spellStart"/>
      <w:r w:rsidRPr="00E537E0">
        <w:t>and</w:t>
      </w:r>
      <w:proofErr w:type="spellEnd"/>
      <w:r w:rsidRPr="00E537E0">
        <w:t xml:space="preserve"> </w:t>
      </w:r>
      <w:proofErr w:type="spellStart"/>
      <w:r w:rsidRPr="00E537E0">
        <w:t>coordination</w:t>
      </w:r>
      <w:proofErr w:type="spellEnd"/>
      <w:r w:rsidRPr="00E537E0">
        <w:t xml:space="preserve">, </w:t>
      </w:r>
      <w:proofErr w:type="spellStart"/>
      <w:r w:rsidRPr="00E537E0">
        <w:t>and</w:t>
      </w:r>
      <w:proofErr w:type="spellEnd"/>
      <w:r w:rsidRPr="00E537E0">
        <w:t xml:space="preserve"> </w:t>
      </w:r>
      <w:proofErr w:type="spellStart"/>
      <w:r w:rsidRPr="00E537E0">
        <w:t>the</w:t>
      </w:r>
      <w:proofErr w:type="spellEnd"/>
      <w:r w:rsidRPr="00E537E0">
        <w:t xml:space="preserve"> </w:t>
      </w:r>
      <w:proofErr w:type="spellStart"/>
      <w:r w:rsidRPr="00E537E0">
        <w:t>need</w:t>
      </w:r>
      <w:proofErr w:type="spellEnd"/>
      <w:r w:rsidRPr="00E537E0">
        <w:t xml:space="preserve"> for </w:t>
      </w:r>
      <w:proofErr w:type="spellStart"/>
      <w:r w:rsidRPr="00E537E0">
        <w:t>high</w:t>
      </w:r>
      <w:proofErr w:type="spellEnd"/>
      <w:r w:rsidRPr="00E537E0">
        <w:t xml:space="preserve"> </w:t>
      </w:r>
      <w:proofErr w:type="spellStart"/>
      <w:r w:rsidRPr="00E537E0">
        <w:t>levels</w:t>
      </w:r>
      <w:proofErr w:type="spellEnd"/>
      <w:r w:rsidRPr="00E537E0">
        <w:t xml:space="preserve"> </w:t>
      </w:r>
      <w:proofErr w:type="spellStart"/>
      <w:r w:rsidRPr="00E537E0">
        <w:t>of</w:t>
      </w:r>
      <w:proofErr w:type="spellEnd"/>
      <w:r w:rsidRPr="00E537E0">
        <w:t xml:space="preserve"> </w:t>
      </w:r>
      <w:proofErr w:type="spellStart"/>
      <w:r w:rsidRPr="00E537E0">
        <w:t>responsiveness</w:t>
      </w:r>
      <w:proofErr w:type="spellEnd"/>
      <w:r w:rsidRPr="00E537E0">
        <w:t xml:space="preserve"> </w:t>
      </w:r>
      <w:proofErr w:type="spellStart"/>
      <w:r w:rsidRPr="00E537E0">
        <w:t>in</w:t>
      </w:r>
      <w:proofErr w:type="spellEnd"/>
      <w:r w:rsidRPr="00E537E0">
        <w:t xml:space="preserve"> a </w:t>
      </w:r>
      <w:proofErr w:type="spellStart"/>
      <w:r w:rsidRPr="00E537E0">
        <w:t>changing</w:t>
      </w:r>
      <w:proofErr w:type="spellEnd"/>
      <w:r w:rsidRPr="00E537E0">
        <w:t xml:space="preserve"> </w:t>
      </w:r>
      <w:proofErr w:type="spellStart"/>
      <w:r w:rsidRPr="00E537E0">
        <w:t>environment</w:t>
      </w:r>
      <w:proofErr w:type="spellEnd"/>
      <w:r w:rsidRPr="00E537E0">
        <w:t xml:space="preserve">. </w:t>
      </w:r>
      <w:proofErr w:type="spellStart"/>
      <w:r w:rsidRPr="00E537E0">
        <w:t>It</w:t>
      </w:r>
      <w:proofErr w:type="spellEnd"/>
      <w:r w:rsidRPr="00E537E0">
        <w:t xml:space="preserve"> </w:t>
      </w:r>
      <w:proofErr w:type="spellStart"/>
      <w:r w:rsidRPr="00E537E0">
        <w:t>recommends</w:t>
      </w:r>
      <w:proofErr w:type="spellEnd"/>
      <w:r w:rsidRPr="00E537E0">
        <w:t xml:space="preserve"> </w:t>
      </w:r>
      <w:proofErr w:type="spellStart"/>
      <w:r w:rsidRPr="00E537E0">
        <w:t>assessing</w:t>
      </w:r>
      <w:proofErr w:type="spellEnd"/>
      <w:r w:rsidRPr="00E537E0">
        <w:t xml:space="preserve"> </w:t>
      </w:r>
      <w:proofErr w:type="spellStart"/>
      <w:r w:rsidRPr="00E537E0">
        <w:t>the</w:t>
      </w:r>
      <w:proofErr w:type="spellEnd"/>
      <w:r w:rsidRPr="00E537E0">
        <w:t xml:space="preserve"> </w:t>
      </w:r>
      <w:proofErr w:type="spellStart"/>
      <w:r w:rsidRPr="00E537E0">
        <w:t>current</w:t>
      </w:r>
      <w:proofErr w:type="spellEnd"/>
      <w:r w:rsidRPr="00E537E0">
        <w:t xml:space="preserve"> </w:t>
      </w:r>
      <w:proofErr w:type="spellStart"/>
      <w:r w:rsidRPr="00E537E0">
        <w:t>situation</w:t>
      </w:r>
      <w:proofErr w:type="spellEnd"/>
      <w:r w:rsidRPr="00E537E0">
        <w:t xml:space="preserve"> </w:t>
      </w:r>
      <w:proofErr w:type="spellStart"/>
      <w:r w:rsidRPr="00E537E0">
        <w:t>of</w:t>
      </w:r>
      <w:proofErr w:type="spellEnd"/>
      <w:r w:rsidRPr="00E537E0">
        <w:t xml:space="preserve"> </w:t>
      </w:r>
      <w:proofErr w:type="spellStart"/>
      <w:r w:rsidRPr="00E537E0">
        <w:t>the</w:t>
      </w:r>
      <w:proofErr w:type="spellEnd"/>
      <w:r w:rsidRPr="00E537E0">
        <w:t xml:space="preserve"> </w:t>
      </w:r>
      <w:proofErr w:type="spellStart"/>
      <w:r w:rsidRPr="00E537E0">
        <w:t>project</w:t>
      </w:r>
      <w:proofErr w:type="spellEnd"/>
      <w:r w:rsidRPr="00E537E0">
        <w:t xml:space="preserve">, </w:t>
      </w:r>
      <w:proofErr w:type="spellStart"/>
      <w:r w:rsidRPr="00E537E0">
        <w:t>putting</w:t>
      </w:r>
      <w:proofErr w:type="spellEnd"/>
      <w:r w:rsidRPr="00E537E0">
        <w:t xml:space="preserve"> </w:t>
      </w:r>
      <w:proofErr w:type="spellStart"/>
      <w:r w:rsidRPr="00E537E0">
        <w:t>in</w:t>
      </w:r>
      <w:proofErr w:type="spellEnd"/>
      <w:r w:rsidRPr="00E537E0">
        <w:t xml:space="preserve"> place </w:t>
      </w:r>
      <w:proofErr w:type="spellStart"/>
      <w:r w:rsidRPr="00E537E0">
        <w:t>mitigation</w:t>
      </w:r>
      <w:proofErr w:type="spellEnd"/>
      <w:r w:rsidRPr="00E537E0">
        <w:t xml:space="preserve"> </w:t>
      </w:r>
      <w:proofErr w:type="spellStart"/>
      <w:r w:rsidRPr="00E537E0">
        <w:t>measures</w:t>
      </w:r>
      <w:proofErr w:type="spellEnd"/>
      <w:r w:rsidRPr="00E537E0">
        <w:t xml:space="preserve"> to </w:t>
      </w:r>
      <w:proofErr w:type="spellStart"/>
      <w:r w:rsidRPr="00E537E0">
        <w:t>avoid</w:t>
      </w:r>
      <w:proofErr w:type="spellEnd"/>
      <w:r w:rsidRPr="00E537E0">
        <w:t xml:space="preserve"> </w:t>
      </w:r>
      <w:proofErr w:type="spellStart"/>
      <w:r w:rsidRPr="00E537E0">
        <w:t>or</w:t>
      </w:r>
      <w:proofErr w:type="spellEnd"/>
      <w:r w:rsidRPr="00E537E0">
        <w:t xml:space="preserve"> </w:t>
      </w:r>
      <w:proofErr w:type="spellStart"/>
      <w:r w:rsidRPr="00E537E0">
        <w:t>minimize</w:t>
      </w:r>
      <w:proofErr w:type="spellEnd"/>
      <w:r w:rsidRPr="00E537E0">
        <w:t xml:space="preserve"> </w:t>
      </w:r>
      <w:proofErr w:type="spellStart"/>
      <w:r w:rsidRPr="00E537E0">
        <w:t>the</w:t>
      </w:r>
      <w:proofErr w:type="spellEnd"/>
      <w:r w:rsidRPr="00E537E0">
        <w:t xml:space="preserve"> </w:t>
      </w:r>
      <w:proofErr w:type="spellStart"/>
      <w:r w:rsidRPr="00E537E0">
        <w:t>chance</w:t>
      </w:r>
      <w:proofErr w:type="spellEnd"/>
      <w:r w:rsidRPr="00E537E0">
        <w:t xml:space="preserve"> </w:t>
      </w:r>
      <w:proofErr w:type="spellStart"/>
      <w:r w:rsidRPr="00E537E0">
        <w:t>of</w:t>
      </w:r>
      <w:proofErr w:type="spellEnd"/>
      <w:r w:rsidRPr="00E537E0">
        <w:t xml:space="preserve"> </w:t>
      </w:r>
      <w:proofErr w:type="spellStart"/>
      <w:r w:rsidRPr="00E537E0">
        <w:t>infection</w:t>
      </w:r>
      <w:proofErr w:type="spellEnd"/>
      <w:r w:rsidRPr="00E537E0">
        <w:t xml:space="preserve">, </w:t>
      </w:r>
      <w:proofErr w:type="spellStart"/>
      <w:r w:rsidRPr="00E537E0">
        <w:t>and</w:t>
      </w:r>
      <w:proofErr w:type="spellEnd"/>
      <w:r w:rsidRPr="00E537E0">
        <w:t xml:space="preserve"> </w:t>
      </w:r>
      <w:proofErr w:type="spellStart"/>
      <w:r w:rsidRPr="00E537E0">
        <w:t>planning</w:t>
      </w:r>
      <w:proofErr w:type="spellEnd"/>
      <w:r w:rsidRPr="00E537E0">
        <w:t xml:space="preserve"> </w:t>
      </w:r>
      <w:proofErr w:type="spellStart"/>
      <w:r w:rsidRPr="00E537E0">
        <w:t>what</w:t>
      </w:r>
      <w:proofErr w:type="spellEnd"/>
      <w:r w:rsidRPr="00E537E0">
        <w:t xml:space="preserve"> to do </w:t>
      </w:r>
      <w:proofErr w:type="spellStart"/>
      <w:r w:rsidRPr="00E537E0">
        <w:t>if</w:t>
      </w:r>
      <w:proofErr w:type="spellEnd"/>
      <w:r w:rsidRPr="00E537E0">
        <w:t xml:space="preserve"> </w:t>
      </w:r>
      <w:proofErr w:type="spellStart"/>
      <w:r w:rsidRPr="00E537E0">
        <w:t>either</w:t>
      </w:r>
      <w:proofErr w:type="spellEnd"/>
      <w:r w:rsidRPr="00E537E0">
        <w:t xml:space="preserve"> </w:t>
      </w:r>
      <w:proofErr w:type="spellStart"/>
      <w:r w:rsidRPr="00E537E0">
        <w:t>project</w:t>
      </w:r>
      <w:proofErr w:type="spellEnd"/>
      <w:r w:rsidRPr="00E537E0">
        <w:t xml:space="preserve"> </w:t>
      </w:r>
      <w:proofErr w:type="spellStart"/>
      <w:r w:rsidRPr="00E537E0">
        <w:t>workers</w:t>
      </w:r>
      <w:proofErr w:type="spellEnd"/>
      <w:r w:rsidRPr="00E537E0">
        <w:t xml:space="preserve"> </w:t>
      </w:r>
      <w:proofErr w:type="spellStart"/>
      <w:r w:rsidRPr="00E537E0">
        <w:t>become</w:t>
      </w:r>
      <w:proofErr w:type="spellEnd"/>
      <w:r w:rsidRPr="00E537E0">
        <w:t xml:space="preserve"> </w:t>
      </w:r>
      <w:proofErr w:type="spellStart"/>
      <w:r w:rsidRPr="00E537E0">
        <w:t>infected</w:t>
      </w:r>
      <w:proofErr w:type="spellEnd"/>
      <w:r w:rsidRPr="00E537E0">
        <w:t xml:space="preserve"> </w:t>
      </w:r>
      <w:proofErr w:type="spellStart"/>
      <w:r w:rsidRPr="00E537E0">
        <w:t>or</w:t>
      </w:r>
      <w:proofErr w:type="spellEnd"/>
      <w:r w:rsidRPr="00E537E0">
        <w:t xml:space="preserve"> </w:t>
      </w:r>
      <w:proofErr w:type="spellStart"/>
      <w:r w:rsidRPr="00E537E0">
        <w:t>the</w:t>
      </w:r>
      <w:proofErr w:type="spellEnd"/>
      <w:r w:rsidRPr="00E537E0">
        <w:t xml:space="preserve"> </w:t>
      </w:r>
      <w:proofErr w:type="spellStart"/>
      <w:r w:rsidRPr="00E537E0">
        <w:t>work</w:t>
      </w:r>
      <w:proofErr w:type="spellEnd"/>
      <w:r w:rsidRPr="00E537E0">
        <w:t xml:space="preserve"> </w:t>
      </w:r>
      <w:proofErr w:type="spellStart"/>
      <w:r w:rsidRPr="00E537E0">
        <w:t>force</w:t>
      </w:r>
      <w:proofErr w:type="spellEnd"/>
      <w:r w:rsidRPr="00E537E0">
        <w:t xml:space="preserve"> </w:t>
      </w:r>
      <w:proofErr w:type="spellStart"/>
      <w:r w:rsidRPr="00E537E0">
        <w:t>includes</w:t>
      </w:r>
      <w:proofErr w:type="spellEnd"/>
      <w:r w:rsidRPr="00E537E0">
        <w:t xml:space="preserve"> </w:t>
      </w:r>
      <w:proofErr w:type="spellStart"/>
      <w:r w:rsidRPr="00E537E0">
        <w:t>workers</w:t>
      </w:r>
      <w:proofErr w:type="spellEnd"/>
      <w:r w:rsidRPr="00E537E0">
        <w:t xml:space="preserve"> </w:t>
      </w:r>
      <w:proofErr w:type="spellStart"/>
      <w:r w:rsidRPr="00E537E0">
        <w:t>from</w:t>
      </w:r>
      <w:proofErr w:type="spellEnd"/>
      <w:r w:rsidRPr="00E537E0">
        <w:t xml:space="preserve"> </w:t>
      </w:r>
      <w:proofErr w:type="spellStart"/>
      <w:r w:rsidRPr="00E537E0">
        <w:t>proximate</w:t>
      </w:r>
      <w:proofErr w:type="spellEnd"/>
      <w:r w:rsidRPr="00E537E0">
        <w:t xml:space="preserve"> </w:t>
      </w:r>
      <w:proofErr w:type="spellStart"/>
      <w:r w:rsidRPr="00E537E0">
        <w:t>communities</w:t>
      </w:r>
      <w:proofErr w:type="spellEnd"/>
      <w:r w:rsidRPr="00E537E0">
        <w:t xml:space="preserve"> </w:t>
      </w:r>
      <w:proofErr w:type="spellStart"/>
      <w:r w:rsidRPr="00E537E0">
        <w:t>affected</w:t>
      </w:r>
      <w:proofErr w:type="spellEnd"/>
      <w:r w:rsidRPr="00E537E0">
        <w:t xml:space="preserve"> </w:t>
      </w:r>
      <w:proofErr w:type="spellStart"/>
      <w:r w:rsidRPr="00E537E0">
        <w:t>by</w:t>
      </w:r>
      <w:proofErr w:type="spellEnd"/>
      <w:r w:rsidRPr="00E537E0">
        <w:t xml:space="preserve"> COVID-19. In </w:t>
      </w:r>
      <w:proofErr w:type="spellStart"/>
      <w:r w:rsidRPr="00E537E0">
        <w:t>many</w:t>
      </w:r>
      <w:proofErr w:type="spellEnd"/>
      <w:r w:rsidRPr="00E537E0">
        <w:t xml:space="preserve"> </w:t>
      </w:r>
      <w:proofErr w:type="spellStart"/>
      <w:r w:rsidRPr="00E537E0">
        <w:t>projects</w:t>
      </w:r>
      <w:proofErr w:type="spellEnd"/>
      <w:r w:rsidRPr="00E537E0">
        <w:t xml:space="preserve">, </w:t>
      </w:r>
      <w:proofErr w:type="spellStart"/>
      <w:r w:rsidRPr="00E537E0">
        <w:t>measures</w:t>
      </w:r>
      <w:proofErr w:type="spellEnd"/>
      <w:r w:rsidRPr="00E537E0">
        <w:t xml:space="preserve"> to </w:t>
      </w:r>
      <w:proofErr w:type="spellStart"/>
      <w:r w:rsidRPr="00E537E0">
        <w:t>avoid</w:t>
      </w:r>
      <w:proofErr w:type="spellEnd"/>
      <w:r w:rsidRPr="00E537E0">
        <w:t xml:space="preserve"> </w:t>
      </w:r>
      <w:proofErr w:type="spellStart"/>
      <w:r w:rsidRPr="00E537E0">
        <w:t>or</w:t>
      </w:r>
      <w:proofErr w:type="spellEnd"/>
      <w:r w:rsidRPr="00E537E0">
        <w:t xml:space="preserve"> </w:t>
      </w:r>
      <w:proofErr w:type="spellStart"/>
      <w:r w:rsidRPr="00E537E0">
        <w:t>minimize</w:t>
      </w:r>
      <w:proofErr w:type="spellEnd"/>
      <w:r w:rsidRPr="00E537E0">
        <w:t xml:space="preserve"> </w:t>
      </w:r>
      <w:proofErr w:type="spellStart"/>
      <w:r w:rsidRPr="00E537E0">
        <w:t>will</w:t>
      </w:r>
      <w:proofErr w:type="spellEnd"/>
      <w:r w:rsidRPr="00E537E0">
        <w:t xml:space="preserve"> </w:t>
      </w:r>
      <w:proofErr w:type="spellStart"/>
      <w:r w:rsidRPr="00E537E0">
        <w:t>need</w:t>
      </w:r>
      <w:proofErr w:type="spellEnd"/>
      <w:r w:rsidRPr="00E537E0">
        <w:t xml:space="preserve"> to </w:t>
      </w:r>
      <w:proofErr w:type="spellStart"/>
      <w:r w:rsidRPr="00E537E0">
        <w:t>be</w:t>
      </w:r>
      <w:proofErr w:type="spellEnd"/>
      <w:r w:rsidRPr="00E537E0">
        <w:t xml:space="preserve"> </w:t>
      </w:r>
      <w:proofErr w:type="spellStart"/>
      <w:r w:rsidRPr="00E537E0">
        <w:t>implemented</w:t>
      </w:r>
      <w:proofErr w:type="spellEnd"/>
      <w:r w:rsidRPr="00E537E0">
        <w:t xml:space="preserve"> at </w:t>
      </w:r>
      <w:proofErr w:type="spellStart"/>
      <w:r w:rsidRPr="00E537E0">
        <w:t>the</w:t>
      </w:r>
      <w:proofErr w:type="spellEnd"/>
      <w:r w:rsidRPr="00E537E0">
        <w:t xml:space="preserve"> same time as </w:t>
      </w:r>
      <w:proofErr w:type="spellStart"/>
      <w:r w:rsidRPr="00E537E0">
        <w:t>dealing</w:t>
      </w:r>
      <w:proofErr w:type="spellEnd"/>
      <w:r w:rsidRPr="00E537E0">
        <w:t xml:space="preserve"> </w:t>
      </w:r>
      <w:proofErr w:type="spellStart"/>
      <w:r w:rsidRPr="00E537E0">
        <w:t>with</w:t>
      </w:r>
      <w:proofErr w:type="spellEnd"/>
      <w:r w:rsidRPr="00E537E0">
        <w:t xml:space="preserve"> </w:t>
      </w:r>
      <w:proofErr w:type="spellStart"/>
      <w:r w:rsidRPr="00E537E0">
        <w:t>sick</w:t>
      </w:r>
      <w:proofErr w:type="spellEnd"/>
      <w:r w:rsidRPr="00E537E0">
        <w:t xml:space="preserve"> </w:t>
      </w:r>
      <w:proofErr w:type="spellStart"/>
      <w:r w:rsidRPr="00E537E0">
        <w:t>workers</w:t>
      </w:r>
      <w:proofErr w:type="spellEnd"/>
      <w:r w:rsidRPr="00E537E0">
        <w:t xml:space="preserve"> </w:t>
      </w:r>
      <w:proofErr w:type="spellStart"/>
      <w:r w:rsidRPr="00E537E0">
        <w:t>and</w:t>
      </w:r>
      <w:proofErr w:type="spellEnd"/>
      <w:r w:rsidRPr="00E537E0">
        <w:t xml:space="preserve"> </w:t>
      </w:r>
      <w:proofErr w:type="spellStart"/>
      <w:r w:rsidRPr="00E537E0">
        <w:t>relations</w:t>
      </w:r>
      <w:proofErr w:type="spellEnd"/>
      <w:r w:rsidRPr="00E537E0">
        <w:t xml:space="preserve"> </w:t>
      </w:r>
      <w:proofErr w:type="spellStart"/>
      <w:r w:rsidRPr="00E537E0">
        <w:t>with</w:t>
      </w:r>
      <w:proofErr w:type="spellEnd"/>
      <w:r w:rsidRPr="00E537E0">
        <w:t xml:space="preserve"> </w:t>
      </w:r>
      <w:proofErr w:type="spellStart"/>
      <w:r w:rsidRPr="00E537E0">
        <w:t>the</w:t>
      </w:r>
      <w:proofErr w:type="spellEnd"/>
      <w:r w:rsidRPr="00E537E0">
        <w:t xml:space="preserve"> </w:t>
      </w:r>
      <w:proofErr w:type="spellStart"/>
      <w:r w:rsidRPr="00E537E0">
        <w:t>community</w:t>
      </w:r>
      <w:proofErr w:type="spellEnd"/>
      <w:r w:rsidRPr="00E537E0">
        <w:t xml:space="preserve">, some </w:t>
      </w:r>
      <w:proofErr w:type="spellStart"/>
      <w:r w:rsidRPr="00E537E0">
        <w:t>of</w:t>
      </w:r>
      <w:proofErr w:type="spellEnd"/>
      <w:r w:rsidRPr="00E537E0">
        <w:t xml:space="preserve"> </w:t>
      </w:r>
      <w:proofErr w:type="spellStart"/>
      <w:r w:rsidRPr="00E537E0">
        <w:t>whom</w:t>
      </w:r>
      <w:proofErr w:type="spellEnd"/>
      <w:r w:rsidRPr="00E537E0">
        <w:t xml:space="preserve"> </w:t>
      </w:r>
      <w:proofErr w:type="spellStart"/>
      <w:r w:rsidRPr="00E537E0">
        <w:t>may</w:t>
      </w:r>
      <w:proofErr w:type="spellEnd"/>
      <w:r w:rsidRPr="00E537E0">
        <w:t xml:space="preserve"> </w:t>
      </w:r>
      <w:proofErr w:type="spellStart"/>
      <w:r w:rsidRPr="00E537E0">
        <w:t>also</w:t>
      </w:r>
      <w:proofErr w:type="spellEnd"/>
      <w:r w:rsidRPr="00E537E0">
        <w:t xml:space="preserve"> </w:t>
      </w:r>
      <w:proofErr w:type="spellStart"/>
      <w:r w:rsidRPr="00E537E0">
        <w:t>be</w:t>
      </w:r>
      <w:proofErr w:type="spellEnd"/>
      <w:r w:rsidRPr="00E537E0">
        <w:t xml:space="preserve"> </w:t>
      </w:r>
      <w:proofErr w:type="spellStart"/>
      <w:r w:rsidRPr="00E537E0">
        <w:t>ill</w:t>
      </w:r>
      <w:proofErr w:type="spellEnd"/>
      <w:r w:rsidRPr="00E537E0">
        <w:t xml:space="preserve"> </w:t>
      </w:r>
      <w:proofErr w:type="spellStart"/>
      <w:r w:rsidRPr="00E537E0">
        <w:t>or</w:t>
      </w:r>
      <w:proofErr w:type="spellEnd"/>
      <w:r w:rsidRPr="00E537E0">
        <w:t xml:space="preserve"> </w:t>
      </w:r>
      <w:proofErr w:type="spellStart"/>
      <w:r w:rsidRPr="00E537E0">
        <w:t>concerned</w:t>
      </w:r>
      <w:proofErr w:type="spellEnd"/>
      <w:r w:rsidRPr="00E537E0">
        <w:t xml:space="preserve"> </w:t>
      </w:r>
      <w:proofErr w:type="spellStart"/>
      <w:r w:rsidRPr="00E537E0">
        <w:t>about</w:t>
      </w:r>
      <w:proofErr w:type="spellEnd"/>
      <w:r w:rsidRPr="00E537E0">
        <w:t xml:space="preserve"> </w:t>
      </w:r>
      <w:proofErr w:type="spellStart"/>
      <w:r w:rsidRPr="00E537E0">
        <w:t>infection</w:t>
      </w:r>
      <w:proofErr w:type="spellEnd"/>
      <w:r w:rsidRPr="00E537E0">
        <w:t xml:space="preserve">. </w:t>
      </w:r>
      <w:proofErr w:type="spellStart"/>
      <w:r w:rsidRPr="00E537E0">
        <w:t>Borrowers</w:t>
      </w:r>
      <w:proofErr w:type="spellEnd"/>
      <w:r w:rsidRPr="00E537E0">
        <w:t xml:space="preserve"> </w:t>
      </w:r>
      <w:proofErr w:type="spellStart"/>
      <w:r w:rsidRPr="00E537E0">
        <w:t>should</w:t>
      </w:r>
      <w:proofErr w:type="spellEnd"/>
      <w:r w:rsidRPr="00E537E0">
        <w:t xml:space="preserve"> </w:t>
      </w:r>
      <w:proofErr w:type="spellStart"/>
      <w:r w:rsidRPr="00E537E0">
        <w:t>understand</w:t>
      </w:r>
      <w:proofErr w:type="spellEnd"/>
      <w:r w:rsidRPr="00E537E0">
        <w:t xml:space="preserve"> </w:t>
      </w:r>
      <w:proofErr w:type="spellStart"/>
      <w:r w:rsidRPr="00E537E0">
        <w:t>the</w:t>
      </w:r>
      <w:proofErr w:type="spellEnd"/>
      <w:r w:rsidRPr="00E537E0">
        <w:t xml:space="preserve"> </w:t>
      </w:r>
      <w:proofErr w:type="spellStart"/>
      <w:r w:rsidRPr="00E537E0">
        <w:t>obligations</w:t>
      </w:r>
      <w:proofErr w:type="spellEnd"/>
      <w:r w:rsidRPr="00E537E0">
        <w:t xml:space="preserve"> </w:t>
      </w:r>
      <w:proofErr w:type="spellStart"/>
      <w:r w:rsidRPr="00E537E0">
        <w:t>that</w:t>
      </w:r>
      <w:proofErr w:type="spellEnd"/>
      <w:r w:rsidRPr="00E537E0">
        <w:t xml:space="preserve"> </w:t>
      </w:r>
      <w:proofErr w:type="spellStart"/>
      <w:r w:rsidRPr="00E537E0">
        <w:t>contractors</w:t>
      </w:r>
      <w:proofErr w:type="spellEnd"/>
      <w:r w:rsidRPr="00E537E0">
        <w:t xml:space="preserve"> </w:t>
      </w:r>
      <w:proofErr w:type="spellStart"/>
      <w:r w:rsidRPr="00E537E0">
        <w:t>have</w:t>
      </w:r>
      <w:proofErr w:type="spellEnd"/>
      <w:r w:rsidRPr="00E537E0">
        <w:t xml:space="preserve"> </w:t>
      </w:r>
      <w:proofErr w:type="spellStart"/>
      <w:r w:rsidRPr="00E537E0">
        <w:t>under</w:t>
      </w:r>
      <w:proofErr w:type="spellEnd"/>
      <w:r w:rsidRPr="00E537E0">
        <w:t xml:space="preserve"> </w:t>
      </w:r>
      <w:proofErr w:type="spellStart"/>
      <w:r w:rsidRPr="00E537E0">
        <w:t>their</w:t>
      </w:r>
      <w:proofErr w:type="spellEnd"/>
      <w:r w:rsidRPr="00E537E0">
        <w:t xml:space="preserve"> </w:t>
      </w:r>
      <w:proofErr w:type="spellStart"/>
      <w:r w:rsidRPr="00E537E0">
        <w:t>existing</w:t>
      </w:r>
      <w:proofErr w:type="spellEnd"/>
      <w:r w:rsidRPr="00E537E0">
        <w:t xml:space="preserve"> </w:t>
      </w:r>
      <w:proofErr w:type="spellStart"/>
      <w:r w:rsidRPr="00E537E0">
        <w:t>contracts</w:t>
      </w:r>
      <w:proofErr w:type="spellEnd"/>
      <w:r w:rsidRPr="00E537E0">
        <w:t xml:space="preserve"> (</w:t>
      </w:r>
      <w:proofErr w:type="spellStart"/>
      <w:r w:rsidRPr="00E537E0">
        <w:t>see</w:t>
      </w:r>
      <w:proofErr w:type="spellEnd"/>
      <w:r w:rsidRPr="00E537E0">
        <w:t xml:space="preserve"> </w:t>
      </w:r>
      <w:proofErr w:type="spellStart"/>
      <w:r w:rsidRPr="00E537E0">
        <w:t>Section</w:t>
      </w:r>
      <w:proofErr w:type="spellEnd"/>
      <w:r w:rsidRPr="00E537E0">
        <w:t xml:space="preserve"> 3), </w:t>
      </w:r>
      <w:proofErr w:type="spellStart"/>
      <w:r w:rsidRPr="00E537E0">
        <w:t>require</w:t>
      </w:r>
      <w:proofErr w:type="spellEnd"/>
      <w:r w:rsidRPr="00E537E0">
        <w:t xml:space="preserve"> </w:t>
      </w:r>
      <w:proofErr w:type="spellStart"/>
      <w:r w:rsidRPr="00E537E0">
        <w:t>contractors</w:t>
      </w:r>
      <w:proofErr w:type="spellEnd"/>
      <w:r w:rsidRPr="00E537E0">
        <w:t xml:space="preserve"> to put </w:t>
      </w:r>
      <w:proofErr w:type="spellStart"/>
      <w:r w:rsidRPr="00E537E0">
        <w:t>in</w:t>
      </w:r>
      <w:proofErr w:type="spellEnd"/>
      <w:r w:rsidRPr="00E537E0">
        <w:t xml:space="preserve"> place </w:t>
      </w:r>
      <w:proofErr w:type="spellStart"/>
      <w:r w:rsidRPr="00E537E0">
        <w:t>appropriate</w:t>
      </w:r>
      <w:proofErr w:type="spellEnd"/>
      <w:r w:rsidRPr="00E537E0">
        <w:t xml:space="preserve"> </w:t>
      </w:r>
      <w:proofErr w:type="spellStart"/>
      <w:r w:rsidRPr="00E537E0">
        <w:t>organizational</w:t>
      </w:r>
      <w:proofErr w:type="spellEnd"/>
      <w:r w:rsidRPr="00E537E0">
        <w:t xml:space="preserve"> </w:t>
      </w:r>
      <w:proofErr w:type="spellStart"/>
      <w:r w:rsidRPr="00E537E0">
        <w:t>structures</w:t>
      </w:r>
      <w:proofErr w:type="spellEnd"/>
      <w:r w:rsidRPr="00E537E0">
        <w:t xml:space="preserve"> (</w:t>
      </w:r>
      <w:proofErr w:type="spellStart"/>
      <w:r w:rsidRPr="00E537E0">
        <w:t>see</w:t>
      </w:r>
      <w:proofErr w:type="spellEnd"/>
      <w:r w:rsidRPr="00E537E0">
        <w:t xml:space="preserve"> </w:t>
      </w:r>
      <w:proofErr w:type="spellStart"/>
      <w:r w:rsidRPr="00E537E0">
        <w:t>Section</w:t>
      </w:r>
      <w:proofErr w:type="spellEnd"/>
      <w:r w:rsidRPr="00E537E0">
        <w:t xml:space="preserve"> 4) </w:t>
      </w:r>
      <w:proofErr w:type="spellStart"/>
      <w:r w:rsidRPr="00E537E0">
        <w:t>and</w:t>
      </w:r>
      <w:proofErr w:type="spellEnd"/>
      <w:r w:rsidRPr="00E537E0">
        <w:t xml:space="preserve"> </w:t>
      </w:r>
      <w:proofErr w:type="spellStart"/>
      <w:r w:rsidRPr="00E537E0">
        <w:t>develop</w:t>
      </w:r>
      <w:proofErr w:type="spellEnd"/>
      <w:r w:rsidRPr="00E537E0">
        <w:t xml:space="preserve"> </w:t>
      </w:r>
      <w:proofErr w:type="spellStart"/>
      <w:r w:rsidRPr="00E537E0">
        <w:t>procedures</w:t>
      </w:r>
      <w:proofErr w:type="spellEnd"/>
      <w:r w:rsidRPr="00E537E0">
        <w:t xml:space="preserve"> to </w:t>
      </w:r>
      <w:proofErr w:type="spellStart"/>
      <w:r w:rsidRPr="00E537E0">
        <w:t>address</w:t>
      </w:r>
      <w:proofErr w:type="spellEnd"/>
      <w:r w:rsidRPr="00E537E0">
        <w:t xml:space="preserve"> </w:t>
      </w:r>
      <w:proofErr w:type="spellStart"/>
      <w:r w:rsidRPr="00E537E0">
        <w:t>different</w:t>
      </w:r>
      <w:proofErr w:type="spellEnd"/>
      <w:r w:rsidRPr="00E537E0">
        <w:t xml:space="preserve"> </w:t>
      </w:r>
      <w:proofErr w:type="spellStart"/>
      <w:r w:rsidRPr="00E537E0">
        <w:t>aspects</w:t>
      </w:r>
      <w:proofErr w:type="spellEnd"/>
      <w:r w:rsidRPr="00E537E0">
        <w:t xml:space="preserve"> </w:t>
      </w:r>
      <w:proofErr w:type="spellStart"/>
      <w:r w:rsidRPr="00E537E0">
        <w:t>of</w:t>
      </w:r>
      <w:proofErr w:type="spellEnd"/>
      <w:r w:rsidRPr="00E537E0">
        <w:t xml:space="preserve"> COVID-19 (</w:t>
      </w:r>
      <w:proofErr w:type="spellStart"/>
      <w:r w:rsidRPr="00E537E0">
        <w:t>see</w:t>
      </w:r>
      <w:proofErr w:type="spellEnd"/>
      <w:r w:rsidRPr="00E537E0">
        <w:t xml:space="preserve"> </w:t>
      </w:r>
      <w:proofErr w:type="spellStart"/>
      <w:r w:rsidRPr="00E537E0">
        <w:t>Section</w:t>
      </w:r>
      <w:proofErr w:type="spellEnd"/>
      <w:r w:rsidRPr="00E537E0">
        <w:t xml:space="preserve"> 5). </w:t>
      </w:r>
    </w:p>
    <w:p w14:paraId="02F5B21C"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b/>
          <w:bCs/>
          <w:color w:val="000000"/>
          <w:lang w:val="en-GB"/>
        </w:rPr>
      </w:pPr>
    </w:p>
    <w:p w14:paraId="26BE8130" w14:textId="3D4B1047"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b/>
          <w:bCs/>
          <w:color w:val="000000"/>
          <w:lang w:val="en-GB"/>
        </w:rPr>
      </w:pPr>
      <w:r w:rsidRPr="00740A8E">
        <w:rPr>
          <w:rFonts w:ascii="Calibri" w:hAnsi="Calibri" w:cs="Calibri"/>
          <w:b/>
          <w:bCs/>
          <w:color w:val="000000"/>
          <w:lang w:val="en-GB"/>
        </w:rPr>
        <w:t xml:space="preserve">CHALLENGES WITH CONSTRUCTION/CIVIL WORKS </w:t>
      </w:r>
    </w:p>
    <w:p w14:paraId="756EDDF0" w14:textId="77777777" w:rsidR="00740A8E" w:rsidRPr="00E537E0" w:rsidRDefault="00740A8E" w:rsidP="00E537E0">
      <w:proofErr w:type="spellStart"/>
      <w:r w:rsidRPr="00E537E0">
        <w:t>Projects</w:t>
      </w:r>
      <w:proofErr w:type="spellEnd"/>
      <w:r w:rsidRPr="00E537E0">
        <w:t xml:space="preserve"> </w:t>
      </w:r>
      <w:proofErr w:type="spellStart"/>
      <w:r w:rsidRPr="00E537E0">
        <w:t>involving</w:t>
      </w:r>
      <w:proofErr w:type="spellEnd"/>
      <w:r w:rsidRPr="00E537E0">
        <w:t xml:space="preserve"> </w:t>
      </w:r>
      <w:proofErr w:type="spellStart"/>
      <w:r w:rsidRPr="00E537E0">
        <w:t>construction</w:t>
      </w:r>
      <w:proofErr w:type="spellEnd"/>
      <w:r w:rsidRPr="00E537E0">
        <w:t xml:space="preserve">/civil </w:t>
      </w:r>
      <w:proofErr w:type="spellStart"/>
      <w:r w:rsidRPr="00E537E0">
        <w:t>works</w:t>
      </w:r>
      <w:proofErr w:type="spellEnd"/>
      <w:r w:rsidRPr="00E537E0">
        <w:t xml:space="preserve"> </w:t>
      </w:r>
      <w:proofErr w:type="spellStart"/>
      <w:r w:rsidRPr="00E537E0">
        <w:t>frequently</w:t>
      </w:r>
      <w:proofErr w:type="spellEnd"/>
      <w:r w:rsidRPr="00E537E0">
        <w:t xml:space="preserve"> </w:t>
      </w:r>
      <w:proofErr w:type="spellStart"/>
      <w:r w:rsidRPr="00E537E0">
        <w:t>involve</w:t>
      </w:r>
      <w:proofErr w:type="spellEnd"/>
      <w:r w:rsidRPr="00E537E0">
        <w:t xml:space="preserve"> a </w:t>
      </w:r>
      <w:proofErr w:type="spellStart"/>
      <w:r w:rsidRPr="00E537E0">
        <w:t>large</w:t>
      </w:r>
      <w:proofErr w:type="spellEnd"/>
      <w:r w:rsidRPr="00E537E0">
        <w:t xml:space="preserve"> </w:t>
      </w:r>
      <w:proofErr w:type="spellStart"/>
      <w:r w:rsidRPr="00E537E0">
        <w:t>work</w:t>
      </w:r>
      <w:proofErr w:type="spellEnd"/>
      <w:r w:rsidRPr="00E537E0">
        <w:t xml:space="preserve"> </w:t>
      </w:r>
      <w:proofErr w:type="spellStart"/>
      <w:r w:rsidRPr="00E537E0">
        <w:t>force</w:t>
      </w:r>
      <w:proofErr w:type="spellEnd"/>
      <w:r w:rsidRPr="00E537E0">
        <w:t xml:space="preserve">, </w:t>
      </w:r>
      <w:proofErr w:type="spellStart"/>
      <w:r w:rsidRPr="00E537E0">
        <w:t>together</w:t>
      </w:r>
      <w:proofErr w:type="spellEnd"/>
      <w:r w:rsidRPr="00E537E0">
        <w:t xml:space="preserve"> </w:t>
      </w:r>
      <w:proofErr w:type="spellStart"/>
      <w:r w:rsidRPr="00E537E0">
        <w:t>with</w:t>
      </w:r>
      <w:proofErr w:type="spellEnd"/>
      <w:r w:rsidRPr="00E537E0">
        <w:t xml:space="preserve"> </w:t>
      </w:r>
      <w:proofErr w:type="spellStart"/>
      <w:r w:rsidRPr="00E537E0">
        <w:t>suppliers</w:t>
      </w:r>
      <w:proofErr w:type="spellEnd"/>
      <w:r w:rsidRPr="00E537E0">
        <w:t xml:space="preserve"> </w:t>
      </w:r>
      <w:proofErr w:type="spellStart"/>
      <w:r w:rsidRPr="00E537E0">
        <w:t>and</w:t>
      </w:r>
      <w:proofErr w:type="spellEnd"/>
      <w:r w:rsidRPr="00E537E0">
        <w:t xml:space="preserve"> </w:t>
      </w:r>
      <w:proofErr w:type="spellStart"/>
      <w:r w:rsidRPr="00E537E0">
        <w:t>supporting</w:t>
      </w:r>
      <w:proofErr w:type="spellEnd"/>
      <w:r w:rsidRPr="00E537E0">
        <w:t xml:space="preserve"> </w:t>
      </w:r>
      <w:proofErr w:type="spellStart"/>
      <w:r w:rsidRPr="00E537E0">
        <w:t>functions</w:t>
      </w:r>
      <w:proofErr w:type="spellEnd"/>
      <w:r w:rsidRPr="00E537E0">
        <w:t xml:space="preserve"> </w:t>
      </w:r>
      <w:proofErr w:type="spellStart"/>
      <w:r w:rsidRPr="00E537E0">
        <w:t>and</w:t>
      </w:r>
      <w:proofErr w:type="spellEnd"/>
      <w:r w:rsidRPr="00E537E0">
        <w:t xml:space="preserve"> </w:t>
      </w:r>
      <w:proofErr w:type="spellStart"/>
      <w:r w:rsidRPr="00E537E0">
        <w:t>services</w:t>
      </w:r>
      <w:proofErr w:type="spellEnd"/>
      <w:r w:rsidRPr="00E537E0">
        <w:t xml:space="preserve">. </w:t>
      </w:r>
      <w:proofErr w:type="spellStart"/>
      <w:r w:rsidRPr="00E537E0">
        <w:t>The</w:t>
      </w:r>
      <w:proofErr w:type="spellEnd"/>
      <w:r w:rsidRPr="00E537E0">
        <w:t xml:space="preserve"> </w:t>
      </w:r>
      <w:proofErr w:type="spellStart"/>
      <w:r w:rsidRPr="00E537E0">
        <w:t>work</w:t>
      </w:r>
      <w:proofErr w:type="spellEnd"/>
      <w:r w:rsidRPr="00E537E0">
        <w:t xml:space="preserve"> </w:t>
      </w:r>
      <w:proofErr w:type="spellStart"/>
      <w:r w:rsidRPr="00E537E0">
        <w:t>force</w:t>
      </w:r>
      <w:proofErr w:type="spellEnd"/>
      <w:r w:rsidRPr="00E537E0">
        <w:t xml:space="preserve"> </w:t>
      </w:r>
      <w:proofErr w:type="spellStart"/>
      <w:r w:rsidRPr="00E537E0">
        <w:t>may</w:t>
      </w:r>
      <w:proofErr w:type="spellEnd"/>
      <w:r w:rsidRPr="00E537E0">
        <w:t xml:space="preserve"> </w:t>
      </w:r>
      <w:proofErr w:type="spellStart"/>
      <w:r w:rsidRPr="00E537E0">
        <w:t>comprise</w:t>
      </w:r>
      <w:proofErr w:type="spellEnd"/>
      <w:r w:rsidRPr="00E537E0">
        <w:t xml:space="preserve"> </w:t>
      </w:r>
      <w:proofErr w:type="spellStart"/>
      <w:r w:rsidRPr="00E537E0">
        <w:t>workers</w:t>
      </w:r>
      <w:proofErr w:type="spellEnd"/>
      <w:r w:rsidRPr="00E537E0">
        <w:t xml:space="preserve"> </w:t>
      </w:r>
      <w:proofErr w:type="spellStart"/>
      <w:r w:rsidRPr="00E537E0">
        <w:t>from</w:t>
      </w:r>
      <w:proofErr w:type="spellEnd"/>
      <w:r w:rsidRPr="00E537E0">
        <w:t xml:space="preserve"> </w:t>
      </w:r>
      <w:proofErr w:type="spellStart"/>
      <w:r w:rsidRPr="00E537E0">
        <w:t>international</w:t>
      </w:r>
      <w:proofErr w:type="spellEnd"/>
      <w:r w:rsidRPr="00E537E0">
        <w:t xml:space="preserve">, </w:t>
      </w:r>
      <w:proofErr w:type="spellStart"/>
      <w:r w:rsidRPr="00E537E0">
        <w:t>national</w:t>
      </w:r>
      <w:proofErr w:type="spellEnd"/>
      <w:r w:rsidRPr="00E537E0">
        <w:t xml:space="preserve">, </w:t>
      </w:r>
      <w:proofErr w:type="spellStart"/>
      <w:r w:rsidRPr="00E537E0">
        <w:t>regional</w:t>
      </w:r>
      <w:proofErr w:type="spellEnd"/>
      <w:r w:rsidRPr="00E537E0">
        <w:t xml:space="preserve">, </w:t>
      </w:r>
      <w:proofErr w:type="spellStart"/>
      <w:r w:rsidRPr="00E537E0">
        <w:t>and</w:t>
      </w:r>
      <w:proofErr w:type="spellEnd"/>
      <w:r w:rsidRPr="00E537E0">
        <w:t xml:space="preserve"> </w:t>
      </w:r>
      <w:proofErr w:type="spellStart"/>
      <w:r w:rsidRPr="00E537E0">
        <w:t>local</w:t>
      </w:r>
      <w:proofErr w:type="spellEnd"/>
      <w:r w:rsidRPr="00E537E0">
        <w:t xml:space="preserve"> </w:t>
      </w:r>
      <w:proofErr w:type="spellStart"/>
      <w:r w:rsidRPr="00E537E0">
        <w:t>labor</w:t>
      </w:r>
      <w:proofErr w:type="spellEnd"/>
      <w:r w:rsidRPr="00E537E0">
        <w:t xml:space="preserve"> </w:t>
      </w:r>
      <w:proofErr w:type="spellStart"/>
      <w:r w:rsidRPr="00E537E0">
        <w:t>markets</w:t>
      </w:r>
      <w:proofErr w:type="spellEnd"/>
      <w:r w:rsidRPr="00E537E0">
        <w:t xml:space="preserve">. </w:t>
      </w:r>
      <w:proofErr w:type="spellStart"/>
      <w:r w:rsidRPr="00E537E0">
        <w:t>They</w:t>
      </w:r>
      <w:proofErr w:type="spellEnd"/>
      <w:r w:rsidRPr="00E537E0">
        <w:t xml:space="preserve"> </w:t>
      </w:r>
      <w:proofErr w:type="spellStart"/>
      <w:r w:rsidRPr="00E537E0">
        <w:t>may</w:t>
      </w:r>
      <w:proofErr w:type="spellEnd"/>
      <w:r w:rsidRPr="00E537E0">
        <w:t xml:space="preserve"> </w:t>
      </w:r>
      <w:proofErr w:type="spellStart"/>
      <w:r w:rsidRPr="00E537E0">
        <w:t>need</w:t>
      </w:r>
      <w:proofErr w:type="spellEnd"/>
      <w:r w:rsidRPr="00E537E0">
        <w:t xml:space="preserve"> to live </w:t>
      </w:r>
      <w:proofErr w:type="spellStart"/>
      <w:r w:rsidRPr="00E537E0">
        <w:t>in</w:t>
      </w:r>
      <w:proofErr w:type="spellEnd"/>
      <w:r w:rsidRPr="00E537E0">
        <w:t xml:space="preserve"> on-site </w:t>
      </w:r>
      <w:proofErr w:type="spellStart"/>
      <w:r w:rsidRPr="00E537E0">
        <w:t>accommodation</w:t>
      </w:r>
      <w:proofErr w:type="spellEnd"/>
      <w:r w:rsidRPr="00E537E0">
        <w:t xml:space="preserve">, </w:t>
      </w:r>
      <w:proofErr w:type="spellStart"/>
      <w:r w:rsidRPr="00E537E0">
        <w:t>lodge</w:t>
      </w:r>
      <w:proofErr w:type="spellEnd"/>
      <w:r w:rsidRPr="00E537E0">
        <w:t xml:space="preserve"> </w:t>
      </w:r>
      <w:proofErr w:type="spellStart"/>
      <w:r w:rsidRPr="00E537E0">
        <w:t>within</w:t>
      </w:r>
      <w:proofErr w:type="spellEnd"/>
      <w:r w:rsidRPr="00E537E0">
        <w:t xml:space="preserve"> </w:t>
      </w:r>
      <w:proofErr w:type="spellStart"/>
      <w:r w:rsidRPr="00E537E0">
        <w:t>communities</w:t>
      </w:r>
      <w:proofErr w:type="spellEnd"/>
      <w:r w:rsidRPr="00E537E0">
        <w:t xml:space="preserve"> </w:t>
      </w:r>
      <w:proofErr w:type="spellStart"/>
      <w:r w:rsidRPr="00E537E0">
        <w:t>close</w:t>
      </w:r>
      <w:proofErr w:type="spellEnd"/>
      <w:r w:rsidRPr="00E537E0">
        <w:t xml:space="preserve"> to </w:t>
      </w:r>
      <w:proofErr w:type="spellStart"/>
      <w:r w:rsidRPr="00E537E0">
        <w:t>work</w:t>
      </w:r>
      <w:proofErr w:type="spellEnd"/>
      <w:r w:rsidRPr="00E537E0">
        <w:t xml:space="preserve"> </w:t>
      </w:r>
      <w:proofErr w:type="spellStart"/>
      <w:r w:rsidRPr="00E537E0">
        <w:t>sites</w:t>
      </w:r>
      <w:proofErr w:type="spellEnd"/>
      <w:r w:rsidRPr="00E537E0">
        <w:t xml:space="preserve"> </w:t>
      </w:r>
      <w:proofErr w:type="spellStart"/>
      <w:r w:rsidRPr="00E537E0">
        <w:t>or</w:t>
      </w:r>
      <w:proofErr w:type="spellEnd"/>
      <w:r w:rsidRPr="00E537E0">
        <w:t xml:space="preserve"> </w:t>
      </w:r>
      <w:proofErr w:type="spellStart"/>
      <w:r w:rsidRPr="00E537E0">
        <w:t>return</w:t>
      </w:r>
      <w:proofErr w:type="spellEnd"/>
      <w:r w:rsidRPr="00E537E0">
        <w:t xml:space="preserve"> to </w:t>
      </w:r>
      <w:proofErr w:type="spellStart"/>
      <w:r w:rsidRPr="00E537E0">
        <w:t>their</w:t>
      </w:r>
      <w:proofErr w:type="spellEnd"/>
      <w:r w:rsidRPr="00E537E0">
        <w:t xml:space="preserve"> </w:t>
      </w:r>
      <w:proofErr w:type="spellStart"/>
      <w:r w:rsidRPr="00E537E0">
        <w:t>homes</w:t>
      </w:r>
      <w:proofErr w:type="spellEnd"/>
      <w:r w:rsidRPr="00E537E0">
        <w:t xml:space="preserve"> </w:t>
      </w:r>
      <w:proofErr w:type="spellStart"/>
      <w:r w:rsidRPr="00E537E0">
        <w:t>after</w:t>
      </w:r>
      <w:proofErr w:type="spellEnd"/>
      <w:r w:rsidRPr="00E537E0">
        <w:t xml:space="preserve"> </w:t>
      </w:r>
      <w:proofErr w:type="spellStart"/>
      <w:r w:rsidRPr="00E537E0">
        <w:t>work</w:t>
      </w:r>
      <w:proofErr w:type="spellEnd"/>
      <w:r w:rsidRPr="00E537E0">
        <w:t xml:space="preserve">. </w:t>
      </w:r>
      <w:proofErr w:type="spellStart"/>
      <w:r w:rsidRPr="00E537E0">
        <w:t>There</w:t>
      </w:r>
      <w:proofErr w:type="spellEnd"/>
      <w:r w:rsidRPr="00E537E0">
        <w:t xml:space="preserve"> </w:t>
      </w:r>
      <w:proofErr w:type="spellStart"/>
      <w:r w:rsidRPr="00E537E0">
        <w:t>may</w:t>
      </w:r>
      <w:proofErr w:type="spellEnd"/>
      <w:r w:rsidRPr="00E537E0">
        <w:t xml:space="preserve"> </w:t>
      </w:r>
      <w:proofErr w:type="spellStart"/>
      <w:r w:rsidRPr="00E537E0">
        <w:t>be</w:t>
      </w:r>
      <w:proofErr w:type="spellEnd"/>
      <w:r w:rsidRPr="00E537E0">
        <w:t xml:space="preserve"> </w:t>
      </w:r>
      <w:proofErr w:type="spellStart"/>
      <w:r w:rsidRPr="00E537E0">
        <w:t>different</w:t>
      </w:r>
      <w:proofErr w:type="spellEnd"/>
      <w:r w:rsidRPr="00E537E0">
        <w:t xml:space="preserve"> </w:t>
      </w:r>
      <w:proofErr w:type="spellStart"/>
      <w:r w:rsidRPr="00E537E0">
        <w:t>contractors</w:t>
      </w:r>
      <w:proofErr w:type="spellEnd"/>
      <w:r w:rsidRPr="00E537E0">
        <w:t xml:space="preserve"> </w:t>
      </w:r>
      <w:proofErr w:type="spellStart"/>
      <w:r w:rsidRPr="00E537E0">
        <w:t>permanently</w:t>
      </w:r>
      <w:proofErr w:type="spellEnd"/>
      <w:r w:rsidRPr="00E537E0">
        <w:t xml:space="preserve"> </w:t>
      </w:r>
      <w:proofErr w:type="spellStart"/>
      <w:r w:rsidRPr="00E537E0">
        <w:t>present</w:t>
      </w:r>
      <w:proofErr w:type="spellEnd"/>
      <w:r w:rsidRPr="00E537E0">
        <w:t xml:space="preserve"> on site, </w:t>
      </w:r>
      <w:proofErr w:type="spellStart"/>
      <w:r w:rsidRPr="00E537E0">
        <w:t>carrying</w:t>
      </w:r>
      <w:proofErr w:type="spellEnd"/>
      <w:r w:rsidRPr="00E537E0">
        <w:t xml:space="preserve"> </w:t>
      </w:r>
      <w:proofErr w:type="spellStart"/>
      <w:r w:rsidRPr="00E537E0">
        <w:t>out</w:t>
      </w:r>
      <w:proofErr w:type="spellEnd"/>
      <w:r w:rsidRPr="00E537E0">
        <w:t xml:space="preserve"> </w:t>
      </w:r>
      <w:proofErr w:type="spellStart"/>
      <w:r w:rsidRPr="00E537E0">
        <w:t>different</w:t>
      </w:r>
      <w:proofErr w:type="spellEnd"/>
      <w:r w:rsidRPr="00E537E0">
        <w:t xml:space="preserve"> </w:t>
      </w:r>
      <w:proofErr w:type="spellStart"/>
      <w:r w:rsidRPr="00E537E0">
        <w:t>activities</w:t>
      </w:r>
      <w:proofErr w:type="spellEnd"/>
      <w:r w:rsidRPr="00E537E0">
        <w:t xml:space="preserve">, </w:t>
      </w:r>
      <w:proofErr w:type="spellStart"/>
      <w:r w:rsidRPr="00E537E0">
        <w:t>each</w:t>
      </w:r>
      <w:proofErr w:type="spellEnd"/>
      <w:r w:rsidRPr="00E537E0">
        <w:t xml:space="preserve"> </w:t>
      </w:r>
      <w:proofErr w:type="spellStart"/>
      <w:r w:rsidRPr="00E537E0">
        <w:t>with</w:t>
      </w:r>
      <w:proofErr w:type="spellEnd"/>
      <w:r w:rsidRPr="00E537E0">
        <w:t xml:space="preserve"> </w:t>
      </w:r>
      <w:proofErr w:type="spellStart"/>
      <w:r w:rsidRPr="00E537E0">
        <w:t>their</w:t>
      </w:r>
      <w:proofErr w:type="spellEnd"/>
      <w:r w:rsidRPr="00E537E0">
        <w:t xml:space="preserve"> </w:t>
      </w:r>
      <w:proofErr w:type="spellStart"/>
      <w:r w:rsidRPr="00E537E0">
        <w:t>own</w:t>
      </w:r>
      <w:proofErr w:type="spellEnd"/>
      <w:r w:rsidRPr="00E537E0">
        <w:t xml:space="preserve"> </w:t>
      </w:r>
      <w:proofErr w:type="spellStart"/>
      <w:r w:rsidRPr="00E537E0">
        <w:t>dedicated</w:t>
      </w:r>
      <w:proofErr w:type="spellEnd"/>
      <w:r w:rsidRPr="00E537E0">
        <w:t xml:space="preserve"> </w:t>
      </w:r>
      <w:proofErr w:type="spellStart"/>
      <w:r w:rsidRPr="00E537E0">
        <w:t>workers</w:t>
      </w:r>
      <w:proofErr w:type="spellEnd"/>
      <w:r w:rsidRPr="00E537E0">
        <w:t xml:space="preserve">. </w:t>
      </w:r>
      <w:proofErr w:type="spellStart"/>
      <w:r w:rsidRPr="00E537E0">
        <w:t>Supply</w:t>
      </w:r>
      <w:proofErr w:type="spellEnd"/>
      <w:r w:rsidRPr="00E537E0">
        <w:t xml:space="preserve"> </w:t>
      </w:r>
      <w:proofErr w:type="spellStart"/>
      <w:r w:rsidRPr="00E537E0">
        <w:t>chains</w:t>
      </w:r>
      <w:proofErr w:type="spellEnd"/>
      <w:r w:rsidRPr="00E537E0">
        <w:t xml:space="preserve"> </w:t>
      </w:r>
      <w:proofErr w:type="spellStart"/>
      <w:r w:rsidRPr="00E537E0">
        <w:t>may</w:t>
      </w:r>
      <w:proofErr w:type="spellEnd"/>
      <w:r w:rsidRPr="00E537E0">
        <w:t xml:space="preserve"> </w:t>
      </w:r>
      <w:proofErr w:type="spellStart"/>
      <w:r w:rsidRPr="00E537E0">
        <w:t>involve</w:t>
      </w:r>
      <w:proofErr w:type="spellEnd"/>
      <w:r w:rsidRPr="00E537E0">
        <w:t xml:space="preserve"> </w:t>
      </w:r>
      <w:proofErr w:type="spellStart"/>
      <w:r w:rsidRPr="00E537E0">
        <w:t>international</w:t>
      </w:r>
      <w:proofErr w:type="spellEnd"/>
      <w:r w:rsidRPr="00E537E0">
        <w:t xml:space="preserve">, </w:t>
      </w:r>
      <w:proofErr w:type="spellStart"/>
      <w:r w:rsidRPr="00E537E0">
        <w:t>regional</w:t>
      </w:r>
      <w:proofErr w:type="spellEnd"/>
      <w:r w:rsidRPr="00E537E0">
        <w:t xml:space="preserve"> </w:t>
      </w:r>
      <w:proofErr w:type="spellStart"/>
      <w:r w:rsidRPr="00E537E0">
        <w:t>and</w:t>
      </w:r>
      <w:proofErr w:type="spellEnd"/>
      <w:r w:rsidRPr="00E537E0">
        <w:t xml:space="preserve"> </w:t>
      </w:r>
      <w:proofErr w:type="spellStart"/>
      <w:r w:rsidRPr="00E537E0">
        <w:t>national</w:t>
      </w:r>
      <w:proofErr w:type="spellEnd"/>
      <w:r w:rsidRPr="00E537E0">
        <w:t xml:space="preserve"> </w:t>
      </w:r>
      <w:proofErr w:type="spellStart"/>
      <w:r w:rsidRPr="00E537E0">
        <w:lastRenderedPageBreak/>
        <w:t>suppliers</w:t>
      </w:r>
      <w:proofErr w:type="spellEnd"/>
      <w:r w:rsidRPr="00E537E0">
        <w:t xml:space="preserve"> </w:t>
      </w:r>
      <w:proofErr w:type="spellStart"/>
      <w:r w:rsidRPr="00E537E0">
        <w:t>facilitating</w:t>
      </w:r>
      <w:proofErr w:type="spellEnd"/>
      <w:r w:rsidRPr="00E537E0">
        <w:t xml:space="preserve"> </w:t>
      </w:r>
      <w:proofErr w:type="spellStart"/>
      <w:r w:rsidRPr="00E537E0">
        <w:t>the</w:t>
      </w:r>
      <w:proofErr w:type="spellEnd"/>
      <w:r w:rsidRPr="00E537E0">
        <w:t xml:space="preserve"> </w:t>
      </w:r>
      <w:proofErr w:type="spellStart"/>
      <w:r w:rsidRPr="00E537E0">
        <w:t>regular</w:t>
      </w:r>
      <w:proofErr w:type="spellEnd"/>
      <w:r w:rsidRPr="00E537E0">
        <w:t xml:space="preserve"> </w:t>
      </w:r>
      <w:proofErr w:type="spellStart"/>
      <w:r w:rsidRPr="00E537E0">
        <w:t>flow</w:t>
      </w:r>
      <w:proofErr w:type="spellEnd"/>
      <w:r w:rsidRPr="00E537E0">
        <w:t xml:space="preserve"> </w:t>
      </w:r>
      <w:proofErr w:type="spellStart"/>
      <w:r w:rsidRPr="00E537E0">
        <w:t>of</w:t>
      </w:r>
      <w:proofErr w:type="spellEnd"/>
      <w:r w:rsidRPr="00E537E0">
        <w:t xml:space="preserve"> </w:t>
      </w:r>
      <w:proofErr w:type="spellStart"/>
      <w:r w:rsidRPr="00E537E0">
        <w:t>goods</w:t>
      </w:r>
      <w:proofErr w:type="spellEnd"/>
      <w:r w:rsidRPr="00E537E0">
        <w:t xml:space="preserve"> </w:t>
      </w:r>
      <w:proofErr w:type="spellStart"/>
      <w:r w:rsidRPr="00E537E0">
        <w:t>and</w:t>
      </w:r>
      <w:proofErr w:type="spellEnd"/>
      <w:r w:rsidRPr="00E537E0">
        <w:t xml:space="preserve"> </w:t>
      </w:r>
      <w:proofErr w:type="spellStart"/>
      <w:r w:rsidRPr="00E537E0">
        <w:t>services</w:t>
      </w:r>
      <w:proofErr w:type="spellEnd"/>
      <w:r w:rsidRPr="00E537E0">
        <w:t xml:space="preserve"> to </w:t>
      </w:r>
      <w:proofErr w:type="spellStart"/>
      <w:r w:rsidRPr="00E537E0">
        <w:t>the</w:t>
      </w:r>
      <w:proofErr w:type="spellEnd"/>
      <w:r w:rsidRPr="00E537E0">
        <w:t xml:space="preserve"> </w:t>
      </w:r>
      <w:proofErr w:type="spellStart"/>
      <w:r w:rsidRPr="00E537E0">
        <w:t>project</w:t>
      </w:r>
      <w:proofErr w:type="spellEnd"/>
      <w:r w:rsidRPr="00E537E0">
        <w:t xml:space="preserve"> (</w:t>
      </w:r>
      <w:proofErr w:type="spellStart"/>
      <w:r w:rsidRPr="00E537E0">
        <w:t>including</w:t>
      </w:r>
      <w:proofErr w:type="spellEnd"/>
      <w:r w:rsidRPr="00E537E0">
        <w:t xml:space="preserve"> </w:t>
      </w:r>
      <w:proofErr w:type="spellStart"/>
      <w:r w:rsidRPr="00E537E0">
        <w:t>supplies</w:t>
      </w:r>
      <w:proofErr w:type="spellEnd"/>
      <w:r w:rsidRPr="00E537E0">
        <w:t xml:space="preserve"> </w:t>
      </w:r>
      <w:proofErr w:type="spellStart"/>
      <w:r w:rsidRPr="00E537E0">
        <w:t>essential</w:t>
      </w:r>
      <w:proofErr w:type="spellEnd"/>
      <w:r w:rsidRPr="00E537E0">
        <w:t xml:space="preserve"> to </w:t>
      </w:r>
      <w:proofErr w:type="spellStart"/>
      <w:r w:rsidRPr="00E537E0">
        <w:t>the</w:t>
      </w:r>
      <w:proofErr w:type="spellEnd"/>
      <w:r w:rsidRPr="00E537E0">
        <w:t xml:space="preserve"> </w:t>
      </w:r>
      <w:proofErr w:type="spellStart"/>
      <w:r w:rsidRPr="00E537E0">
        <w:t>project</w:t>
      </w:r>
      <w:proofErr w:type="spellEnd"/>
      <w:r w:rsidRPr="00E537E0">
        <w:t xml:space="preserve"> </w:t>
      </w:r>
      <w:proofErr w:type="spellStart"/>
      <w:r w:rsidRPr="00E537E0">
        <w:t>such</w:t>
      </w:r>
      <w:proofErr w:type="spellEnd"/>
      <w:r w:rsidRPr="00E537E0">
        <w:t xml:space="preserve"> as </w:t>
      </w:r>
      <w:proofErr w:type="spellStart"/>
      <w:r w:rsidRPr="00E537E0">
        <w:t>fuel</w:t>
      </w:r>
      <w:proofErr w:type="spellEnd"/>
      <w:r w:rsidRPr="00E537E0">
        <w:t xml:space="preserve">, </w:t>
      </w:r>
      <w:proofErr w:type="spellStart"/>
      <w:r w:rsidRPr="00E537E0">
        <w:t>food</w:t>
      </w:r>
      <w:proofErr w:type="spellEnd"/>
      <w:r w:rsidRPr="00E537E0">
        <w:t xml:space="preserve">, </w:t>
      </w:r>
      <w:proofErr w:type="spellStart"/>
      <w:r w:rsidRPr="00E537E0">
        <w:t>and</w:t>
      </w:r>
      <w:proofErr w:type="spellEnd"/>
      <w:r w:rsidRPr="00E537E0">
        <w:t xml:space="preserve"> water). As </w:t>
      </w:r>
      <w:proofErr w:type="spellStart"/>
      <w:r w:rsidRPr="00E537E0">
        <w:t>such</w:t>
      </w:r>
      <w:proofErr w:type="spellEnd"/>
      <w:r w:rsidRPr="00E537E0">
        <w:t xml:space="preserve"> </w:t>
      </w:r>
      <w:proofErr w:type="spellStart"/>
      <w:r w:rsidRPr="00E537E0">
        <w:t>there</w:t>
      </w:r>
      <w:proofErr w:type="spellEnd"/>
      <w:r w:rsidRPr="00E537E0">
        <w:t xml:space="preserve"> </w:t>
      </w:r>
      <w:proofErr w:type="spellStart"/>
      <w:r w:rsidRPr="00E537E0">
        <w:t>will</w:t>
      </w:r>
      <w:proofErr w:type="spellEnd"/>
      <w:r w:rsidRPr="00E537E0">
        <w:t xml:space="preserve"> </w:t>
      </w:r>
      <w:proofErr w:type="spellStart"/>
      <w:r w:rsidRPr="00E537E0">
        <w:t>also</w:t>
      </w:r>
      <w:proofErr w:type="spellEnd"/>
      <w:r w:rsidRPr="00E537E0">
        <w:t xml:space="preserve"> </w:t>
      </w:r>
      <w:proofErr w:type="spellStart"/>
      <w:r w:rsidRPr="00E537E0">
        <w:t>be</w:t>
      </w:r>
      <w:proofErr w:type="spellEnd"/>
      <w:r w:rsidRPr="00E537E0">
        <w:t xml:space="preserve"> </w:t>
      </w:r>
      <w:proofErr w:type="spellStart"/>
      <w:r w:rsidRPr="00E537E0">
        <w:t>regular</w:t>
      </w:r>
      <w:proofErr w:type="spellEnd"/>
      <w:r w:rsidRPr="00E537E0">
        <w:t xml:space="preserve"> </w:t>
      </w:r>
      <w:proofErr w:type="spellStart"/>
      <w:r w:rsidRPr="00E537E0">
        <w:t>flow</w:t>
      </w:r>
      <w:proofErr w:type="spellEnd"/>
      <w:r w:rsidRPr="00E537E0">
        <w:t xml:space="preserve"> </w:t>
      </w:r>
      <w:proofErr w:type="spellStart"/>
      <w:r w:rsidRPr="00E537E0">
        <w:t>of</w:t>
      </w:r>
      <w:proofErr w:type="spellEnd"/>
      <w:r w:rsidRPr="00E537E0">
        <w:t xml:space="preserve"> </w:t>
      </w:r>
      <w:proofErr w:type="spellStart"/>
      <w:r w:rsidRPr="00E537E0">
        <w:t>parties</w:t>
      </w:r>
      <w:proofErr w:type="spellEnd"/>
      <w:r w:rsidRPr="00E537E0">
        <w:t xml:space="preserve"> </w:t>
      </w:r>
      <w:proofErr w:type="spellStart"/>
      <w:r w:rsidRPr="00E537E0">
        <w:t>entering</w:t>
      </w:r>
      <w:proofErr w:type="spellEnd"/>
      <w:r w:rsidRPr="00E537E0">
        <w:t xml:space="preserve"> </w:t>
      </w:r>
      <w:proofErr w:type="spellStart"/>
      <w:r w:rsidRPr="00E537E0">
        <w:t>and</w:t>
      </w:r>
      <w:proofErr w:type="spellEnd"/>
      <w:r w:rsidRPr="00E537E0">
        <w:t xml:space="preserve"> </w:t>
      </w:r>
      <w:proofErr w:type="spellStart"/>
      <w:r w:rsidRPr="00E537E0">
        <w:t>exiting</w:t>
      </w:r>
      <w:proofErr w:type="spellEnd"/>
      <w:r w:rsidRPr="00E537E0">
        <w:t xml:space="preserve"> </w:t>
      </w:r>
      <w:proofErr w:type="spellStart"/>
      <w:r w:rsidRPr="00E537E0">
        <w:t>the</w:t>
      </w:r>
      <w:proofErr w:type="spellEnd"/>
      <w:r w:rsidRPr="00E537E0">
        <w:t xml:space="preserve"> site; </w:t>
      </w:r>
      <w:proofErr w:type="spellStart"/>
      <w:r w:rsidRPr="00E537E0">
        <w:t>support</w:t>
      </w:r>
      <w:proofErr w:type="spellEnd"/>
      <w:r w:rsidRPr="00E537E0">
        <w:t xml:space="preserve"> </w:t>
      </w:r>
      <w:proofErr w:type="spellStart"/>
      <w:r w:rsidRPr="00E537E0">
        <w:t>services</w:t>
      </w:r>
      <w:proofErr w:type="spellEnd"/>
      <w:r w:rsidRPr="00E537E0">
        <w:t xml:space="preserve">, </w:t>
      </w:r>
      <w:proofErr w:type="spellStart"/>
      <w:r w:rsidRPr="00E537E0">
        <w:t>such</w:t>
      </w:r>
      <w:proofErr w:type="spellEnd"/>
      <w:r w:rsidRPr="00E537E0">
        <w:t xml:space="preserve"> as catering, </w:t>
      </w:r>
      <w:proofErr w:type="spellStart"/>
      <w:r w:rsidRPr="00E537E0">
        <w:t>cleaning</w:t>
      </w:r>
      <w:proofErr w:type="spellEnd"/>
      <w:r w:rsidRPr="00E537E0">
        <w:t xml:space="preserve"> </w:t>
      </w:r>
      <w:proofErr w:type="spellStart"/>
      <w:r w:rsidRPr="00E537E0">
        <w:t>services</w:t>
      </w:r>
      <w:proofErr w:type="spellEnd"/>
      <w:r w:rsidRPr="00E537E0">
        <w:t xml:space="preserve">, </w:t>
      </w:r>
      <w:proofErr w:type="spellStart"/>
      <w:r w:rsidRPr="00E537E0">
        <w:t>equipment</w:t>
      </w:r>
      <w:proofErr w:type="spellEnd"/>
      <w:r w:rsidRPr="00E537E0">
        <w:t xml:space="preserve">, </w:t>
      </w:r>
      <w:proofErr w:type="spellStart"/>
      <w:r w:rsidRPr="00E537E0">
        <w:t>material</w:t>
      </w:r>
      <w:proofErr w:type="spellEnd"/>
      <w:r w:rsidRPr="00E537E0">
        <w:t xml:space="preserve"> </w:t>
      </w:r>
      <w:proofErr w:type="spellStart"/>
      <w:r w:rsidRPr="00E537E0">
        <w:t>and</w:t>
      </w:r>
      <w:proofErr w:type="spellEnd"/>
      <w:r w:rsidRPr="00E537E0">
        <w:t xml:space="preserve"> </w:t>
      </w:r>
      <w:proofErr w:type="spellStart"/>
      <w:r w:rsidRPr="00E537E0">
        <w:t>supply</w:t>
      </w:r>
      <w:proofErr w:type="spellEnd"/>
      <w:r w:rsidRPr="00E537E0">
        <w:t xml:space="preserve"> </w:t>
      </w:r>
      <w:proofErr w:type="spellStart"/>
      <w:r w:rsidRPr="00E537E0">
        <w:t>deliveries</w:t>
      </w:r>
      <w:proofErr w:type="spellEnd"/>
      <w:r w:rsidRPr="00E537E0">
        <w:t xml:space="preserve">, </w:t>
      </w:r>
      <w:proofErr w:type="spellStart"/>
      <w:r w:rsidRPr="00E537E0">
        <w:t>and</w:t>
      </w:r>
      <w:proofErr w:type="spellEnd"/>
      <w:r w:rsidRPr="00E537E0">
        <w:t xml:space="preserve"> </w:t>
      </w:r>
      <w:proofErr w:type="spellStart"/>
      <w:r w:rsidRPr="00E537E0">
        <w:t>specialist</w:t>
      </w:r>
      <w:proofErr w:type="spellEnd"/>
      <w:r w:rsidRPr="00E537E0">
        <w:t xml:space="preserve"> sub-</w:t>
      </w:r>
      <w:proofErr w:type="spellStart"/>
      <w:r w:rsidRPr="00E537E0">
        <w:t>contractors</w:t>
      </w:r>
      <w:proofErr w:type="spellEnd"/>
      <w:r w:rsidRPr="00E537E0">
        <w:t xml:space="preserve">, </w:t>
      </w:r>
      <w:proofErr w:type="spellStart"/>
      <w:r w:rsidRPr="00E537E0">
        <w:t>brought</w:t>
      </w:r>
      <w:proofErr w:type="spellEnd"/>
      <w:r w:rsidRPr="00E537E0">
        <w:t xml:space="preserve"> </w:t>
      </w:r>
      <w:proofErr w:type="spellStart"/>
      <w:r w:rsidRPr="00E537E0">
        <w:t>in</w:t>
      </w:r>
      <w:proofErr w:type="spellEnd"/>
      <w:r w:rsidRPr="00E537E0">
        <w:t xml:space="preserve"> to </w:t>
      </w:r>
      <w:proofErr w:type="spellStart"/>
      <w:r w:rsidRPr="00E537E0">
        <w:t>deliver</w:t>
      </w:r>
      <w:proofErr w:type="spellEnd"/>
      <w:r w:rsidRPr="00E537E0">
        <w:t xml:space="preserve"> </w:t>
      </w:r>
      <w:proofErr w:type="spellStart"/>
      <w:r w:rsidRPr="00E537E0">
        <w:t>specific</w:t>
      </w:r>
      <w:proofErr w:type="spellEnd"/>
      <w:r w:rsidRPr="00E537E0">
        <w:t xml:space="preserve"> </w:t>
      </w:r>
      <w:proofErr w:type="spellStart"/>
      <w:r w:rsidRPr="00E537E0">
        <w:t>elements</w:t>
      </w:r>
      <w:proofErr w:type="spellEnd"/>
      <w:r w:rsidRPr="00E537E0">
        <w:t xml:space="preserve"> </w:t>
      </w:r>
      <w:proofErr w:type="spellStart"/>
      <w:r w:rsidRPr="00E537E0">
        <w:t>of</w:t>
      </w:r>
      <w:proofErr w:type="spellEnd"/>
      <w:r w:rsidRPr="00E537E0">
        <w:t xml:space="preserve"> </w:t>
      </w:r>
      <w:proofErr w:type="spellStart"/>
      <w:r w:rsidRPr="00E537E0">
        <w:t>the</w:t>
      </w:r>
      <w:proofErr w:type="spellEnd"/>
      <w:r w:rsidRPr="00E537E0">
        <w:t xml:space="preserve"> </w:t>
      </w:r>
      <w:proofErr w:type="spellStart"/>
      <w:r w:rsidRPr="00E537E0">
        <w:t>works</w:t>
      </w:r>
      <w:proofErr w:type="spellEnd"/>
      <w:r w:rsidRPr="00E537E0">
        <w:t xml:space="preserve">. </w:t>
      </w:r>
    </w:p>
    <w:p w14:paraId="2CDBBB15" w14:textId="77777777" w:rsidR="00740A8E" w:rsidRPr="00E537E0" w:rsidRDefault="00740A8E" w:rsidP="00E537E0">
      <w:proofErr w:type="spellStart"/>
      <w:r w:rsidRPr="00E537E0">
        <w:t>Given</w:t>
      </w:r>
      <w:proofErr w:type="spellEnd"/>
      <w:r w:rsidRPr="00E537E0">
        <w:t xml:space="preserve"> </w:t>
      </w:r>
      <w:proofErr w:type="spellStart"/>
      <w:r w:rsidRPr="00E537E0">
        <w:t>the</w:t>
      </w:r>
      <w:proofErr w:type="spellEnd"/>
      <w:r w:rsidRPr="00E537E0">
        <w:t xml:space="preserve"> </w:t>
      </w:r>
      <w:proofErr w:type="spellStart"/>
      <w:r w:rsidRPr="00E537E0">
        <w:t>complexity</w:t>
      </w:r>
      <w:proofErr w:type="spellEnd"/>
      <w:r w:rsidRPr="00E537E0">
        <w:t xml:space="preserve"> </w:t>
      </w:r>
      <w:proofErr w:type="spellStart"/>
      <w:r w:rsidRPr="00E537E0">
        <w:t>and</w:t>
      </w:r>
      <w:proofErr w:type="spellEnd"/>
      <w:r w:rsidRPr="00E537E0">
        <w:t xml:space="preserve"> </w:t>
      </w:r>
      <w:proofErr w:type="spellStart"/>
      <w:r w:rsidRPr="00E537E0">
        <w:t>the</w:t>
      </w:r>
      <w:proofErr w:type="spellEnd"/>
      <w:r w:rsidRPr="00E537E0">
        <w:t xml:space="preserve"> </w:t>
      </w:r>
      <w:proofErr w:type="spellStart"/>
      <w:r w:rsidRPr="00E537E0">
        <w:t>concentrated</w:t>
      </w:r>
      <w:proofErr w:type="spellEnd"/>
      <w:r w:rsidRPr="00E537E0">
        <w:t xml:space="preserve"> </w:t>
      </w:r>
      <w:proofErr w:type="spellStart"/>
      <w:r w:rsidRPr="00E537E0">
        <w:t>number</w:t>
      </w:r>
      <w:proofErr w:type="spellEnd"/>
      <w:r w:rsidRPr="00E537E0">
        <w:t xml:space="preserve"> </w:t>
      </w:r>
      <w:proofErr w:type="spellStart"/>
      <w:r w:rsidRPr="00E537E0">
        <w:t>of</w:t>
      </w:r>
      <w:proofErr w:type="spellEnd"/>
      <w:r w:rsidRPr="00E537E0">
        <w:t xml:space="preserve"> </w:t>
      </w:r>
      <w:proofErr w:type="spellStart"/>
      <w:r w:rsidRPr="00E537E0">
        <w:t>workers</w:t>
      </w:r>
      <w:proofErr w:type="spellEnd"/>
      <w:r w:rsidRPr="00E537E0">
        <w:t xml:space="preserve">, </w:t>
      </w:r>
      <w:proofErr w:type="spellStart"/>
      <w:r w:rsidRPr="00E537E0">
        <w:t>the</w:t>
      </w:r>
      <w:proofErr w:type="spellEnd"/>
      <w:r w:rsidRPr="00E537E0">
        <w:t xml:space="preserve"> </w:t>
      </w:r>
      <w:proofErr w:type="spellStart"/>
      <w:r w:rsidRPr="00E537E0">
        <w:t>potential</w:t>
      </w:r>
      <w:proofErr w:type="spellEnd"/>
      <w:r w:rsidRPr="00E537E0">
        <w:t xml:space="preserve"> for </w:t>
      </w:r>
      <w:proofErr w:type="spellStart"/>
      <w:r w:rsidRPr="00E537E0">
        <w:t>the</w:t>
      </w:r>
      <w:proofErr w:type="spellEnd"/>
      <w:r w:rsidRPr="00E537E0">
        <w:t xml:space="preserve"> </w:t>
      </w:r>
      <w:proofErr w:type="spellStart"/>
      <w:r w:rsidRPr="00E537E0">
        <w:t>spread</w:t>
      </w:r>
      <w:proofErr w:type="spellEnd"/>
      <w:r w:rsidRPr="00E537E0">
        <w:t xml:space="preserve"> </w:t>
      </w:r>
      <w:proofErr w:type="spellStart"/>
      <w:r w:rsidRPr="00E537E0">
        <w:t>of</w:t>
      </w:r>
      <w:proofErr w:type="spellEnd"/>
      <w:r w:rsidRPr="00E537E0">
        <w:t xml:space="preserve"> </w:t>
      </w:r>
      <w:proofErr w:type="spellStart"/>
      <w:r w:rsidRPr="00E537E0">
        <w:t>infectious</w:t>
      </w:r>
      <w:proofErr w:type="spellEnd"/>
      <w:r w:rsidRPr="00E537E0">
        <w:t xml:space="preserve"> </w:t>
      </w:r>
      <w:proofErr w:type="spellStart"/>
      <w:r w:rsidRPr="00E537E0">
        <w:t>disease</w:t>
      </w:r>
      <w:proofErr w:type="spellEnd"/>
      <w:r w:rsidRPr="00E537E0">
        <w:t xml:space="preserve"> </w:t>
      </w:r>
      <w:proofErr w:type="spellStart"/>
      <w:r w:rsidRPr="00E537E0">
        <w:t>in</w:t>
      </w:r>
      <w:proofErr w:type="spellEnd"/>
      <w:r w:rsidRPr="00E537E0">
        <w:t xml:space="preserve"> </w:t>
      </w:r>
      <w:proofErr w:type="spellStart"/>
      <w:r w:rsidRPr="00E537E0">
        <w:t>projects</w:t>
      </w:r>
      <w:proofErr w:type="spellEnd"/>
      <w:r w:rsidRPr="00E537E0">
        <w:t xml:space="preserve"> </w:t>
      </w:r>
      <w:proofErr w:type="spellStart"/>
      <w:r w:rsidRPr="00E537E0">
        <w:t>involving</w:t>
      </w:r>
      <w:proofErr w:type="spellEnd"/>
      <w:r w:rsidRPr="00E537E0">
        <w:t xml:space="preserve"> </w:t>
      </w:r>
      <w:proofErr w:type="spellStart"/>
      <w:r w:rsidRPr="00E537E0">
        <w:t>construction</w:t>
      </w:r>
      <w:proofErr w:type="spellEnd"/>
      <w:r w:rsidRPr="00E537E0">
        <w:t xml:space="preserve"> </w:t>
      </w:r>
      <w:proofErr w:type="spellStart"/>
      <w:r w:rsidRPr="00E537E0">
        <w:t>is</w:t>
      </w:r>
      <w:proofErr w:type="spellEnd"/>
      <w:r w:rsidRPr="00E537E0">
        <w:t xml:space="preserve"> </w:t>
      </w:r>
      <w:proofErr w:type="spellStart"/>
      <w:r w:rsidRPr="00E537E0">
        <w:t>extremely</w:t>
      </w:r>
      <w:proofErr w:type="spellEnd"/>
      <w:r w:rsidRPr="00E537E0">
        <w:t xml:space="preserve"> </w:t>
      </w:r>
      <w:proofErr w:type="spellStart"/>
      <w:r w:rsidRPr="00E537E0">
        <w:t>serious</w:t>
      </w:r>
      <w:proofErr w:type="spellEnd"/>
      <w:r w:rsidRPr="00E537E0">
        <w:t xml:space="preserve">, as are </w:t>
      </w:r>
      <w:proofErr w:type="spellStart"/>
      <w:r w:rsidRPr="00E537E0">
        <w:t>the</w:t>
      </w:r>
      <w:proofErr w:type="spellEnd"/>
      <w:r w:rsidRPr="00E537E0">
        <w:t xml:space="preserve"> </w:t>
      </w:r>
      <w:proofErr w:type="spellStart"/>
      <w:r w:rsidRPr="00E537E0">
        <w:t>implications</w:t>
      </w:r>
      <w:proofErr w:type="spellEnd"/>
      <w:r w:rsidRPr="00E537E0">
        <w:t xml:space="preserve"> </w:t>
      </w:r>
      <w:proofErr w:type="spellStart"/>
      <w:r w:rsidRPr="00E537E0">
        <w:t>of</w:t>
      </w:r>
      <w:proofErr w:type="spellEnd"/>
      <w:r w:rsidRPr="00E537E0">
        <w:t xml:space="preserve"> </w:t>
      </w:r>
      <w:proofErr w:type="spellStart"/>
      <w:r w:rsidRPr="00E537E0">
        <w:t>such</w:t>
      </w:r>
      <w:proofErr w:type="spellEnd"/>
      <w:r w:rsidRPr="00E537E0">
        <w:t xml:space="preserve"> a </w:t>
      </w:r>
      <w:proofErr w:type="spellStart"/>
      <w:r w:rsidRPr="00E537E0">
        <w:t>spread</w:t>
      </w:r>
      <w:proofErr w:type="spellEnd"/>
      <w:r w:rsidRPr="00E537E0">
        <w:t xml:space="preserve">. </w:t>
      </w:r>
      <w:proofErr w:type="spellStart"/>
      <w:r w:rsidRPr="00E537E0">
        <w:t>Projects</w:t>
      </w:r>
      <w:proofErr w:type="spellEnd"/>
      <w:r w:rsidRPr="00E537E0">
        <w:t xml:space="preserve"> </w:t>
      </w:r>
      <w:proofErr w:type="spellStart"/>
      <w:r w:rsidRPr="00E537E0">
        <w:t>may</w:t>
      </w:r>
      <w:proofErr w:type="spellEnd"/>
      <w:r w:rsidRPr="00E537E0">
        <w:t xml:space="preserve"> </w:t>
      </w:r>
      <w:proofErr w:type="spellStart"/>
      <w:r w:rsidRPr="00E537E0">
        <w:t>experience</w:t>
      </w:r>
      <w:proofErr w:type="spellEnd"/>
      <w:r w:rsidRPr="00E537E0">
        <w:t xml:space="preserve"> </w:t>
      </w:r>
      <w:proofErr w:type="spellStart"/>
      <w:r w:rsidRPr="00E537E0">
        <w:t>large</w:t>
      </w:r>
      <w:proofErr w:type="spellEnd"/>
      <w:r w:rsidRPr="00E537E0">
        <w:t xml:space="preserve"> </w:t>
      </w:r>
      <w:proofErr w:type="spellStart"/>
      <w:r w:rsidRPr="00E537E0">
        <w:t>numbers</w:t>
      </w:r>
      <w:proofErr w:type="spellEnd"/>
      <w:r w:rsidRPr="00E537E0">
        <w:t xml:space="preserve"> </w:t>
      </w:r>
      <w:proofErr w:type="spellStart"/>
      <w:r w:rsidRPr="00E537E0">
        <w:t>of</w:t>
      </w:r>
      <w:proofErr w:type="spellEnd"/>
      <w:r w:rsidRPr="00E537E0">
        <w:t xml:space="preserve"> </w:t>
      </w:r>
      <w:proofErr w:type="spellStart"/>
      <w:r w:rsidRPr="00E537E0">
        <w:t>the</w:t>
      </w:r>
      <w:proofErr w:type="spellEnd"/>
      <w:r w:rsidRPr="00E537E0">
        <w:t xml:space="preserve"> </w:t>
      </w:r>
      <w:proofErr w:type="spellStart"/>
      <w:r w:rsidRPr="00E537E0">
        <w:t>work</w:t>
      </w:r>
      <w:proofErr w:type="spellEnd"/>
      <w:r w:rsidRPr="00E537E0">
        <w:t xml:space="preserve"> </w:t>
      </w:r>
      <w:proofErr w:type="spellStart"/>
      <w:r w:rsidRPr="00E537E0">
        <w:t>force</w:t>
      </w:r>
      <w:proofErr w:type="spellEnd"/>
      <w:r w:rsidRPr="00E537E0">
        <w:t xml:space="preserve"> </w:t>
      </w:r>
      <w:proofErr w:type="spellStart"/>
      <w:r w:rsidRPr="00E537E0">
        <w:t>becoming</w:t>
      </w:r>
      <w:proofErr w:type="spellEnd"/>
      <w:r w:rsidRPr="00E537E0">
        <w:t xml:space="preserve"> </w:t>
      </w:r>
      <w:proofErr w:type="spellStart"/>
      <w:r w:rsidRPr="00E537E0">
        <w:t>ill</w:t>
      </w:r>
      <w:proofErr w:type="spellEnd"/>
      <w:r w:rsidRPr="00E537E0">
        <w:t xml:space="preserve">, </w:t>
      </w:r>
      <w:proofErr w:type="spellStart"/>
      <w:r w:rsidRPr="00E537E0">
        <w:t>which</w:t>
      </w:r>
      <w:proofErr w:type="spellEnd"/>
      <w:r w:rsidRPr="00E537E0">
        <w:t xml:space="preserve"> </w:t>
      </w:r>
      <w:proofErr w:type="spellStart"/>
      <w:r w:rsidRPr="00E537E0">
        <w:t>will</w:t>
      </w:r>
      <w:proofErr w:type="spellEnd"/>
      <w:r w:rsidRPr="00E537E0">
        <w:t xml:space="preserve"> </w:t>
      </w:r>
      <w:proofErr w:type="spellStart"/>
      <w:r w:rsidRPr="00E537E0">
        <w:t>strain</w:t>
      </w:r>
      <w:proofErr w:type="spellEnd"/>
      <w:r w:rsidRPr="00E537E0">
        <w:t xml:space="preserve"> </w:t>
      </w:r>
      <w:proofErr w:type="spellStart"/>
      <w:r w:rsidRPr="00E537E0">
        <w:t>the</w:t>
      </w:r>
      <w:proofErr w:type="spellEnd"/>
      <w:r w:rsidRPr="00E537E0">
        <w:t xml:space="preserve"> </w:t>
      </w:r>
      <w:proofErr w:type="spellStart"/>
      <w:r w:rsidRPr="00E537E0">
        <w:t>project’s</w:t>
      </w:r>
      <w:proofErr w:type="spellEnd"/>
      <w:r w:rsidRPr="00E537E0">
        <w:t xml:space="preserve"> </w:t>
      </w:r>
      <w:proofErr w:type="spellStart"/>
      <w:r w:rsidRPr="00E537E0">
        <w:t>health</w:t>
      </w:r>
      <w:proofErr w:type="spellEnd"/>
      <w:r w:rsidRPr="00E537E0">
        <w:t xml:space="preserve"> </w:t>
      </w:r>
      <w:proofErr w:type="spellStart"/>
      <w:r w:rsidRPr="00E537E0">
        <w:t>facilities</w:t>
      </w:r>
      <w:proofErr w:type="spellEnd"/>
      <w:r w:rsidRPr="00E537E0">
        <w:t xml:space="preserve">, </w:t>
      </w:r>
      <w:proofErr w:type="spellStart"/>
      <w:r w:rsidRPr="00E537E0">
        <w:t>have</w:t>
      </w:r>
      <w:proofErr w:type="spellEnd"/>
      <w:r w:rsidRPr="00E537E0">
        <w:t xml:space="preserve"> </w:t>
      </w:r>
      <w:proofErr w:type="spellStart"/>
      <w:r w:rsidRPr="00E537E0">
        <w:t>implications</w:t>
      </w:r>
      <w:proofErr w:type="spellEnd"/>
      <w:r w:rsidRPr="00E537E0">
        <w:t xml:space="preserve"> for </w:t>
      </w:r>
      <w:proofErr w:type="spellStart"/>
      <w:r w:rsidRPr="00E537E0">
        <w:t>local</w:t>
      </w:r>
      <w:proofErr w:type="spellEnd"/>
      <w:r w:rsidRPr="00E537E0">
        <w:t xml:space="preserve"> </w:t>
      </w:r>
      <w:proofErr w:type="spellStart"/>
      <w:r w:rsidRPr="00E537E0">
        <w:t>emergency</w:t>
      </w:r>
      <w:proofErr w:type="spellEnd"/>
      <w:r w:rsidRPr="00E537E0">
        <w:t xml:space="preserve"> </w:t>
      </w:r>
      <w:proofErr w:type="spellStart"/>
      <w:r w:rsidRPr="00E537E0">
        <w:t>and</w:t>
      </w:r>
      <w:proofErr w:type="spellEnd"/>
      <w:r w:rsidRPr="00E537E0">
        <w:t xml:space="preserve"> </w:t>
      </w:r>
      <w:proofErr w:type="spellStart"/>
      <w:r w:rsidRPr="00E537E0">
        <w:t>health</w:t>
      </w:r>
      <w:proofErr w:type="spellEnd"/>
      <w:r w:rsidRPr="00E537E0">
        <w:t xml:space="preserve"> </w:t>
      </w:r>
      <w:proofErr w:type="spellStart"/>
      <w:r w:rsidRPr="00E537E0">
        <w:t>services</w:t>
      </w:r>
      <w:proofErr w:type="spellEnd"/>
      <w:r w:rsidRPr="00E537E0">
        <w:t xml:space="preserve"> </w:t>
      </w:r>
      <w:proofErr w:type="spellStart"/>
      <w:r w:rsidRPr="00E537E0">
        <w:t>and</w:t>
      </w:r>
      <w:proofErr w:type="spellEnd"/>
      <w:r w:rsidRPr="00E537E0">
        <w:t xml:space="preserve"> </w:t>
      </w:r>
      <w:proofErr w:type="spellStart"/>
      <w:r w:rsidRPr="00E537E0">
        <w:t>may</w:t>
      </w:r>
      <w:proofErr w:type="spellEnd"/>
      <w:r w:rsidRPr="00E537E0">
        <w:t xml:space="preserve"> </w:t>
      </w:r>
      <w:proofErr w:type="spellStart"/>
      <w:r w:rsidRPr="00E537E0">
        <w:t>jeopardize</w:t>
      </w:r>
      <w:proofErr w:type="spellEnd"/>
      <w:r w:rsidRPr="00E537E0">
        <w:t xml:space="preserve"> </w:t>
      </w:r>
      <w:proofErr w:type="spellStart"/>
      <w:r w:rsidRPr="00E537E0">
        <w:t>the</w:t>
      </w:r>
      <w:proofErr w:type="spellEnd"/>
      <w:r w:rsidRPr="00E537E0">
        <w:t xml:space="preserve"> </w:t>
      </w:r>
      <w:proofErr w:type="spellStart"/>
      <w:r w:rsidRPr="00E537E0">
        <w:t>progress</w:t>
      </w:r>
      <w:proofErr w:type="spellEnd"/>
      <w:r w:rsidRPr="00E537E0">
        <w:t xml:space="preserve"> </w:t>
      </w:r>
      <w:proofErr w:type="spellStart"/>
      <w:r w:rsidRPr="00E537E0">
        <w:t>of</w:t>
      </w:r>
      <w:proofErr w:type="spellEnd"/>
      <w:r w:rsidRPr="00E537E0">
        <w:t xml:space="preserve"> </w:t>
      </w:r>
      <w:proofErr w:type="spellStart"/>
      <w:r w:rsidRPr="00E537E0">
        <w:t>the</w:t>
      </w:r>
      <w:proofErr w:type="spellEnd"/>
      <w:r w:rsidRPr="00E537E0">
        <w:t xml:space="preserve"> </w:t>
      </w:r>
      <w:proofErr w:type="spellStart"/>
      <w:r w:rsidRPr="00E537E0">
        <w:t>construction</w:t>
      </w:r>
      <w:proofErr w:type="spellEnd"/>
      <w:r w:rsidRPr="00E537E0">
        <w:t xml:space="preserve"> </w:t>
      </w:r>
      <w:proofErr w:type="spellStart"/>
      <w:r w:rsidRPr="00E537E0">
        <w:t>work</w:t>
      </w:r>
      <w:proofErr w:type="spellEnd"/>
      <w:r w:rsidRPr="00E537E0">
        <w:t xml:space="preserve"> </w:t>
      </w:r>
      <w:proofErr w:type="spellStart"/>
      <w:r w:rsidRPr="00E537E0">
        <w:t>and</w:t>
      </w:r>
      <w:proofErr w:type="spellEnd"/>
      <w:r w:rsidRPr="00E537E0">
        <w:t xml:space="preserve"> </w:t>
      </w:r>
      <w:proofErr w:type="spellStart"/>
      <w:r w:rsidRPr="00E537E0">
        <w:t>the</w:t>
      </w:r>
      <w:proofErr w:type="spellEnd"/>
      <w:r w:rsidRPr="00E537E0">
        <w:t xml:space="preserve"> </w:t>
      </w:r>
      <w:proofErr w:type="spellStart"/>
      <w:r w:rsidRPr="00E537E0">
        <w:t>schedule</w:t>
      </w:r>
      <w:proofErr w:type="spellEnd"/>
      <w:r w:rsidRPr="00E537E0">
        <w:t xml:space="preserve"> </w:t>
      </w:r>
      <w:proofErr w:type="spellStart"/>
      <w:r w:rsidRPr="00E537E0">
        <w:t>of</w:t>
      </w:r>
      <w:proofErr w:type="spellEnd"/>
      <w:r w:rsidRPr="00E537E0">
        <w:t xml:space="preserve"> </w:t>
      </w:r>
      <w:proofErr w:type="spellStart"/>
      <w:r w:rsidRPr="00E537E0">
        <w:t>the</w:t>
      </w:r>
      <w:proofErr w:type="spellEnd"/>
      <w:r w:rsidRPr="00E537E0">
        <w:t xml:space="preserve"> </w:t>
      </w:r>
      <w:proofErr w:type="spellStart"/>
      <w:r w:rsidRPr="00E537E0">
        <w:t>project</w:t>
      </w:r>
      <w:proofErr w:type="spellEnd"/>
      <w:r w:rsidRPr="00E537E0">
        <w:t xml:space="preserve">. </w:t>
      </w:r>
      <w:proofErr w:type="spellStart"/>
      <w:r w:rsidRPr="00E537E0">
        <w:t>Such</w:t>
      </w:r>
      <w:proofErr w:type="spellEnd"/>
      <w:r w:rsidRPr="00E537E0">
        <w:t xml:space="preserve"> </w:t>
      </w:r>
      <w:proofErr w:type="spellStart"/>
      <w:r w:rsidRPr="00E537E0">
        <w:t>impacts</w:t>
      </w:r>
      <w:proofErr w:type="spellEnd"/>
      <w:r w:rsidRPr="00E537E0">
        <w:t xml:space="preserve"> </w:t>
      </w:r>
      <w:proofErr w:type="spellStart"/>
      <w:r w:rsidRPr="00E537E0">
        <w:t>will</w:t>
      </w:r>
      <w:proofErr w:type="spellEnd"/>
      <w:r w:rsidRPr="00E537E0">
        <w:t xml:space="preserve"> </w:t>
      </w:r>
      <w:proofErr w:type="spellStart"/>
      <w:r w:rsidRPr="00E537E0">
        <w:t>be</w:t>
      </w:r>
      <w:proofErr w:type="spellEnd"/>
      <w:r w:rsidRPr="00E537E0">
        <w:t xml:space="preserve"> </w:t>
      </w:r>
      <w:proofErr w:type="spellStart"/>
      <w:r w:rsidRPr="00E537E0">
        <w:t>exacerbated</w:t>
      </w:r>
      <w:proofErr w:type="spellEnd"/>
      <w:r w:rsidRPr="00E537E0">
        <w:t xml:space="preserve"> </w:t>
      </w:r>
      <w:proofErr w:type="spellStart"/>
      <w:r w:rsidRPr="00E537E0">
        <w:t>where</w:t>
      </w:r>
      <w:proofErr w:type="spellEnd"/>
      <w:r w:rsidRPr="00E537E0">
        <w:t xml:space="preserve"> a </w:t>
      </w:r>
      <w:proofErr w:type="spellStart"/>
      <w:r w:rsidRPr="00E537E0">
        <w:t>work</w:t>
      </w:r>
      <w:proofErr w:type="spellEnd"/>
      <w:r w:rsidRPr="00E537E0">
        <w:t xml:space="preserve"> </w:t>
      </w:r>
      <w:proofErr w:type="spellStart"/>
      <w:r w:rsidRPr="00E537E0">
        <w:t>force</w:t>
      </w:r>
      <w:proofErr w:type="spellEnd"/>
      <w:r w:rsidRPr="00E537E0">
        <w:t xml:space="preserve"> </w:t>
      </w:r>
      <w:proofErr w:type="spellStart"/>
      <w:r w:rsidRPr="00E537E0">
        <w:t>is</w:t>
      </w:r>
      <w:proofErr w:type="spellEnd"/>
      <w:r w:rsidRPr="00E537E0">
        <w:t xml:space="preserve"> </w:t>
      </w:r>
      <w:proofErr w:type="spellStart"/>
      <w:r w:rsidRPr="00E537E0">
        <w:t>large</w:t>
      </w:r>
      <w:proofErr w:type="spellEnd"/>
      <w:r w:rsidRPr="00E537E0">
        <w:t xml:space="preserve"> </w:t>
      </w:r>
      <w:proofErr w:type="spellStart"/>
      <w:r w:rsidRPr="00E537E0">
        <w:t>and</w:t>
      </w:r>
      <w:proofErr w:type="spellEnd"/>
      <w:r w:rsidRPr="00E537E0">
        <w:t>/</w:t>
      </w:r>
      <w:proofErr w:type="spellStart"/>
      <w:r w:rsidRPr="00E537E0">
        <w:t>or</w:t>
      </w:r>
      <w:proofErr w:type="spellEnd"/>
      <w:r w:rsidRPr="00E537E0">
        <w:t xml:space="preserve"> </w:t>
      </w:r>
      <w:proofErr w:type="spellStart"/>
      <w:r w:rsidRPr="00E537E0">
        <w:t>the</w:t>
      </w:r>
      <w:proofErr w:type="spellEnd"/>
      <w:r w:rsidRPr="00E537E0">
        <w:t xml:space="preserve"> </w:t>
      </w:r>
      <w:proofErr w:type="spellStart"/>
      <w:r w:rsidRPr="00E537E0">
        <w:t>project</w:t>
      </w:r>
      <w:proofErr w:type="spellEnd"/>
      <w:r w:rsidRPr="00E537E0">
        <w:t xml:space="preserve"> </w:t>
      </w:r>
      <w:proofErr w:type="spellStart"/>
      <w:r w:rsidRPr="00E537E0">
        <w:t>is</w:t>
      </w:r>
      <w:proofErr w:type="spellEnd"/>
      <w:r w:rsidRPr="00E537E0">
        <w:t xml:space="preserve"> </w:t>
      </w:r>
      <w:proofErr w:type="spellStart"/>
      <w:r w:rsidRPr="00E537E0">
        <w:t>in</w:t>
      </w:r>
      <w:proofErr w:type="spellEnd"/>
      <w:r w:rsidRPr="00E537E0">
        <w:t xml:space="preserve"> </w:t>
      </w:r>
      <w:proofErr w:type="spellStart"/>
      <w:r w:rsidRPr="00E537E0">
        <w:t>remote</w:t>
      </w:r>
      <w:proofErr w:type="spellEnd"/>
      <w:r w:rsidRPr="00E537E0">
        <w:t xml:space="preserve"> </w:t>
      </w:r>
      <w:proofErr w:type="spellStart"/>
      <w:r w:rsidRPr="00E537E0">
        <w:t>or</w:t>
      </w:r>
      <w:proofErr w:type="spellEnd"/>
      <w:r w:rsidRPr="00E537E0">
        <w:t xml:space="preserve"> </w:t>
      </w:r>
      <w:proofErr w:type="spellStart"/>
      <w:r w:rsidRPr="00E537E0">
        <w:t>under-serviced</w:t>
      </w:r>
      <w:proofErr w:type="spellEnd"/>
      <w:r w:rsidRPr="00E537E0">
        <w:t xml:space="preserve"> </w:t>
      </w:r>
      <w:proofErr w:type="spellStart"/>
      <w:r w:rsidRPr="00E537E0">
        <w:t>areas</w:t>
      </w:r>
      <w:proofErr w:type="spellEnd"/>
      <w:r w:rsidRPr="00E537E0">
        <w:t xml:space="preserve">. In </w:t>
      </w:r>
      <w:proofErr w:type="spellStart"/>
      <w:r w:rsidRPr="00E537E0">
        <w:t>such</w:t>
      </w:r>
      <w:proofErr w:type="spellEnd"/>
      <w:r w:rsidRPr="00E537E0">
        <w:t xml:space="preserve"> </w:t>
      </w:r>
      <w:proofErr w:type="spellStart"/>
      <w:r w:rsidRPr="00E537E0">
        <w:t>circumstances</w:t>
      </w:r>
      <w:proofErr w:type="spellEnd"/>
      <w:r w:rsidRPr="00E537E0">
        <w:t xml:space="preserve">, </w:t>
      </w:r>
      <w:proofErr w:type="spellStart"/>
      <w:r w:rsidRPr="00E537E0">
        <w:t>relationships</w:t>
      </w:r>
      <w:proofErr w:type="spellEnd"/>
      <w:r w:rsidRPr="00E537E0">
        <w:t xml:space="preserve"> </w:t>
      </w:r>
      <w:proofErr w:type="spellStart"/>
      <w:r w:rsidRPr="00E537E0">
        <w:t>with</w:t>
      </w:r>
      <w:proofErr w:type="spellEnd"/>
      <w:r w:rsidRPr="00E537E0">
        <w:t xml:space="preserve"> </w:t>
      </w:r>
      <w:proofErr w:type="spellStart"/>
      <w:r w:rsidRPr="00E537E0">
        <w:t>the</w:t>
      </w:r>
      <w:proofErr w:type="spellEnd"/>
      <w:r w:rsidRPr="00E537E0">
        <w:t xml:space="preserve"> </w:t>
      </w:r>
      <w:proofErr w:type="spellStart"/>
      <w:r w:rsidRPr="00E537E0">
        <w:t>community</w:t>
      </w:r>
      <w:proofErr w:type="spellEnd"/>
      <w:r w:rsidRPr="00E537E0">
        <w:t xml:space="preserve"> </w:t>
      </w:r>
      <w:proofErr w:type="spellStart"/>
      <w:r w:rsidRPr="00E537E0">
        <w:t>can</w:t>
      </w:r>
      <w:proofErr w:type="spellEnd"/>
      <w:r w:rsidRPr="00E537E0">
        <w:t xml:space="preserve"> </w:t>
      </w:r>
      <w:proofErr w:type="spellStart"/>
      <w:r w:rsidRPr="00E537E0">
        <w:t>be</w:t>
      </w:r>
      <w:proofErr w:type="spellEnd"/>
      <w:r w:rsidRPr="00E537E0">
        <w:t xml:space="preserve"> </w:t>
      </w:r>
      <w:proofErr w:type="spellStart"/>
      <w:r w:rsidRPr="00E537E0">
        <w:t>strained</w:t>
      </w:r>
      <w:proofErr w:type="spellEnd"/>
      <w:r w:rsidRPr="00E537E0">
        <w:t xml:space="preserve"> </w:t>
      </w:r>
      <w:proofErr w:type="spellStart"/>
      <w:r w:rsidRPr="00E537E0">
        <w:t>or</w:t>
      </w:r>
      <w:proofErr w:type="spellEnd"/>
      <w:r w:rsidRPr="00E537E0">
        <w:t xml:space="preserve"> </w:t>
      </w:r>
      <w:proofErr w:type="spellStart"/>
      <w:r w:rsidRPr="00E537E0">
        <w:t>difficult</w:t>
      </w:r>
      <w:proofErr w:type="spellEnd"/>
      <w:r w:rsidRPr="00E537E0">
        <w:t xml:space="preserve"> </w:t>
      </w:r>
      <w:proofErr w:type="spellStart"/>
      <w:r w:rsidRPr="00E537E0">
        <w:t>and</w:t>
      </w:r>
      <w:proofErr w:type="spellEnd"/>
      <w:r w:rsidRPr="00E537E0">
        <w:t xml:space="preserve"> </w:t>
      </w:r>
      <w:proofErr w:type="spellStart"/>
      <w:r w:rsidRPr="00E537E0">
        <w:t>conflict</w:t>
      </w:r>
      <w:proofErr w:type="spellEnd"/>
      <w:r w:rsidRPr="00E537E0">
        <w:t xml:space="preserve"> </w:t>
      </w:r>
      <w:proofErr w:type="spellStart"/>
      <w:r w:rsidRPr="00E537E0">
        <w:t>can</w:t>
      </w:r>
      <w:proofErr w:type="spellEnd"/>
      <w:r w:rsidRPr="00E537E0">
        <w:t xml:space="preserve"> </w:t>
      </w:r>
      <w:proofErr w:type="spellStart"/>
      <w:r w:rsidRPr="00E537E0">
        <w:t>arise</w:t>
      </w:r>
      <w:proofErr w:type="spellEnd"/>
      <w:r w:rsidRPr="00E537E0">
        <w:t xml:space="preserve">, </w:t>
      </w:r>
      <w:proofErr w:type="spellStart"/>
      <w:r w:rsidRPr="00E537E0">
        <w:t>particularly</w:t>
      </w:r>
      <w:proofErr w:type="spellEnd"/>
      <w:r w:rsidRPr="00E537E0">
        <w:t xml:space="preserve"> </w:t>
      </w:r>
      <w:proofErr w:type="spellStart"/>
      <w:r w:rsidRPr="00E537E0">
        <w:t>if</w:t>
      </w:r>
      <w:proofErr w:type="spellEnd"/>
      <w:r w:rsidRPr="00E537E0">
        <w:t xml:space="preserve"> </w:t>
      </w:r>
      <w:proofErr w:type="spellStart"/>
      <w:r w:rsidRPr="00E537E0">
        <w:t>people</w:t>
      </w:r>
      <w:proofErr w:type="spellEnd"/>
      <w:r w:rsidRPr="00E537E0">
        <w:t xml:space="preserve"> </w:t>
      </w:r>
      <w:proofErr w:type="spellStart"/>
      <w:r w:rsidRPr="00E537E0">
        <w:t>feel</w:t>
      </w:r>
      <w:proofErr w:type="spellEnd"/>
      <w:r w:rsidRPr="00E537E0">
        <w:t xml:space="preserve"> </w:t>
      </w:r>
      <w:proofErr w:type="spellStart"/>
      <w:r w:rsidRPr="00E537E0">
        <w:t>they</w:t>
      </w:r>
      <w:proofErr w:type="spellEnd"/>
      <w:r w:rsidRPr="00E537E0">
        <w:t xml:space="preserve"> are </w:t>
      </w:r>
      <w:proofErr w:type="spellStart"/>
      <w:r w:rsidRPr="00E537E0">
        <w:t>being</w:t>
      </w:r>
      <w:proofErr w:type="spellEnd"/>
      <w:r w:rsidRPr="00E537E0">
        <w:t xml:space="preserve"> </w:t>
      </w:r>
      <w:proofErr w:type="spellStart"/>
      <w:r w:rsidRPr="00E537E0">
        <w:t>exposed</w:t>
      </w:r>
      <w:proofErr w:type="spellEnd"/>
      <w:r w:rsidRPr="00E537E0">
        <w:t xml:space="preserve"> to </w:t>
      </w:r>
      <w:proofErr w:type="spellStart"/>
      <w:r w:rsidRPr="00E537E0">
        <w:t>disease</w:t>
      </w:r>
      <w:proofErr w:type="spellEnd"/>
      <w:r w:rsidRPr="00E537E0">
        <w:t xml:space="preserve"> </w:t>
      </w:r>
      <w:proofErr w:type="spellStart"/>
      <w:r w:rsidRPr="00E537E0">
        <w:t>by</w:t>
      </w:r>
      <w:proofErr w:type="spellEnd"/>
      <w:r w:rsidRPr="00E537E0">
        <w:t xml:space="preserve"> </w:t>
      </w:r>
      <w:proofErr w:type="spellStart"/>
      <w:r w:rsidRPr="00E537E0">
        <w:t>the</w:t>
      </w:r>
      <w:proofErr w:type="spellEnd"/>
      <w:r w:rsidRPr="00E537E0">
        <w:t xml:space="preserve"> </w:t>
      </w:r>
      <w:proofErr w:type="spellStart"/>
      <w:r w:rsidRPr="00E537E0">
        <w:t>project</w:t>
      </w:r>
      <w:proofErr w:type="spellEnd"/>
      <w:r w:rsidRPr="00E537E0">
        <w:t xml:space="preserve"> </w:t>
      </w:r>
      <w:proofErr w:type="spellStart"/>
      <w:r w:rsidRPr="00E537E0">
        <w:t>or</w:t>
      </w:r>
      <w:proofErr w:type="spellEnd"/>
      <w:r w:rsidRPr="00E537E0">
        <w:t xml:space="preserve"> are </w:t>
      </w:r>
      <w:proofErr w:type="spellStart"/>
      <w:r w:rsidRPr="00E537E0">
        <w:t>having</w:t>
      </w:r>
      <w:proofErr w:type="spellEnd"/>
      <w:r w:rsidRPr="00E537E0">
        <w:t xml:space="preserve"> to </w:t>
      </w:r>
      <w:proofErr w:type="spellStart"/>
      <w:r w:rsidRPr="00E537E0">
        <w:t>compete</w:t>
      </w:r>
      <w:proofErr w:type="spellEnd"/>
      <w:r w:rsidRPr="00E537E0">
        <w:t xml:space="preserve"> for </w:t>
      </w:r>
      <w:proofErr w:type="spellStart"/>
      <w:r w:rsidRPr="00E537E0">
        <w:t>scarce</w:t>
      </w:r>
      <w:proofErr w:type="spellEnd"/>
      <w:r w:rsidRPr="00E537E0">
        <w:t xml:space="preserve"> </w:t>
      </w:r>
      <w:proofErr w:type="spellStart"/>
      <w:r w:rsidRPr="00E537E0">
        <w:t>resources</w:t>
      </w:r>
      <w:proofErr w:type="spellEnd"/>
      <w:r w:rsidRPr="00E537E0">
        <w:t xml:space="preserve">. </w:t>
      </w:r>
      <w:proofErr w:type="spellStart"/>
      <w:r w:rsidRPr="00E537E0">
        <w:t>The</w:t>
      </w:r>
      <w:proofErr w:type="spellEnd"/>
      <w:r w:rsidRPr="00E537E0">
        <w:t xml:space="preserve"> </w:t>
      </w:r>
      <w:proofErr w:type="spellStart"/>
      <w:r w:rsidRPr="00E537E0">
        <w:t>project</w:t>
      </w:r>
      <w:proofErr w:type="spellEnd"/>
      <w:r w:rsidRPr="00E537E0">
        <w:t xml:space="preserve"> must </w:t>
      </w:r>
      <w:proofErr w:type="spellStart"/>
      <w:r w:rsidRPr="00E537E0">
        <w:t>also</w:t>
      </w:r>
      <w:proofErr w:type="spellEnd"/>
      <w:r w:rsidRPr="00E537E0">
        <w:t xml:space="preserve"> </w:t>
      </w:r>
      <w:proofErr w:type="spellStart"/>
      <w:r w:rsidRPr="00E537E0">
        <w:t>exercise</w:t>
      </w:r>
      <w:proofErr w:type="spellEnd"/>
      <w:r w:rsidRPr="00E537E0">
        <w:t xml:space="preserve"> </w:t>
      </w:r>
      <w:proofErr w:type="spellStart"/>
      <w:r w:rsidRPr="00E537E0">
        <w:t>appropriate</w:t>
      </w:r>
      <w:proofErr w:type="spellEnd"/>
      <w:r w:rsidRPr="00E537E0">
        <w:t xml:space="preserve"> </w:t>
      </w:r>
      <w:proofErr w:type="spellStart"/>
      <w:r w:rsidRPr="00E537E0">
        <w:t>precautions</w:t>
      </w:r>
      <w:proofErr w:type="spellEnd"/>
      <w:r w:rsidRPr="00E537E0">
        <w:t xml:space="preserve"> </w:t>
      </w:r>
      <w:proofErr w:type="spellStart"/>
      <w:r w:rsidRPr="00E537E0">
        <w:t>against</w:t>
      </w:r>
      <w:proofErr w:type="spellEnd"/>
      <w:r w:rsidRPr="00E537E0">
        <w:t xml:space="preserve"> </w:t>
      </w:r>
      <w:proofErr w:type="spellStart"/>
      <w:r w:rsidRPr="00E537E0">
        <w:t>introducing</w:t>
      </w:r>
      <w:proofErr w:type="spellEnd"/>
      <w:r w:rsidRPr="00E537E0">
        <w:t xml:space="preserve"> </w:t>
      </w:r>
      <w:proofErr w:type="spellStart"/>
      <w:r w:rsidRPr="00E537E0">
        <w:t>the</w:t>
      </w:r>
      <w:proofErr w:type="spellEnd"/>
      <w:r w:rsidRPr="00E537E0">
        <w:t xml:space="preserve"> </w:t>
      </w:r>
      <w:proofErr w:type="spellStart"/>
      <w:r w:rsidRPr="00E537E0">
        <w:t>infection</w:t>
      </w:r>
      <w:proofErr w:type="spellEnd"/>
      <w:r w:rsidRPr="00E537E0">
        <w:t xml:space="preserve"> to </w:t>
      </w:r>
      <w:proofErr w:type="spellStart"/>
      <w:r w:rsidRPr="00E537E0">
        <w:t>local</w:t>
      </w:r>
      <w:proofErr w:type="spellEnd"/>
      <w:r w:rsidRPr="00E537E0">
        <w:t xml:space="preserve"> </w:t>
      </w:r>
      <w:proofErr w:type="spellStart"/>
      <w:r w:rsidRPr="00E537E0">
        <w:t>communities</w:t>
      </w:r>
      <w:proofErr w:type="spellEnd"/>
      <w:r w:rsidRPr="00E537E0">
        <w:t xml:space="preserve">. </w:t>
      </w:r>
    </w:p>
    <w:p w14:paraId="04A4DD50"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43CB00E2" w14:textId="5453CF53"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b/>
          <w:bCs/>
          <w:color w:val="000000"/>
          <w:lang w:val="en-GB"/>
        </w:rPr>
      </w:pPr>
      <w:r w:rsidRPr="00E537E0">
        <w:rPr>
          <w:rFonts w:ascii="Calibri" w:hAnsi="Calibri" w:cs="Calibri"/>
          <w:b/>
          <w:bCs/>
          <w:color w:val="000000"/>
          <w:lang w:val="en-GB"/>
        </w:rPr>
        <w:t xml:space="preserve">DOES THE CONSTRUCTION CONTRACT COVER THIS SITUATION? </w:t>
      </w:r>
    </w:p>
    <w:p w14:paraId="5DEDA821" w14:textId="77777777" w:rsidR="00740A8E" w:rsidRPr="00E537E0" w:rsidRDefault="00740A8E" w:rsidP="00E537E0">
      <w:pPr>
        <w:suppressAutoHyphens w:val="0"/>
        <w:autoSpaceDE w:val="0"/>
        <w:adjustRightInd w:val="0"/>
        <w:textAlignment w:val="auto"/>
      </w:pPr>
      <w:proofErr w:type="spellStart"/>
      <w:r w:rsidRPr="00E537E0">
        <w:t>Given</w:t>
      </w:r>
      <w:proofErr w:type="spellEnd"/>
      <w:r w:rsidRPr="00E537E0">
        <w:t xml:space="preserve"> </w:t>
      </w:r>
      <w:proofErr w:type="spellStart"/>
      <w:r w:rsidRPr="00E537E0">
        <w:t>the</w:t>
      </w:r>
      <w:proofErr w:type="spellEnd"/>
      <w:r w:rsidRPr="00E537E0">
        <w:t xml:space="preserve"> </w:t>
      </w:r>
      <w:proofErr w:type="spellStart"/>
      <w:r w:rsidRPr="00E537E0">
        <w:t>unprecedented</w:t>
      </w:r>
      <w:proofErr w:type="spellEnd"/>
      <w:r w:rsidRPr="00E537E0">
        <w:t xml:space="preserve"> nature </w:t>
      </w:r>
      <w:proofErr w:type="spellStart"/>
      <w:r w:rsidRPr="00E537E0">
        <w:t>of</w:t>
      </w:r>
      <w:proofErr w:type="spellEnd"/>
      <w:r w:rsidRPr="00E537E0">
        <w:t xml:space="preserve"> </w:t>
      </w:r>
      <w:proofErr w:type="spellStart"/>
      <w:r w:rsidRPr="00E537E0">
        <w:t>the</w:t>
      </w:r>
      <w:proofErr w:type="spellEnd"/>
      <w:r w:rsidRPr="00E537E0">
        <w:t xml:space="preserve"> COVID-19 </w:t>
      </w:r>
      <w:proofErr w:type="spellStart"/>
      <w:r w:rsidRPr="00E537E0">
        <w:t>pandemic</w:t>
      </w:r>
      <w:proofErr w:type="spellEnd"/>
      <w:r w:rsidRPr="00E537E0">
        <w:t xml:space="preserve">, </w:t>
      </w:r>
      <w:proofErr w:type="spellStart"/>
      <w:r w:rsidRPr="00E537E0">
        <w:t>it</w:t>
      </w:r>
      <w:proofErr w:type="spellEnd"/>
      <w:r w:rsidRPr="00E537E0">
        <w:t xml:space="preserve"> </w:t>
      </w:r>
      <w:proofErr w:type="spellStart"/>
      <w:r w:rsidRPr="00E537E0">
        <w:t>is</w:t>
      </w:r>
      <w:proofErr w:type="spellEnd"/>
      <w:r w:rsidRPr="00E537E0">
        <w:t xml:space="preserve"> </w:t>
      </w:r>
      <w:proofErr w:type="spellStart"/>
      <w:r w:rsidRPr="00E537E0">
        <w:t>unlikely</w:t>
      </w:r>
      <w:proofErr w:type="spellEnd"/>
      <w:r w:rsidRPr="00E537E0">
        <w:t xml:space="preserve"> </w:t>
      </w:r>
      <w:proofErr w:type="spellStart"/>
      <w:r w:rsidRPr="00E537E0">
        <w:t>that</w:t>
      </w:r>
      <w:proofErr w:type="spellEnd"/>
      <w:r w:rsidRPr="00E537E0">
        <w:t xml:space="preserve"> </w:t>
      </w:r>
      <w:proofErr w:type="spellStart"/>
      <w:r w:rsidRPr="00E537E0">
        <w:t>the</w:t>
      </w:r>
      <w:proofErr w:type="spellEnd"/>
      <w:r w:rsidRPr="00E537E0">
        <w:t xml:space="preserve"> </w:t>
      </w:r>
      <w:proofErr w:type="spellStart"/>
      <w:r w:rsidRPr="00E537E0">
        <w:t>existing</w:t>
      </w:r>
      <w:proofErr w:type="spellEnd"/>
      <w:r w:rsidRPr="00E537E0">
        <w:t xml:space="preserve"> </w:t>
      </w:r>
      <w:proofErr w:type="spellStart"/>
      <w:r w:rsidRPr="00E537E0">
        <w:t>construction</w:t>
      </w:r>
      <w:proofErr w:type="spellEnd"/>
      <w:r w:rsidRPr="00E537E0">
        <w:t xml:space="preserve">/civil </w:t>
      </w:r>
      <w:proofErr w:type="spellStart"/>
      <w:r w:rsidRPr="00E537E0">
        <w:t>works</w:t>
      </w:r>
      <w:proofErr w:type="spellEnd"/>
      <w:r w:rsidRPr="00E537E0">
        <w:t xml:space="preserve"> </w:t>
      </w:r>
      <w:proofErr w:type="spellStart"/>
      <w:r w:rsidRPr="00E537E0">
        <w:t>contracts</w:t>
      </w:r>
      <w:proofErr w:type="spellEnd"/>
      <w:r w:rsidRPr="00E537E0">
        <w:t xml:space="preserve"> </w:t>
      </w:r>
      <w:proofErr w:type="spellStart"/>
      <w:r w:rsidRPr="00E537E0">
        <w:t>will</w:t>
      </w:r>
      <w:proofErr w:type="spellEnd"/>
      <w:r w:rsidRPr="00E537E0">
        <w:t xml:space="preserve"> </w:t>
      </w:r>
      <w:proofErr w:type="spellStart"/>
      <w:r w:rsidRPr="00E537E0">
        <w:t>cover</w:t>
      </w:r>
      <w:proofErr w:type="spellEnd"/>
      <w:r w:rsidRPr="00E537E0">
        <w:t xml:space="preserve"> </w:t>
      </w:r>
      <w:proofErr w:type="spellStart"/>
      <w:r w:rsidRPr="00E537E0">
        <w:t>all</w:t>
      </w:r>
      <w:proofErr w:type="spellEnd"/>
      <w:r w:rsidRPr="00E537E0">
        <w:t xml:space="preserve"> </w:t>
      </w:r>
      <w:proofErr w:type="spellStart"/>
      <w:r w:rsidRPr="00E537E0">
        <w:t>the</w:t>
      </w:r>
      <w:proofErr w:type="spellEnd"/>
      <w:r w:rsidRPr="00E537E0">
        <w:t xml:space="preserve"> </w:t>
      </w:r>
      <w:proofErr w:type="spellStart"/>
      <w:r w:rsidRPr="00E537E0">
        <w:t>things</w:t>
      </w:r>
      <w:proofErr w:type="spellEnd"/>
      <w:r w:rsidRPr="00E537E0">
        <w:t xml:space="preserve"> </w:t>
      </w:r>
      <w:proofErr w:type="spellStart"/>
      <w:r w:rsidRPr="00E537E0">
        <w:t>that</w:t>
      </w:r>
      <w:proofErr w:type="spellEnd"/>
      <w:r w:rsidRPr="00E537E0">
        <w:t xml:space="preserve"> a </w:t>
      </w:r>
      <w:proofErr w:type="spellStart"/>
      <w:r w:rsidRPr="00E537E0">
        <w:t>prudent</w:t>
      </w:r>
      <w:proofErr w:type="spellEnd"/>
      <w:r w:rsidRPr="00E537E0">
        <w:t xml:space="preserve"> </w:t>
      </w:r>
      <w:proofErr w:type="spellStart"/>
      <w:r w:rsidRPr="00E537E0">
        <w:t>contractor</w:t>
      </w:r>
      <w:proofErr w:type="spellEnd"/>
      <w:r w:rsidRPr="00E537E0">
        <w:t xml:space="preserve"> </w:t>
      </w:r>
      <w:proofErr w:type="spellStart"/>
      <w:r w:rsidRPr="00E537E0">
        <w:t>will</w:t>
      </w:r>
      <w:proofErr w:type="spellEnd"/>
      <w:r w:rsidRPr="00E537E0">
        <w:t xml:space="preserve"> </w:t>
      </w:r>
      <w:proofErr w:type="spellStart"/>
      <w:r w:rsidRPr="00E537E0">
        <w:t>need</w:t>
      </w:r>
      <w:proofErr w:type="spellEnd"/>
      <w:r w:rsidRPr="00E537E0">
        <w:t xml:space="preserve"> to do. </w:t>
      </w:r>
      <w:proofErr w:type="spellStart"/>
      <w:r w:rsidRPr="00E537E0">
        <w:t>Nevertheless</w:t>
      </w:r>
      <w:proofErr w:type="spellEnd"/>
      <w:r w:rsidRPr="00E537E0">
        <w:t xml:space="preserve">, </w:t>
      </w:r>
      <w:proofErr w:type="spellStart"/>
      <w:r w:rsidRPr="00E537E0">
        <w:t>the</w:t>
      </w:r>
      <w:proofErr w:type="spellEnd"/>
      <w:r w:rsidRPr="00E537E0">
        <w:t xml:space="preserve"> </w:t>
      </w:r>
      <w:proofErr w:type="spellStart"/>
      <w:r w:rsidRPr="00E537E0">
        <w:t>first</w:t>
      </w:r>
      <w:proofErr w:type="spellEnd"/>
      <w:r w:rsidRPr="00E537E0">
        <w:t xml:space="preserve"> place for a </w:t>
      </w:r>
      <w:proofErr w:type="spellStart"/>
      <w:r w:rsidRPr="00E537E0">
        <w:t>Borrower</w:t>
      </w:r>
      <w:proofErr w:type="spellEnd"/>
      <w:r w:rsidRPr="00E537E0">
        <w:t xml:space="preserve"> to start </w:t>
      </w:r>
      <w:proofErr w:type="spellStart"/>
      <w:r w:rsidRPr="00E537E0">
        <w:t>is</w:t>
      </w:r>
      <w:proofErr w:type="spellEnd"/>
      <w:r w:rsidRPr="00E537E0">
        <w:t xml:space="preserve"> </w:t>
      </w:r>
      <w:proofErr w:type="spellStart"/>
      <w:r w:rsidRPr="00E537E0">
        <w:t>with</w:t>
      </w:r>
      <w:proofErr w:type="spellEnd"/>
      <w:r w:rsidRPr="00E537E0">
        <w:t xml:space="preserve"> </w:t>
      </w:r>
      <w:proofErr w:type="spellStart"/>
      <w:r w:rsidRPr="00E537E0">
        <w:t>the</w:t>
      </w:r>
      <w:proofErr w:type="spellEnd"/>
      <w:r w:rsidRPr="00E537E0">
        <w:t xml:space="preserve"> </w:t>
      </w:r>
      <w:proofErr w:type="spellStart"/>
      <w:r w:rsidRPr="00E537E0">
        <w:t>contract</w:t>
      </w:r>
      <w:proofErr w:type="spellEnd"/>
      <w:r w:rsidRPr="00E537E0">
        <w:t xml:space="preserve">, </w:t>
      </w:r>
      <w:proofErr w:type="spellStart"/>
      <w:r w:rsidRPr="00E537E0">
        <w:t>determining</w:t>
      </w:r>
      <w:proofErr w:type="spellEnd"/>
      <w:r w:rsidRPr="00E537E0">
        <w:t xml:space="preserve"> </w:t>
      </w:r>
      <w:proofErr w:type="spellStart"/>
      <w:r w:rsidRPr="00E537E0">
        <w:t>what</w:t>
      </w:r>
      <w:proofErr w:type="spellEnd"/>
      <w:r w:rsidRPr="00E537E0">
        <w:t xml:space="preserve"> a </w:t>
      </w:r>
      <w:proofErr w:type="spellStart"/>
      <w:r w:rsidRPr="00E537E0">
        <w:t>contractor’s</w:t>
      </w:r>
      <w:proofErr w:type="spellEnd"/>
      <w:r w:rsidRPr="00E537E0">
        <w:t xml:space="preserve"> </w:t>
      </w:r>
      <w:proofErr w:type="spellStart"/>
      <w:r w:rsidRPr="00E537E0">
        <w:t>existing</w:t>
      </w:r>
      <w:proofErr w:type="spellEnd"/>
      <w:r w:rsidRPr="00E537E0">
        <w:t xml:space="preserve"> </w:t>
      </w:r>
      <w:proofErr w:type="spellStart"/>
      <w:r w:rsidRPr="00E537E0">
        <w:t>obligations</w:t>
      </w:r>
      <w:proofErr w:type="spellEnd"/>
      <w:r w:rsidRPr="00E537E0">
        <w:t xml:space="preserve"> are, </w:t>
      </w:r>
      <w:proofErr w:type="spellStart"/>
      <w:r w:rsidRPr="00E537E0">
        <w:t>and</w:t>
      </w:r>
      <w:proofErr w:type="spellEnd"/>
      <w:r w:rsidRPr="00E537E0">
        <w:t xml:space="preserve"> how </w:t>
      </w:r>
      <w:proofErr w:type="spellStart"/>
      <w:r w:rsidRPr="00E537E0">
        <w:t>these</w:t>
      </w:r>
      <w:proofErr w:type="spellEnd"/>
      <w:r w:rsidRPr="00E537E0">
        <w:t xml:space="preserve"> </w:t>
      </w:r>
      <w:proofErr w:type="spellStart"/>
      <w:r w:rsidRPr="00E537E0">
        <w:t>relate</w:t>
      </w:r>
      <w:proofErr w:type="spellEnd"/>
      <w:r w:rsidRPr="00E537E0">
        <w:t xml:space="preserve"> to </w:t>
      </w:r>
      <w:proofErr w:type="spellStart"/>
      <w:r w:rsidRPr="00E537E0">
        <w:t>the</w:t>
      </w:r>
      <w:proofErr w:type="spellEnd"/>
      <w:r w:rsidRPr="00E537E0">
        <w:t xml:space="preserve"> </w:t>
      </w:r>
      <w:proofErr w:type="spellStart"/>
      <w:r w:rsidRPr="00E537E0">
        <w:t>current</w:t>
      </w:r>
      <w:proofErr w:type="spellEnd"/>
      <w:r w:rsidRPr="00E537E0">
        <w:t xml:space="preserve"> </w:t>
      </w:r>
      <w:proofErr w:type="spellStart"/>
      <w:r w:rsidRPr="00E537E0">
        <w:t>situation</w:t>
      </w:r>
      <w:proofErr w:type="spellEnd"/>
      <w:r w:rsidRPr="00E537E0">
        <w:t xml:space="preserve">. </w:t>
      </w:r>
    </w:p>
    <w:p w14:paraId="0157E584" w14:textId="77777777" w:rsidR="00740A8E" w:rsidRPr="00E537E0" w:rsidRDefault="00740A8E" w:rsidP="00E537E0">
      <w:pPr>
        <w:suppressAutoHyphens w:val="0"/>
        <w:autoSpaceDE w:val="0"/>
        <w:adjustRightInd w:val="0"/>
        <w:textAlignment w:val="auto"/>
      </w:pPr>
      <w:proofErr w:type="spellStart"/>
      <w:r w:rsidRPr="00E537E0">
        <w:t>The</w:t>
      </w:r>
      <w:proofErr w:type="spellEnd"/>
      <w:r w:rsidRPr="00E537E0">
        <w:t xml:space="preserve"> </w:t>
      </w:r>
      <w:proofErr w:type="spellStart"/>
      <w:r w:rsidRPr="00E537E0">
        <w:t>obligations</w:t>
      </w:r>
      <w:proofErr w:type="spellEnd"/>
      <w:r w:rsidRPr="00E537E0">
        <w:t xml:space="preserve"> on </w:t>
      </w:r>
      <w:proofErr w:type="spellStart"/>
      <w:r w:rsidRPr="00E537E0">
        <w:t>health</w:t>
      </w:r>
      <w:proofErr w:type="spellEnd"/>
      <w:r w:rsidRPr="00E537E0">
        <w:t xml:space="preserve"> </w:t>
      </w:r>
      <w:proofErr w:type="spellStart"/>
      <w:r w:rsidRPr="00E537E0">
        <w:t>and</w:t>
      </w:r>
      <w:proofErr w:type="spellEnd"/>
      <w:r w:rsidRPr="00E537E0">
        <w:t xml:space="preserve"> </w:t>
      </w:r>
      <w:proofErr w:type="spellStart"/>
      <w:r w:rsidRPr="00E537E0">
        <w:t>safety</w:t>
      </w:r>
      <w:proofErr w:type="spellEnd"/>
      <w:r w:rsidRPr="00E537E0">
        <w:t xml:space="preserve"> </w:t>
      </w:r>
      <w:proofErr w:type="spellStart"/>
      <w:r w:rsidRPr="00E537E0">
        <w:t>will</w:t>
      </w:r>
      <w:proofErr w:type="spellEnd"/>
      <w:r w:rsidRPr="00E537E0">
        <w:t xml:space="preserve"> </w:t>
      </w:r>
      <w:proofErr w:type="spellStart"/>
      <w:r w:rsidRPr="00E537E0">
        <w:t>depend</w:t>
      </w:r>
      <w:proofErr w:type="spellEnd"/>
      <w:r w:rsidRPr="00E537E0">
        <w:t xml:space="preserve"> on </w:t>
      </w:r>
      <w:proofErr w:type="spellStart"/>
      <w:r w:rsidRPr="00E537E0">
        <w:t>what</w:t>
      </w:r>
      <w:proofErr w:type="spellEnd"/>
      <w:r w:rsidRPr="00E537E0">
        <w:t xml:space="preserve"> </w:t>
      </w:r>
      <w:proofErr w:type="spellStart"/>
      <w:r w:rsidRPr="00E537E0">
        <w:t>kind</w:t>
      </w:r>
      <w:proofErr w:type="spellEnd"/>
      <w:r w:rsidRPr="00E537E0">
        <w:t xml:space="preserve"> </w:t>
      </w:r>
      <w:proofErr w:type="spellStart"/>
      <w:r w:rsidRPr="00E537E0">
        <w:t>of</w:t>
      </w:r>
      <w:proofErr w:type="spellEnd"/>
      <w:r w:rsidRPr="00E537E0">
        <w:t xml:space="preserve"> </w:t>
      </w:r>
      <w:proofErr w:type="spellStart"/>
      <w:r w:rsidRPr="00E537E0">
        <w:t>contract</w:t>
      </w:r>
      <w:proofErr w:type="spellEnd"/>
      <w:r w:rsidRPr="00E537E0">
        <w:t xml:space="preserve"> </w:t>
      </w:r>
      <w:proofErr w:type="spellStart"/>
      <w:r w:rsidRPr="00E537E0">
        <w:t>exists</w:t>
      </w:r>
      <w:proofErr w:type="spellEnd"/>
      <w:r w:rsidRPr="00E537E0">
        <w:t xml:space="preserve"> (</w:t>
      </w:r>
      <w:proofErr w:type="spellStart"/>
      <w:r w:rsidRPr="00E537E0">
        <w:t>between</w:t>
      </w:r>
      <w:proofErr w:type="spellEnd"/>
      <w:r w:rsidRPr="00E537E0">
        <w:t xml:space="preserve"> </w:t>
      </w:r>
      <w:proofErr w:type="spellStart"/>
      <w:r w:rsidRPr="00E537E0">
        <w:t>the</w:t>
      </w:r>
      <w:proofErr w:type="spellEnd"/>
      <w:r w:rsidRPr="00E537E0">
        <w:t xml:space="preserve"> </w:t>
      </w:r>
      <w:proofErr w:type="spellStart"/>
      <w:r w:rsidRPr="00E537E0">
        <w:t>Borrower</w:t>
      </w:r>
      <w:proofErr w:type="spellEnd"/>
      <w:r w:rsidRPr="00E537E0">
        <w:t xml:space="preserve"> </w:t>
      </w:r>
      <w:proofErr w:type="spellStart"/>
      <w:r w:rsidRPr="00E537E0">
        <w:t>and</w:t>
      </w:r>
      <w:proofErr w:type="spellEnd"/>
      <w:r w:rsidRPr="00E537E0">
        <w:t xml:space="preserve"> </w:t>
      </w:r>
      <w:proofErr w:type="spellStart"/>
      <w:r w:rsidRPr="00E537E0">
        <w:t>the</w:t>
      </w:r>
      <w:proofErr w:type="spellEnd"/>
      <w:r w:rsidRPr="00E537E0">
        <w:t xml:space="preserve"> </w:t>
      </w:r>
      <w:proofErr w:type="spellStart"/>
      <w:r w:rsidRPr="00E537E0">
        <w:t>main</w:t>
      </w:r>
      <w:proofErr w:type="spellEnd"/>
      <w:r w:rsidRPr="00E537E0">
        <w:t xml:space="preserve"> </w:t>
      </w:r>
      <w:proofErr w:type="spellStart"/>
      <w:r w:rsidRPr="00E537E0">
        <w:t>contractor</w:t>
      </w:r>
      <w:proofErr w:type="spellEnd"/>
      <w:r w:rsidRPr="00E537E0">
        <w:t xml:space="preserve">; </w:t>
      </w:r>
      <w:proofErr w:type="spellStart"/>
      <w:r w:rsidRPr="00E537E0">
        <w:t>between</w:t>
      </w:r>
      <w:proofErr w:type="spellEnd"/>
      <w:r w:rsidRPr="00E537E0">
        <w:t xml:space="preserve"> </w:t>
      </w:r>
      <w:proofErr w:type="spellStart"/>
      <w:r w:rsidRPr="00E537E0">
        <w:t>the</w:t>
      </w:r>
      <w:proofErr w:type="spellEnd"/>
      <w:r w:rsidRPr="00E537E0">
        <w:t xml:space="preserve"> </w:t>
      </w:r>
      <w:proofErr w:type="spellStart"/>
      <w:r w:rsidRPr="00E537E0">
        <w:t>main</w:t>
      </w:r>
      <w:proofErr w:type="spellEnd"/>
      <w:r w:rsidRPr="00E537E0">
        <w:t xml:space="preserve"> </w:t>
      </w:r>
      <w:proofErr w:type="spellStart"/>
      <w:r w:rsidRPr="00E537E0">
        <w:t>contractors</w:t>
      </w:r>
      <w:proofErr w:type="spellEnd"/>
      <w:r w:rsidRPr="00E537E0">
        <w:t xml:space="preserve"> </w:t>
      </w:r>
      <w:proofErr w:type="spellStart"/>
      <w:r w:rsidRPr="00E537E0">
        <w:t>and</w:t>
      </w:r>
      <w:proofErr w:type="spellEnd"/>
      <w:r w:rsidRPr="00E537E0">
        <w:t xml:space="preserve"> </w:t>
      </w:r>
      <w:proofErr w:type="spellStart"/>
      <w:r w:rsidRPr="00E537E0">
        <w:t>the</w:t>
      </w:r>
      <w:proofErr w:type="spellEnd"/>
      <w:r w:rsidRPr="00E537E0">
        <w:t xml:space="preserve"> sub-</w:t>
      </w:r>
      <w:proofErr w:type="spellStart"/>
      <w:r w:rsidRPr="00E537E0">
        <w:t>contractors</w:t>
      </w:r>
      <w:proofErr w:type="spellEnd"/>
      <w:r w:rsidRPr="00E537E0">
        <w:t xml:space="preserve">). </w:t>
      </w:r>
      <w:proofErr w:type="spellStart"/>
      <w:r w:rsidRPr="00E537E0">
        <w:t>It</w:t>
      </w:r>
      <w:proofErr w:type="spellEnd"/>
      <w:r w:rsidRPr="00E537E0">
        <w:t xml:space="preserve"> </w:t>
      </w:r>
      <w:proofErr w:type="spellStart"/>
      <w:r w:rsidRPr="00E537E0">
        <w:t>will</w:t>
      </w:r>
      <w:proofErr w:type="spellEnd"/>
      <w:r w:rsidRPr="00E537E0">
        <w:t xml:space="preserve"> </w:t>
      </w:r>
      <w:proofErr w:type="spellStart"/>
      <w:r w:rsidRPr="00E537E0">
        <w:t>differ</w:t>
      </w:r>
      <w:proofErr w:type="spellEnd"/>
      <w:r w:rsidRPr="00E537E0">
        <w:t xml:space="preserve"> </w:t>
      </w:r>
      <w:proofErr w:type="spellStart"/>
      <w:r w:rsidRPr="00E537E0">
        <w:t>if</w:t>
      </w:r>
      <w:proofErr w:type="spellEnd"/>
      <w:r w:rsidRPr="00E537E0">
        <w:t xml:space="preserve"> </w:t>
      </w:r>
      <w:proofErr w:type="spellStart"/>
      <w:r w:rsidRPr="00E537E0">
        <w:t>the</w:t>
      </w:r>
      <w:proofErr w:type="spellEnd"/>
      <w:r w:rsidRPr="00E537E0">
        <w:t xml:space="preserve"> </w:t>
      </w:r>
      <w:proofErr w:type="spellStart"/>
      <w:r w:rsidRPr="00E537E0">
        <w:t>Borrower</w:t>
      </w:r>
      <w:proofErr w:type="spellEnd"/>
      <w:r w:rsidRPr="00E537E0">
        <w:t xml:space="preserve"> </w:t>
      </w:r>
      <w:proofErr w:type="spellStart"/>
      <w:r w:rsidRPr="00E537E0">
        <w:t>used</w:t>
      </w:r>
      <w:proofErr w:type="spellEnd"/>
      <w:r w:rsidRPr="00E537E0">
        <w:t xml:space="preserve"> </w:t>
      </w:r>
      <w:proofErr w:type="spellStart"/>
      <w:r w:rsidRPr="00E537E0">
        <w:t>the</w:t>
      </w:r>
      <w:proofErr w:type="spellEnd"/>
      <w:r w:rsidRPr="00E537E0">
        <w:t xml:space="preserve"> World </w:t>
      </w:r>
      <w:proofErr w:type="spellStart"/>
      <w:r w:rsidRPr="00E537E0">
        <w:t>Bank’s</w:t>
      </w:r>
      <w:proofErr w:type="spellEnd"/>
      <w:r w:rsidRPr="00E537E0">
        <w:t xml:space="preserve"> standard </w:t>
      </w:r>
      <w:proofErr w:type="spellStart"/>
      <w:r w:rsidRPr="00E537E0">
        <w:t>procurement</w:t>
      </w:r>
      <w:proofErr w:type="spellEnd"/>
      <w:r w:rsidRPr="00E537E0">
        <w:t xml:space="preserve"> </w:t>
      </w:r>
      <w:proofErr w:type="spellStart"/>
      <w:r w:rsidRPr="00E537E0">
        <w:t>documents</w:t>
      </w:r>
      <w:proofErr w:type="spellEnd"/>
      <w:r w:rsidRPr="00E537E0">
        <w:t xml:space="preserve"> (</w:t>
      </w:r>
      <w:proofErr w:type="spellStart"/>
      <w:r w:rsidRPr="00E537E0">
        <w:t>SPDs</w:t>
      </w:r>
      <w:proofErr w:type="spellEnd"/>
      <w:r w:rsidRPr="00E537E0">
        <w:t xml:space="preserve">) </w:t>
      </w:r>
      <w:proofErr w:type="spellStart"/>
      <w:r w:rsidRPr="00E537E0">
        <w:t>or</w:t>
      </w:r>
      <w:proofErr w:type="spellEnd"/>
      <w:r w:rsidRPr="00E537E0">
        <w:t xml:space="preserve"> </w:t>
      </w:r>
      <w:proofErr w:type="spellStart"/>
      <w:r w:rsidRPr="00E537E0">
        <w:t>used</w:t>
      </w:r>
      <w:proofErr w:type="spellEnd"/>
      <w:r w:rsidRPr="00E537E0">
        <w:t xml:space="preserve"> </w:t>
      </w:r>
      <w:proofErr w:type="spellStart"/>
      <w:r w:rsidRPr="00E537E0">
        <w:t>national</w:t>
      </w:r>
      <w:proofErr w:type="spellEnd"/>
      <w:r w:rsidRPr="00E537E0">
        <w:t xml:space="preserve"> </w:t>
      </w:r>
      <w:proofErr w:type="spellStart"/>
      <w:r w:rsidRPr="00E537E0">
        <w:t>bidding</w:t>
      </w:r>
      <w:proofErr w:type="spellEnd"/>
      <w:r w:rsidRPr="00E537E0">
        <w:t xml:space="preserve"> </w:t>
      </w:r>
      <w:proofErr w:type="spellStart"/>
      <w:r w:rsidRPr="00E537E0">
        <w:t>documents</w:t>
      </w:r>
      <w:proofErr w:type="spellEnd"/>
      <w:r w:rsidRPr="00E537E0">
        <w:t xml:space="preserve">. </w:t>
      </w:r>
      <w:proofErr w:type="spellStart"/>
      <w:r w:rsidRPr="00E537E0">
        <w:t>If</w:t>
      </w:r>
      <w:proofErr w:type="spellEnd"/>
      <w:r w:rsidRPr="00E537E0">
        <w:t xml:space="preserve"> a FIDIC </w:t>
      </w:r>
      <w:proofErr w:type="spellStart"/>
      <w:r w:rsidRPr="00E537E0">
        <w:t>document</w:t>
      </w:r>
      <w:proofErr w:type="spellEnd"/>
      <w:r w:rsidRPr="00E537E0">
        <w:t xml:space="preserve"> </w:t>
      </w:r>
      <w:proofErr w:type="spellStart"/>
      <w:r w:rsidRPr="00E537E0">
        <w:t>has</w:t>
      </w:r>
      <w:proofErr w:type="spellEnd"/>
      <w:r w:rsidRPr="00E537E0">
        <w:t xml:space="preserve"> </w:t>
      </w:r>
      <w:proofErr w:type="spellStart"/>
      <w:r w:rsidRPr="00E537E0">
        <w:t>been</w:t>
      </w:r>
      <w:proofErr w:type="spellEnd"/>
      <w:r w:rsidRPr="00E537E0">
        <w:t xml:space="preserve"> </w:t>
      </w:r>
      <w:proofErr w:type="spellStart"/>
      <w:r w:rsidRPr="00E537E0">
        <w:t>used</w:t>
      </w:r>
      <w:proofErr w:type="spellEnd"/>
      <w:r w:rsidRPr="00E537E0">
        <w:t xml:space="preserve">, </w:t>
      </w:r>
      <w:proofErr w:type="spellStart"/>
      <w:r w:rsidRPr="00E537E0">
        <w:t>there</w:t>
      </w:r>
      <w:proofErr w:type="spellEnd"/>
      <w:r w:rsidRPr="00E537E0">
        <w:t xml:space="preserve"> </w:t>
      </w:r>
      <w:proofErr w:type="spellStart"/>
      <w:r w:rsidRPr="00E537E0">
        <w:t>will</w:t>
      </w:r>
      <w:proofErr w:type="spellEnd"/>
      <w:r w:rsidRPr="00E537E0">
        <w:t xml:space="preserve"> </w:t>
      </w:r>
      <w:proofErr w:type="spellStart"/>
      <w:r w:rsidRPr="00E537E0">
        <w:t>be</w:t>
      </w:r>
      <w:proofErr w:type="spellEnd"/>
      <w:r w:rsidRPr="00E537E0">
        <w:t xml:space="preserve"> general </w:t>
      </w:r>
      <w:proofErr w:type="spellStart"/>
      <w:r w:rsidRPr="00E537E0">
        <w:t>provisions</w:t>
      </w:r>
      <w:proofErr w:type="spellEnd"/>
      <w:r w:rsidRPr="00E537E0">
        <w:t xml:space="preserve"> </w:t>
      </w:r>
      <w:proofErr w:type="spellStart"/>
      <w:r w:rsidRPr="00E537E0">
        <w:t>relating</w:t>
      </w:r>
      <w:proofErr w:type="spellEnd"/>
      <w:r w:rsidRPr="00E537E0">
        <w:t xml:space="preserve"> to </w:t>
      </w:r>
      <w:proofErr w:type="spellStart"/>
      <w:r w:rsidRPr="00E537E0">
        <w:t>health</w:t>
      </w:r>
      <w:proofErr w:type="spellEnd"/>
      <w:r w:rsidRPr="00E537E0">
        <w:t xml:space="preserve"> </w:t>
      </w:r>
      <w:proofErr w:type="spellStart"/>
      <w:r w:rsidRPr="00E537E0">
        <w:t>and</w:t>
      </w:r>
      <w:proofErr w:type="spellEnd"/>
      <w:r w:rsidRPr="00E537E0">
        <w:t xml:space="preserve"> </w:t>
      </w:r>
      <w:proofErr w:type="spellStart"/>
      <w:r w:rsidRPr="00E537E0">
        <w:t>safety</w:t>
      </w:r>
      <w:proofErr w:type="spellEnd"/>
      <w:r w:rsidRPr="00E537E0">
        <w:t xml:space="preserve">. For </w:t>
      </w:r>
      <w:proofErr w:type="spellStart"/>
      <w:r w:rsidRPr="00E537E0">
        <w:t>example</w:t>
      </w:r>
      <w:proofErr w:type="spellEnd"/>
      <w:r w:rsidRPr="00E537E0">
        <w:t xml:space="preserve">, </w:t>
      </w:r>
      <w:proofErr w:type="spellStart"/>
      <w:r w:rsidRPr="00E537E0">
        <w:t>the</w:t>
      </w:r>
      <w:proofErr w:type="spellEnd"/>
      <w:r w:rsidRPr="00E537E0">
        <w:t xml:space="preserve"> standard FIDIC, </w:t>
      </w:r>
      <w:proofErr w:type="spellStart"/>
      <w:r w:rsidRPr="00E537E0">
        <w:t>Conditions</w:t>
      </w:r>
      <w:proofErr w:type="spellEnd"/>
      <w:r w:rsidRPr="00E537E0">
        <w:t xml:space="preserve"> </w:t>
      </w:r>
      <w:proofErr w:type="spellStart"/>
      <w:r w:rsidRPr="00E537E0">
        <w:t>of</w:t>
      </w:r>
      <w:proofErr w:type="spellEnd"/>
      <w:r w:rsidRPr="00E537E0">
        <w:t xml:space="preserve"> </w:t>
      </w:r>
      <w:proofErr w:type="spellStart"/>
      <w:r w:rsidRPr="00E537E0">
        <w:t>Contract</w:t>
      </w:r>
      <w:proofErr w:type="spellEnd"/>
      <w:r w:rsidRPr="00E537E0">
        <w:t xml:space="preserve"> for </w:t>
      </w:r>
      <w:proofErr w:type="spellStart"/>
      <w:r w:rsidRPr="00E537E0">
        <w:t>Construction</w:t>
      </w:r>
      <w:proofErr w:type="spellEnd"/>
      <w:r w:rsidRPr="00E537E0">
        <w:t xml:space="preserve"> (</w:t>
      </w:r>
      <w:proofErr w:type="spellStart"/>
      <w:r w:rsidRPr="00E537E0">
        <w:t>Second</w:t>
      </w:r>
      <w:proofErr w:type="spellEnd"/>
      <w:r w:rsidRPr="00E537E0">
        <w:t xml:space="preserve"> </w:t>
      </w:r>
      <w:proofErr w:type="spellStart"/>
      <w:r w:rsidRPr="00E537E0">
        <w:t>Edition</w:t>
      </w:r>
      <w:proofErr w:type="spellEnd"/>
      <w:r w:rsidRPr="00E537E0">
        <w:t xml:space="preserve"> 2017), </w:t>
      </w:r>
      <w:proofErr w:type="spellStart"/>
      <w:r w:rsidRPr="00E537E0">
        <w:t>which</w:t>
      </w:r>
      <w:proofErr w:type="spellEnd"/>
      <w:r w:rsidRPr="00E537E0">
        <w:t xml:space="preserve"> </w:t>
      </w:r>
      <w:proofErr w:type="spellStart"/>
      <w:r w:rsidRPr="00E537E0">
        <w:t>contains</w:t>
      </w:r>
      <w:proofErr w:type="spellEnd"/>
      <w:r w:rsidRPr="00E537E0">
        <w:t xml:space="preserve"> no ‘ESF </w:t>
      </w:r>
      <w:proofErr w:type="spellStart"/>
      <w:r w:rsidRPr="00E537E0">
        <w:t>enhancements</w:t>
      </w:r>
      <w:proofErr w:type="spellEnd"/>
      <w:r w:rsidRPr="00E537E0">
        <w:t xml:space="preserve">’, </w:t>
      </w:r>
      <w:proofErr w:type="spellStart"/>
      <w:r w:rsidRPr="00E537E0">
        <w:t>states</w:t>
      </w:r>
      <w:proofErr w:type="spellEnd"/>
      <w:r w:rsidRPr="00E537E0">
        <w:t xml:space="preserve"> (</w:t>
      </w:r>
      <w:proofErr w:type="spellStart"/>
      <w:r w:rsidRPr="00E537E0">
        <w:t>in</w:t>
      </w:r>
      <w:proofErr w:type="spellEnd"/>
      <w:r w:rsidRPr="00E537E0">
        <w:t xml:space="preserve"> </w:t>
      </w:r>
      <w:proofErr w:type="spellStart"/>
      <w:r w:rsidRPr="00E537E0">
        <w:t>the</w:t>
      </w:r>
      <w:proofErr w:type="spellEnd"/>
      <w:r w:rsidRPr="00E537E0">
        <w:t xml:space="preserve"> General </w:t>
      </w:r>
      <w:proofErr w:type="spellStart"/>
      <w:r w:rsidRPr="00E537E0">
        <w:t>Conditions</w:t>
      </w:r>
      <w:proofErr w:type="spellEnd"/>
      <w:r w:rsidRPr="00E537E0">
        <w:t xml:space="preserve">, </w:t>
      </w:r>
      <w:proofErr w:type="spellStart"/>
      <w:r w:rsidRPr="00E537E0">
        <w:t>clause</w:t>
      </w:r>
      <w:proofErr w:type="spellEnd"/>
      <w:r w:rsidRPr="00E537E0">
        <w:t xml:space="preserve"> 6.7) </w:t>
      </w:r>
      <w:proofErr w:type="spellStart"/>
      <w:r w:rsidRPr="00E537E0">
        <w:t>that</w:t>
      </w:r>
      <w:proofErr w:type="spellEnd"/>
      <w:r w:rsidRPr="00E537E0">
        <w:t xml:space="preserve"> </w:t>
      </w:r>
      <w:proofErr w:type="spellStart"/>
      <w:r w:rsidRPr="00E537E0">
        <w:t>the</w:t>
      </w:r>
      <w:proofErr w:type="spellEnd"/>
      <w:r w:rsidRPr="00E537E0">
        <w:t xml:space="preserve"> </w:t>
      </w:r>
      <w:proofErr w:type="spellStart"/>
      <w:r w:rsidRPr="00E537E0">
        <w:t>Contractor</w:t>
      </w:r>
      <w:proofErr w:type="spellEnd"/>
      <w:r w:rsidRPr="00E537E0">
        <w:t xml:space="preserve"> </w:t>
      </w:r>
      <w:proofErr w:type="spellStart"/>
      <w:r w:rsidRPr="00E537E0">
        <w:t>will</w:t>
      </w:r>
      <w:proofErr w:type="spellEnd"/>
      <w:r w:rsidRPr="00E537E0">
        <w:t xml:space="preserve"> </w:t>
      </w:r>
      <w:proofErr w:type="spellStart"/>
      <w:r w:rsidRPr="00E537E0">
        <w:t>be</w:t>
      </w:r>
      <w:proofErr w:type="spellEnd"/>
      <w:r w:rsidRPr="00E537E0">
        <w:t xml:space="preserve"> </w:t>
      </w:r>
      <w:proofErr w:type="spellStart"/>
      <w:r w:rsidRPr="00E537E0">
        <w:t>required</w:t>
      </w:r>
      <w:proofErr w:type="spellEnd"/>
      <w:r w:rsidRPr="00E537E0">
        <w:t xml:space="preserve">: </w:t>
      </w:r>
    </w:p>
    <w:p w14:paraId="240C9F2B" w14:textId="77777777" w:rsidR="00740A8E" w:rsidRPr="00740A8E" w:rsidRDefault="00740A8E" w:rsidP="00BE60A0">
      <w:pPr>
        <w:numPr>
          <w:ilvl w:val="0"/>
          <w:numId w:val="7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to take all necessary precautions to maintain the health and safety of the Contractor’s Personnel</w:t>
      </w:r>
    </w:p>
    <w:p w14:paraId="13430087" w14:textId="77777777" w:rsidR="00740A8E" w:rsidRPr="00740A8E" w:rsidRDefault="00740A8E" w:rsidP="00BE60A0">
      <w:pPr>
        <w:numPr>
          <w:ilvl w:val="0"/>
          <w:numId w:val="7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to appoint a health and safety officer at site, who will have the authority to issue directives for the purpose of maintaining the health and safety of all personnel authorized to enter and or work on the site and to take protective measures to prevent accidents </w:t>
      </w:r>
    </w:p>
    <w:p w14:paraId="0C77FA19" w14:textId="77777777" w:rsidR="00740A8E" w:rsidRPr="00740A8E" w:rsidRDefault="00740A8E" w:rsidP="00BE60A0">
      <w:pPr>
        <w:numPr>
          <w:ilvl w:val="0"/>
          <w:numId w:val="7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to ensure, in collaboration with local health authorities, that medical staff, first aid facilities, sick bay, ambulance services and any other medical services specified are available at all times at the site and at any accommodation </w:t>
      </w:r>
    </w:p>
    <w:p w14:paraId="71C25201" w14:textId="77777777" w:rsidR="00740A8E" w:rsidRPr="00740A8E" w:rsidRDefault="00740A8E" w:rsidP="00BE60A0">
      <w:pPr>
        <w:numPr>
          <w:ilvl w:val="0"/>
          <w:numId w:val="7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to ensure suitable arrangements are made for all necessary welfare and hygiene requirements and for the prevention of epidemics </w:t>
      </w:r>
    </w:p>
    <w:p w14:paraId="580A3390"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These requirements have been enhanced through the introduction of the ESF into the SPDs (edition dated July 2019). The general FIDIC clause referred to above has been strengthened to reflect the requirements of the ESF. Beyond FIDIC’s general requirements discussed above, the Bank’s Particular Conditions include a number of relevant requirements on the Contractor, including: </w:t>
      </w:r>
    </w:p>
    <w:p w14:paraId="1A68F6BA" w14:textId="77777777" w:rsidR="00740A8E" w:rsidRPr="00740A8E" w:rsidRDefault="00740A8E" w:rsidP="00BE60A0">
      <w:pPr>
        <w:numPr>
          <w:ilvl w:val="0"/>
          <w:numId w:val="7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to provide health and safety training for Contractor’s Personnel (which include project workers and all personnel that the Contractor uses on site, including staff and other employees of the Contractor and Subcontractors and any other personnel assisting the Contractor in carrying out project activities)</w:t>
      </w:r>
    </w:p>
    <w:p w14:paraId="47CE0820" w14:textId="77777777" w:rsidR="00740A8E" w:rsidRPr="00740A8E" w:rsidRDefault="00740A8E" w:rsidP="00BE60A0">
      <w:pPr>
        <w:numPr>
          <w:ilvl w:val="0"/>
          <w:numId w:val="7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lastRenderedPageBreak/>
        <w:t xml:space="preserve"> to put in place workplace processes for Contractor’s Personnel to report work situations that are not safe or healthy </w:t>
      </w:r>
    </w:p>
    <w:p w14:paraId="461A8333" w14:textId="77777777" w:rsidR="00740A8E" w:rsidRPr="00740A8E" w:rsidRDefault="00740A8E" w:rsidP="00BE60A0">
      <w:pPr>
        <w:numPr>
          <w:ilvl w:val="0"/>
          <w:numId w:val="7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gives Contractor’s Personnel the right to report work situations which they believe are not safe or healthy, and to remove themselves from a work situation which they have a reasonable justification to believe presents an imminent and serious danger to their life or health (with no reprisal for reporting or removing themselves) </w:t>
      </w:r>
    </w:p>
    <w:p w14:paraId="022811A0" w14:textId="77777777" w:rsidR="00740A8E" w:rsidRPr="00740A8E" w:rsidRDefault="00740A8E" w:rsidP="00BE60A0">
      <w:pPr>
        <w:numPr>
          <w:ilvl w:val="0"/>
          <w:numId w:val="76"/>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requires measures to be in place to avoid or minimize the spread of diseases including measures to avoid or minimize the transmission of communicable diseases that may be associated with the influx of temporary or permanent contract-related </w:t>
      </w:r>
      <w:proofErr w:type="spellStart"/>
      <w:r w:rsidRPr="00740A8E">
        <w:rPr>
          <w:rFonts w:ascii="Calibri" w:hAnsi="Calibri" w:cs="Calibri"/>
          <w:color w:val="000000"/>
          <w:lang w:val="en-GB"/>
        </w:rPr>
        <w:t>labor</w:t>
      </w:r>
      <w:proofErr w:type="spellEnd"/>
      <w:r w:rsidRPr="00740A8E">
        <w:rPr>
          <w:rFonts w:ascii="Calibri" w:hAnsi="Calibri" w:cs="Calibri"/>
          <w:color w:val="000000"/>
          <w:lang w:val="en-GB"/>
        </w:rPr>
        <w:t xml:space="preserve"> </w:t>
      </w:r>
    </w:p>
    <w:p w14:paraId="5638CF49" w14:textId="77777777" w:rsidR="00740A8E" w:rsidRPr="00740A8E" w:rsidRDefault="00740A8E" w:rsidP="00BE60A0">
      <w:pPr>
        <w:numPr>
          <w:ilvl w:val="0"/>
          <w:numId w:val="76"/>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to provide an easily accessible grievance mechanism to raise workplace concerns </w:t>
      </w:r>
    </w:p>
    <w:p w14:paraId="1139834E"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Where the contract form used is FIDIC, the Borrower (as the Employer) will be represented by the Engineer (also referred to in this note as the Supervising Engineer). The Engineer will be authorized to exercise authority specified in or necessarily implied from the construction contract. In such cases, the Engineer (through its staff on site) will be the interface between the PIU and the Contractor. It is important therefore to understand the scope of the Engineer’s responsibilities. It is also important to recognize that in the case of infectious diseases such as COVID-19, project management – through the Contractor/subcontractor hierarchy – is only as effective as the weakest link. A thorough review of management procedures/plans as they will be implemented through the entire contractor hierarchy is important. Existing contracts provide the outline of this structure; they form the basis for the Borrower to understand how proposed mitigation measures will be designed and how adaptive management will be implemented, and to start a conversation with the Contractor on measures to address COVID-19 in the project.</w:t>
      </w:r>
    </w:p>
    <w:p w14:paraId="4A84B024" w14:textId="49650AF6"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b/>
          <w:bCs/>
          <w:color w:val="000000"/>
          <w:lang w:val="en-GB"/>
        </w:rPr>
      </w:pPr>
      <w:r w:rsidRPr="00E537E0">
        <w:rPr>
          <w:rFonts w:ascii="Calibri" w:hAnsi="Calibri" w:cs="Calibri"/>
          <w:b/>
          <w:bCs/>
          <w:color w:val="000000"/>
          <w:lang w:val="en-GB"/>
        </w:rPr>
        <w:t>WHAT PLANNING SHOULD THE BORROWER</w:t>
      </w:r>
      <w:r w:rsidRPr="00740A8E">
        <w:rPr>
          <w:rFonts w:ascii="Calibri" w:hAnsi="Calibri" w:cs="Calibri"/>
          <w:b/>
          <w:bCs/>
          <w:color w:val="000000"/>
          <w:lang w:val="en-GB"/>
        </w:rPr>
        <w:t xml:space="preserve"> BE DOING? </w:t>
      </w:r>
    </w:p>
    <w:p w14:paraId="5F6624F3"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Task teams should work with Borrowers (PIUs) to confirm that projects (i) are taking adequate precautions to prevent or minimize an outbreak of COVID-19, and (ii) have identified what to do in the event of an outbreak. Suggestions on how to do this are set out below: </w:t>
      </w:r>
    </w:p>
    <w:p w14:paraId="7B72DEED"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The PIU, either directly or through the Supervising Engineer, should request details in writing from the main Contractor of the measures being taken to address the risks. As stated in Section 3, the construction contract should include health and safety requirements, and these can be used as the basis for identification of, and requirements to implement, COVID-19 specific measures. The measures may be presented as a contingency plan, as an extension of the existing project emergency and preparedness plan or as standalone procedures. The measures may be reflected in revisions to the project’s health and safety manual. This request should be made in writing (following any relevant procedure set out in the contract between the Borrower and the contractor). </w:t>
      </w:r>
    </w:p>
    <w:p w14:paraId="00DF133A"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In making the request, it may be helpful for the PIU to specify the areas that should be covered. This should include the items set out in Section 5 below and take into account current and relevant guidance provided by national authorities, WHO and other organizations. See the list of references in the Annex to this note. </w:t>
      </w:r>
    </w:p>
    <w:p w14:paraId="08F1458E"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The PIU should require the Contractor to convene regular meetings with the project health and safety specialists and medical staff (and where appropriate the local health authorities), and to take their advice in designing and implementing the agreed measures. </w:t>
      </w:r>
    </w:p>
    <w:p w14:paraId="2B0615E1"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Where possible, a senior person should be identified as a focal point to deal with COVID-19 issues. This can be a work supervisor or a health and safety specialist. This person can be responsible for coordinating preparation of the site and making sure that the measures taken are communicated to the workers, those entering the site and the local community. It is also advisable to designate at least one back-up person, in case the focal point becomes ill; that person should be aware of the arrangements that are in place. </w:t>
      </w:r>
    </w:p>
    <w:p w14:paraId="23822E0C"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lastRenderedPageBreak/>
        <w:t xml:space="preserve">On sites where there are a number of contractors and therefore (in effect) different work forces, the request should emphasize the importance of coordination and communication between the different parties. Where necessary, the PIU should request the main contractor to put in place a protocol for regular meetings of the different contractors, requiring each to appoint a designated staff member (with back up) to attend such meetings. If meetings cannot be held in person, they should be conducted using whatever IT is available. The effectiveness of mitigation measures will depend on the weakest implementation, and therefore it is important that all contractors and sub-contractors understand the risks and the procedure to be followed. </w:t>
      </w:r>
    </w:p>
    <w:p w14:paraId="542D4143"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The PIU, either directly or through the Supervising Engineer, may provide support to projects in identifying appropriate mitigation measures, particularly where these will involve interface with local services, in particular health and emergency services. In many cases, the PIU can play a valuable role in connecting project representatives with local Government agencies, and helping coordinate a strategic response, which takes into account the availability of resources. To be most effective, projects should consult and coordinate with relevant Government agencies and other projects in the vicinity. </w:t>
      </w:r>
    </w:p>
    <w:p w14:paraId="672D80B1" w14:textId="77777777" w:rsidR="00740A8E" w:rsidRPr="00740A8E" w:rsidRDefault="00740A8E" w:rsidP="00BE60A0">
      <w:pPr>
        <w:numPr>
          <w:ilvl w:val="0"/>
          <w:numId w:val="7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Workers should be encouraged to use the existing project grievance mechanism to report concerns relating to COVID-19, preparations being made by the project to address COVID-19 related issues, how procedures are being implemented, and concerns about the health of their co-workers and other staff. </w:t>
      </w:r>
    </w:p>
    <w:p w14:paraId="57AEE442"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6B77AFA2" w14:textId="38CA16BC" w:rsidR="00740A8E" w:rsidRPr="00E537E0" w:rsidRDefault="00740A8E" w:rsidP="00BE60A0">
      <w:pPr>
        <w:pStyle w:val="ListParagraph"/>
        <w:numPr>
          <w:ilvl w:val="0"/>
          <w:numId w:val="95"/>
        </w:numPr>
        <w:suppressAutoHyphens w:val="0"/>
        <w:autoSpaceDE w:val="0"/>
        <w:adjustRightInd w:val="0"/>
        <w:spacing w:before="0" w:after="0" w:line="240" w:lineRule="auto"/>
        <w:textAlignment w:val="auto"/>
        <w:rPr>
          <w:rFonts w:ascii="Calibri" w:hAnsi="Calibri" w:cs="Calibri"/>
          <w:b/>
          <w:bCs/>
          <w:color w:val="000000"/>
          <w:lang w:val="en-GB"/>
        </w:rPr>
      </w:pPr>
      <w:r w:rsidRPr="00740A8E">
        <w:rPr>
          <w:rFonts w:ascii="Calibri" w:hAnsi="Calibri" w:cs="Calibri"/>
          <w:b/>
          <w:bCs/>
          <w:color w:val="000000"/>
          <w:lang w:val="en-GB"/>
        </w:rPr>
        <w:t xml:space="preserve">WHAT SHOULD THE CONTRACTOR COVER? </w:t>
      </w:r>
    </w:p>
    <w:p w14:paraId="6999DD20"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The Contractor should identify measures to address the COVID-19 situation. What will be possible will depend on the context of the project: the location, existing project resources, availability of supplies, capacity of local emergency/health services, the extent to which the virus already exist in the area. A systematic approach to planning, recognizing the challenges associated with rapidly changing circumstances, will help the project put in place the best measures possible to address the situation. As discussed above, measures to address COVID-19 may be presented in different ways (as a contingency plan, as an extension of the existing project emergency and preparedness plan or as standalone procedures). PIUs and contractors should refer to guidance issued by relevant authorities, both national  and international (e.g. WHO), which is regularly updated (see sample References and links provided in the Annex). </w:t>
      </w:r>
    </w:p>
    <w:p w14:paraId="75560D61"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Addressing COVID-19 at a project site goes beyond occupational health and safety, and is a broader project issue which will require the involvement of different members of a project management team. In many cases, the most effective approach will be to establish procedures to address the issues, and then to ensure that these procedures are implemented systematically. Where appropriate given the project context, a designated team should be established to address COVID-19 issues, including PIU representatives, the Supervising Engineer, management (e.g. the project manager) of the contractor and sub-contractors, security, and medical and OHS professionals. Procedures should be clear and straightforward, improved as necessary, and supervised and monitored by the COVID-19 focal point(s). Procedures should be documented, distributed to all contractors, and discussed at regular meetings to facilitate adaptive management. The issues set out below include a number that represent expected good workplace management but are especially pertinent in preparing the project response to COVID-19. </w:t>
      </w:r>
    </w:p>
    <w:p w14:paraId="662D7454" w14:textId="307A7619"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color w:val="000000"/>
          <w:lang w:val="en-GB"/>
        </w:rPr>
      </w:pPr>
      <w:r w:rsidRPr="00E537E0">
        <w:rPr>
          <w:rFonts w:ascii="Calibri" w:hAnsi="Calibri" w:cs="Calibri"/>
          <w:b/>
          <w:bCs/>
          <w:color w:val="000000"/>
          <w:lang w:val="en-GB"/>
        </w:rPr>
        <w:t xml:space="preserve">ASSESSING WORKFORCE CHARACTERISTICS </w:t>
      </w:r>
    </w:p>
    <w:p w14:paraId="78D4B300"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Many construction sites will have a mix of workers e.g. workers from the local communities; workers from a different part of the country; workers from another country. Workers will be employed under </w:t>
      </w:r>
      <w:r w:rsidRPr="00740A8E">
        <w:rPr>
          <w:rFonts w:ascii="Calibri" w:hAnsi="Calibri" w:cs="Calibri"/>
          <w:color w:val="000000"/>
          <w:lang w:val="en-GB"/>
        </w:rPr>
        <w:lastRenderedPageBreak/>
        <w:t xml:space="preserve">different terms and conditions and be accommodated in different ways. Assessing these different aspects of the workforce will help in identifying appropriate mitigation measures: </w:t>
      </w:r>
    </w:p>
    <w:p w14:paraId="12E3EF4E"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The Contractor should prepare a detailed profile of the project work force, key work activities, schedule for carrying out such activities, different durations of contract and rotations (e.g. 4 weeks on, 4 weeks off).</w:t>
      </w:r>
    </w:p>
    <w:p w14:paraId="4D6030D1"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This should include a breakdown of workers who reside at home (i.e. workers from the community), workers who lodge within the local community and workers in on-site accommodation. Where possible, it should also identify workers that may be more at risk from COVID-19, those with underlying health issues or who may be otherwise at risk. </w:t>
      </w:r>
    </w:p>
    <w:p w14:paraId="7E3DA594"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Consideration should be given to ways in which to minimize movement in and out of site. This could include lengthening the term of existing contracts, to avoid workers returning home to affected areas, or returning to site from affected areas. </w:t>
      </w:r>
    </w:p>
    <w:p w14:paraId="1E060EF0"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Workers accommodated on site should be required to minimize contact with people near the site, and in certain cases be prohibited from leaving the site for the duration of their contract, so that contact with local communities is avoided. </w:t>
      </w:r>
    </w:p>
    <w:p w14:paraId="6977BD84"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Consideration should be given to requiring workers lodging in the local community to move to site accommodation (subject to availability) where they would be subject to the same restrictions.</w:t>
      </w:r>
    </w:p>
    <w:p w14:paraId="31AE50DD" w14:textId="77777777" w:rsidR="00740A8E" w:rsidRPr="00740A8E" w:rsidRDefault="00740A8E" w:rsidP="00BE60A0">
      <w:pPr>
        <w:numPr>
          <w:ilvl w:val="0"/>
          <w:numId w:val="7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Workers from local communities, who return home daily, weekly or monthly, will be more difficult to manage. They should be subject to health checks at entry to the site (as set out above) and at some point, circumstances may make it necessary to require them to either use accommodation on site or not to come to work. </w:t>
      </w:r>
    </w:p>
    <w:p w14:paraId="0760F4F2"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2DA1A668" w14:textId="27E48A2E"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ENTRY/EXIT TO THE WORK SITE AND CHECKS ON COMMENCEMENT OF WORK </w:t>
      </w:r>
    </w:p>
    <w:p w14:paraId="2D79A9FE"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Entry/exit to the work site should be controlled and documented for both workers and other parties, including support staff and suppliers. Possible measures may include: </w:t>
      </w:r>
    </w:p>
    <w:p w14:paraId="2F7B3051"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Establishing a system for controlling entry/exit to the site, securing the boundaries of the site, and establishing designating entry/exit points (if they do not already exist). Entry/exit to the site should be documented. </w:t>
      </w:r>
    </w:p>
    <w:p w14:paraId="23F9725D"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Training security staff on the (enhanced) system that has been put in place for securing the site and controlling entry and exit, the </w:t>
      </w:r>
      <w:proofErr w:type="spellStart"/>
      <w:r w:rsidRPr="00740A8E">
        <w:rPr>
          <w:rFonts w:ascii="Calibri" w:hAnsi="Calibri" w:cs="Calibri"/>
          <w:color w:val="000000"/>
          <w:lang w:val="en-GB"/>
        </w:rPr>
        <w:t>behaviors</w:t>
      </w:r>
      <w:proofErr w:type="spellEnd"/>
      <w:r w:rsidRPr="00740A8E">
        <w:rPr>
          <w:rFonts w:ascii="Calibri" w:hAnsi="Calibri" w:cs="Calibri"/>
          <w:color w:val="000000"/>
          <w:lang w:val="en-GB"/>
        </w:rPr>
        <w:t xml:space="preserve"> required of them in enforcing such system and any COVID -19 specific considerations. </w:t>
      </w:r>
    </w:p>
    <w:p w14:paraId="33A51295"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Training staff who will be monitoring entry to the site, providing them with the resources they need to document entry of workers, conducting temperature checks and recording details of any worker that is denied entry. </w:t>
      </w:r>
    </w:p>
    <w:p w14:paraId="5EC6ABD4"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 </w:t>
      </w:r>
    </w:p>
    <w:p w14:paraId="06BACBB8"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Checking and recording temperatures of workers and other people entering the site or requiring self-reporting prior to or on entering the site. </w:t>
      </w:r>
    </w:p>
    <w:p w14:paraId="4726144E"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Providing daily briefings to workers prior to commencing work, focusing on COVID-19 specific considerations including cough etiquette, hand hygiene and distancing measures, using demonstrations and participatory methods. </w:t>
      </w:r>
    </w:p>
    <w:p w14:paraId="1AE5D299"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During the daily briefings, reminding workers to self-monitor for possible symptoms (fever, cough) and to report to their supervisor or the COVID-19 focal point if they have symptoms or are feeling unwell.</w:t>
      </w:r>
    </w:p>
    <w:p w14:paraId="7DCCFE63"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lastRenderedPageBreak/>
        <w:t>Preventing a worker from an affected area or who has been in contact with an infected person from returning to the site for 14 days or (if that is not possible) isolating such worker for 14 days.</w:t>
      </w:r>
    </w:p>
    <w:p w14:paraId="3C480EC1" w14:textId="77777777" w:rsidR="00740A8E" w:rsidRPr="00740A8E" w:rsidRDefault="00740A8E" w:rsidP="00BE60A0">
      <w:pPr>
        <w:numPr>
          <w:ilvl w:val="0"/>
          <w:numId w:val="79"/>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Preventing a sick worker from entering the site, referring them to local health facilities if necessary or requiring them to isolate at home for 14 days. </w:t>
      </w:r>
    </w:p>
    <w:p w14:paraId="336AE671"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27175F35" w14:textId="31D51238"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GENERAL HYGIENE </w:t>
      </w:r>
    </w:p>
    <w:p w14:paraId="46AC4C25"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Requirements on general hygiene should be communicated and monitored, to include: </w:t>
      </w:r>
    </w:p>
    <w:p w14:paraId="5AF203C0"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workers and staff on site on the signs and symptoms of COVID-19, how it is spread, how to protect themselves (including regular handwashing and social distancing) and what to do if they or other people have symptoms (for further information see WHO COVID-19 advice for the public).</w:t>
      </w:r>
    </w:p>
    <w:p w14:paraId="1186D490"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Placing posters and signs around the site, with images and text in local languages.</w:t>
      </w:r>
    </w:p>
    <w:p w14:paraId="7C955CCB"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 </w:t>
      </w:r>
    </w:p>
    <w:p w14:paraId="0915D8B4"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Review worker accommodations, and assess them in light of the requirements set out in IFC/EBRD guidance on Workers’ Accommodation: processes and standards, which provides valuable guidance as to good practice for accommodation. </w:t>
      </w:r>
    </w:p>
    <w:p w14:paraId="262715BC" w14:textId="77777777" w:rsidR="00740A8E" w:rsidRPr="00740A8E" w:rsidRDefault="00740A8E" w:rsidP="00BE60A0">
      <w:pPr>
        <w:numPr>
          <w:ilvl w:val="0"/>
          <w:numId w:val="80"/>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Setting aside part of worker accommodation for precautionary self-quarantine as well as more formal isolation of staff who may be infected (see paragraph (f)).</w:t>
      </w:r>
    </w:p>
    <w:p w14:paraId="44798472"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04DAD745" w14:textId="25C23350"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CLEANING AND WASTE DISPOSAL </w:t>
      </w:r>
    </w:p>
    <w:p w14:paraId="5A811AFA"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Conduct regular and thorough cleaning of all site facilities, including offices, accommodation, canteens, common spaces. Review cleaning protocols for key construction equipment (particularly if it is being operated by different workers). This should include: </w:t>
      </w:r>
    </w:p>
    <w:p w14:paraId="25F4C968"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Providing cleaning staff with adequate cleaning equipment, materials and disinfectant. </w:t>
      </w:r>
    </w:p>
    <w:p w14:paraId="3ADF536D"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Review general cleaning systems, training cleaning staff on appropriate cleaning procedures and appropriate frequency in high use or high-risk areas.</w:t>
      </w:r>
    </w:p>
    <w:p w14:paraId="249062BA"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w:t>
      </w:r>
    </w:p>
    <w:p w14:paraId="52284326"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cleaners in proper hygiene (including handwashing) prior to, during and after conducting cleaning activities; how to safely use PPE (where required); in waste control (including for used PPE and cleaning materials).</w:t>
      </w:r>
    </w:p>
    <w:p w14:paraId="6DA4F0E1" w14:textId="77777777" w:rsidR="00740A8E" w:rsidRPr="00740A8E" w:rsidRDefault="00740A8E" w:rsidP="00BE60A0">
      <w:pPr>
        <w:numPr>
          <w:ilvl w:val="0"/>
          <w:numId w:val="81"/>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see WHO interim guidance on water, sanitation and waste management for COVID-19). </w:t>
      </w:r>
    </w:p>
    <w:p w14:paraId="6BB9CD0A"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51FBE8A6" w14:textId="2A1FD323"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ADJUSTING WORK PRACTICES </w:t>
      </w:r>
    </w:p>
    <w:p w14:paraId="4819176C"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lastRenderedPageBreak/>
        <w:t xml:space="preserve">Consider changes to work processes and timings to reduce or minimize contact between workers, recognizing that this is likely to impact the project schedule. Such measures could include: </w:t>
      </w:r>
    </w:p>
    <w:p w14:paraId="05A47263"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Decreasing the size of work teams.</w:t>
      </w:r>
    </w:p>
    <w:p w14:paraId="10C505E0"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Limiting the number of workers on site at any one time.</w:t>
      </w:r>
    </w:p>
    <w:p w14:paraId="717F27E8"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Changing to a 24-hour work rotation.</w:t>
      </w:r>
    </w:p>
    <w:p w14:paraId="362ADEB3"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Adapting or redesigning work processes for specific work activities and tasks to enable social distancing, and training workers on these processes.</w:t>
      </w:r>
    </w:p>
    <w:p w14:paraId="25AE56C4"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 (for further information see WHO interim guidance on rational use of personal protective equipment (PPE) for COVID-19).</w:t>
      </w:r>
    </w:p>
    <w:p w14:paraId="2C435999"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Reviewing work methods to reduce use of construction PPE, in case supplies become scarce or the PPE is needed for medical workers or cleaners. This could include, e.g. trying to reduce the need for dust masks by checking that water sprinkling systems are in good working order and are maintained or reducing the speed limit for haul trucks.</w:t>
      </w:r>
    </w:p>
    <w:p w14:paraId="2ED1057F"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Arranging (where possible) for work breaks to be taken in outdoor areas within the site.</w:t>
      </w:r>
    </w:p>
    <w:p w14:paraId="23CC947B"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Consider changing canteen layouts and phasing meal times to allow for social distancing and phasing access to and/or temporarily restricting access to leisure facilities that may exist on site, including gyms. </w:t>
      </w:r>
    </w:p>
    <w:p w14:paraId="7A690720" w14:textId="77777777" w:rsidR="00740A8E" w:rsidRPr="00740A8E" w:rsidRDefault="00740A8E" w:rsidP="00BE60A0">
      <w:pPr>
        <w:numPr>
          <w:ilvl w:val="0"/>
          <w:numId w:val="82"/>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 </w:t>
      </w:r>
    </w:p>
    <w:p w14:paraId="2A434BAA"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72BA881B" w14:textId="41DDD63F"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PROJECT MEDICAL SERVICES </w:t>
      </w:r>
    </w:p>
    <w:p w14:paraId="79045B5B"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Consider whether existing project medical services are adequate, taking into account existing infrastructure (size of clinic/medical post, number of beds, isolation facilities), medical staff, equipment and supplies, procedures and training. Where these are not adequate, consider upgrading services where possible, including: </w:t>
      </w:r>
    </w:p>
    <w:p w14:paraId="3731B376"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Expanding medical infrastructure and preparing areas where patients can be isolated. Guidance on setting up isolation facilities is set out in WHO interim guidance on considerations for quarantine of individuals in the context of containment for COVID-19).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08BE8405"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w:t>
      </w:r>
      <w:proofErr w:type="spellStart"/>
      <w:r w:rsidRPr="00740A8E">
        <w:rPr>
          <w:rFonts w:ascii="Calibri" w:hAnsi="Calibri" w:cs="Calibri"/>
          <w:color w:val="000000"/>
          <w:lang w:val="en-GB"/>
        </w:rPr>
        <w:t>nCoV</w:t>
      </w:r>
      <w:proofErr w:type="spellEnd"/>
      <w:r w:rsidRPr="00740A8E">
        <w:rPr>
          <w:rFonts w:ascii="Calibri" w:hAnsi="Calibri" w:cs="Calibri"/>
          <w:color w:val="000000"/>
          <w:lang w:val="en-GB"/>
        </w:rPr>
        <w:t>) infection is suspected.</w:t>
      </w:r>
    </w:p>
    <w:p w14:paraId="0FDB789B"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medical staff in testing, if testing is available.</w:t>
      </w:r>
    </w:p>
    <w:p w14:paraId="71AE7C0A"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Assessing the current stock of equipment, supplies and medicines on site, and obtaining additional stock, where required and possible. This could include medical PPE, such as gowns, aprons, medical masks, gloves, and eye protection. Refer to WHO guidance as to what is </w:t>
      </w:r>
      <w:r w:rsidRPr="00740A8E">
        <w:rPr>
          <w:rFonts w:ascii="Calibri" w:hAnsi="Calibri" w:cs="Calibri"/>
          <w:color w:val="000000"/>
          <w:lang w:val="en-GB"/>
        </w:rPr>
        <w:lastRenderedPageBreak/>
        <w:t>advised (for further information see WHO interim guidance on rational use of personal protective equipment (PPE) for COVID-19).</w:t>
      </w:r>
    </w:p>
    <w:p w14:paraId="4DD99281"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If PPE items are unavailable due to world-wide shortages, medical staff on the project should agree on alternatives and try to procure them. Alternatives that may commonly be found on constructions sites include dust masks, construction gloves and eye goggles. While these items are not recommended, they should be used as a last resort if no medical PPE is available. </w:t>
      </w:r>
    </w:p>
    <w:p w14:paraId="2ED636E8" w14:textId="77777777" w:rsidR="00740A8E" w:rsidRP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Ventilators will not normally be available on work sites, and in any event, intubation should only be conducted by experienced medical staff. If a worker is extremely ill and unable to breathe properly on his or her own, they should be referred immediately to the local hospital (see (g) below).</w:t>
      </w:r>
    </w:p>
    <w:p w14:paraId="6B05262A" w14:textId="74B173CF" w:rsidR="00740A8E" w:rsidRDefault="00740A8E" w:rsidP="00BE60A0">
      <w:pPr>
        <w:numPr>
          <w:ilvl w:val="0"/>
          <w:numId w:val="83"/>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Review existing methods for dealing with medical waste, including systems for storage and disposal (for further information see WHO interim guidance on water, sanitation and waste management for COVID-19, and WHO guidance on safe management of wastes from health-care activities). </w:t>
      </w:r>
    </w:p>
    <w:p w14:paraId="56B4C642" w14:textId="77777777" w:rsidR="00E537E0" w:rsidRPr="00740A8E" w:rsidRDefault="00E537E0" w:rsidP="00E537E0">
      <w:pPr>
        <w:suppressAutoHyphens w:val="0"/>
        <w:autoSpaceDE w:val="0"/>
        <w:autoSpaceDN/>
        <w:adjustRightInd w:val="0"/>
        <w:spacing w:before="0" w:after="0" w:line="240" w:lineRule="auto"/>
        <w:ind w:left="720"/>
        <w:textAlignment w:val="auto"/>
        <w:rPr>
          <w:rFonts w:ascii="Calibri" w:hAnsi="Calibri" w:cs="Calibri"/>
          <w:color w:val="000000"/>
          <w:lang w:val="en-GB"/>
        </w:rPr>
      </w:pPr>
    </w:p>
    <w:p w14:paraId="3F9608D4" w14:textId="7453F3BB"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E537E0">
        <w:rPr>
          <w:rFonts w:ascii="Calibri" w:hAnsi="Calibri" w:cs="Calibri"/>
          <w:b/>
          <w:bCs/>
          <w:color w:val="000000"/>
          <w:lang w:val="en-GB"/>
        </w:rPr>
        <w:t xml:space="preserve">LOCAL MEDICAL AND OTHER SERVICES </w:t>
      </w:r>
    </w:p>
    <w:p w14:paraId="79DD7252"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Given the limited scope of project medical services, the project may need to refer sick workers to local medical services. Preparation for this includes: </w:t>
      </w:r>
    </w:p>
    <w:p w14:paraId="3F77B4AB"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Obtaining information as to the resources and capacity of local medical services (e.g. number of beds, availability of trained staff and essential supplies).</w:t>
      </w:r>
    </w:p>
    <w:p w14:paraId="6E5AC7C7"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Conducting preliminary discussions with specific medical facilities, to agree what should be done in the event of ill workers needing to be referred.</w:t>
      </w:r>
    </w:p>
    <w:p w14:paraId="2BAF1E52"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782B0188"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Clarifying the way in which an ill worker will be transported to the medical facility, and checking availability of such transportation.</w:t>
      </w:r>
    </w:p>
    <w:p w14:paraId="24E6C521"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Establishing an agreed protocol for communications with local emergency/medical services. Agreeing with the local medical services/specific medical facilities the scope of services to be provided, the procedure for in-take of patients and (where relevant) any costs or payments that may be involved.</w:t>
      </w:r>
    </w:p>
    <w:p w14:paraId="44254D3E" w14:textId="77777777" w:rsidR="00740A8E" w:rsidRPr="00740A8E" w:rsidRDefault="00740A8E" w:rsidP="00BE60A0">
      <w:pPr>
        <w:numPr>
          <w:ilvl w:val="0"/>
          <w:numId w:val="84"/>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 </w:t>
      </w:r>
    </w:p>
    <w:p w14:paraId="66111D96"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39A8EA12" w14:textId="0F6FA3DD"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INSTANCES OR SPREAD OF THE VIRUS </w:t>
      </w:r>
    </w:p>
    <w:p w14:paraId="20288191"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WHO provides detailed advice on what should be done to treat a person who becomes sick or displays symptoms that could be associated with the COVID-19 virus (for further information see WHO interim guidance on infection prevention and control during health care when novel coronavirus (</w:t>
      </w:r>
      <w:proofErr w:type="spellStart"/>
      <w:r w:rsidRPr="00740A8E">
        <w:rPr>
          <w:rFonts w:ascii="Calibri" w:hAnsi="Calibri" w:cs="Calibri"/>
          <w:color w:val="000000"/>
          <w:lang w:val="en-GB"/>
        </w:rPr>
        <w:t>nCoV</w:t>
      </w:r>
      <w:proofErr w:type="spellEnd"/>
      <w:r w:rsidRPr="00740A8E">
        <w:rPr>
          <w:rFonts w:ascii="Calibri" w:hAnsi="Calibri" w:cs="Calibri"/>
          <w:color w:val="000000"/>
          <w:lang w:val="en-GB"/>
        </w:rPr>
        <w:t xml:space="preserve">) infection is suspected). The project should set out risk-based procedures to be followed, with differentiated approaches based on case severity (mild, moderate, severe, critical) and risk factors (such as age, hypertension, diabetes) (for further information see WHO interim guidance on operational considerations for case management of COVID-19 in health facility and community). These may include the following: </w:t>
      </w:r>
    </w:p>
    <w:p w14:paraId="4CFF6706"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lastRenderedPageBreak/>
        <w:t>If a worker has symptoms of COVID-19 (e.g. fever, dry cough, fatigue) the worker should be removed immediately from work activities and isolated on site.</w:t>
      </w:r>
    </w:p>
    <w:p w14:paraId="7D2038BA"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If testing is available on site, the worker should be tested on site. If a test is not available at site, the worker should be transported to the local health facilities to be tested (if testing is available).</w:t>
      </w:r>
    </w:p>
    <w:p w14:paraId="582D38D2"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If the test is positive for COVID-19 or no testing is available, the worker should continue to be isolated. This will either be at the work site or at home. If at home, the worker should be transported to their home in transportation provided by the project.</w:t>
      </w:r>
    </w:p>
    <w:p w14:paraId="59E9B6DD"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Extensive cleaning procedures with high-alcohol content disinfectant should be undertaken in the area where the worker was present, prior to any further work being undertaken in that area. Tools used by the worker should be cleaned using disinfectant and PPE disposed of. </w:t>
      </w:r>
    </w:p>
    <w:p w14:paraId="76192FAC"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 Co-workers (i.e. workers with whom the sick worker was in close contact) should be required to stop work, and be required to quarantine themselves for 14 days, even if they have no symptoms.</w:t>
      </w:r>
    </w:p>
    <w:p w14:paraId="3F46CF32"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Family and other close contacts of the worker should be required to quarantine themselves for 14 days, even if they have no symptoms.</w:t>
      </w:r>
    </w:p>
    <w:p w14:paraId="1A8798CB"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If a case of COVID-19 is confirmed in a worker on the site, visitors should be restricted from entering the site and worker groups should be isolated from each other as much as possible.</w:t>
      </w:r>
    </w:p>
    <w:p w14:paraId="5EFD5F3D"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If workers live at home and has a family member who has a confirmed or suspected case of COVID-19, the worker should quarantine themselves and not be allowed on the project site for 14 days, even if they have no symptoms.</w:t>
      </w:r>
    </w:p>
    <w:p w14:paraId="393B898B"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Workers should continue to be paid throughout periods of illness, isolation or quarantine, or if they are required to stop work, in accordance with national law.</w:t>
      </w:r>
    </w:p>
    <w:p w14:paraId="3C185FEE" w14:textId="77777777" w:rsidR="00740A8E" w:rsidRPr="00740A8E" w:rsidRDefault="00740A8E" w:rsidP="00BE60A0">
      <w:pPr>
        <w:numPr>
          <w:ilvl w:val="0"/>
          <w:numId w:val="85"/>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Medical care (whether on site or in a local hospital or clinic) required by a worker should be paid for by the employer. </w:t>
      </w:r>
    </w:p>
    <w:p w14:paraId="0E24FD6A"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3C1A77B7" w14:textId="2A17B4AE"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CONTINUITY OF SUPPLIES AND PROJECT ACTIVITIES </w:t>
      </w:r>
    </w:p>
    <w:p w14:paraId="5E6F87C3" w14:textId="33B561A2"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Where COVID-19 occurs, either in the project site or the community, access to the project site may be restricted, and movement of supplies may be affected</w:t>
      </w:r>
      <w:r w:rsidR="00E537E0">
        <w:rPr>
          <w:rFonts w:ascii="Calibri" w:hAnsi="Calibri" w:cs="Calibri"/>
          <w:color w:val="000000"/>
          <w:lang w:val="en-GB"/>
        </w:rPr>
        <w:t>.</w:t>
      </w:r>
    </w:p>
    <w:p w14:paraId="77B82D56"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Identify back-up individuals, in case key people within the project management team (PIU, Supervising Engineer, Contractor, sub-contractors) become ill, and communicate who these are so that people are aware of the arrangements that have been put in place.</w:t>
      </w:r>
    </w:p>
    <w:p w14:paraId="6FB032DA"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Document procedures, so that people know what they are, and are not reliant on one person’s knowledge.</w:t>
      </w:r>
    </w:p>
    <w:p w14:paraId="559BC3B7"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53B01A52"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Place orders for/procure critical supplies. If not available, consider alternatives (where feasible).</w:t>
      </w:r>
    </w:p>
    <w:p w14:paraId="25EEA9A3"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Consider existing security arrangements, and whether these will be adequate in the event of interruption to normal project operations.</w:t>
      </w:r>
    </w:p>
    <w:p w14:paraId="4FEE90A1" w14:textId="77777777" w:rsidR="00740A8E" w:rsidRPr="00740A8E" w:rsidRDefault="00740A8E" w:rsidP="00BE60A0">
      <w:pPr>
        <w:numPr>
          <w:ilvl w:val="0"/>
          <w:numId w:val="86"/>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Consider at what point it may become necessary for the project to significantly reduce activities or to stop work completely, and what should be done to prepare for this, and to re-start work when it becomes possible or feasible. </w:t>
      </w:r>
    </w:p>
    <w:p w14:paraId="0E2F5618"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490695E2" w14:textId="10BCA48B"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TRAINING AND COMMUNICATION WITH WORKERS </w:t>
      </w:r>
    </w:p>
    <w:p w14:paraId="1CB0DDAA"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lastRenderedPageBreak/>
        <w:t xml:space="preserve">Workers need to be provided with regular opportunities to understand their situation, and how they can best protect themselves, their families and the community. They should be made aware of the procedures that have been put in place by the project, and their own responsibilities in implementing them. </w:t>
      </w:r>
    </w:p>
    <w:p w14:paraId="48347F13"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It is important to be aware that in communities close to the site and amongst workers without access to project management, social media is likely to be a major source of information. This raises the importance of regular information and engagement with workers (e.g. through training, town halls, tool boxes) that emphasizes what management is doing to deal with the risks of COVID-19. Allaying fear is an important aspect of work force peace of mind and business continuity. Workers should be given an opportunity to ask questions, express their concerns, and make suggestions. </w:t>
      </w:r>
    </w:p>
    <w:p w14:paraId="20FBDE36"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of workers should be conducted regularly, as discussed in the sections above, providing workers with a clear understanding of how they are expected to behave and carry out their work duties.</w:t>
      </w:r>
    </w:p>
    <w:p w14:paraId="79887D14"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Training should address issues of discrimination or prejudice if a worker becomes ill and provide an understanding of the trajectory of the virus, where workers return to work.</w:t>
      </w:r>
    </w:p>
    <w:p w14:paraId="043362B4"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Training should cover all issues that would normally be required on the work site, including use of safety procedures, use of construction PPE, occupational health and safety issues, and code of conduct, taking into account that work practices may have been adjusted. </w:t>
      </w:r>
    </w:p>
    <w:p w14:paraId="425E3F60" w14:textId="77777777" w:rsidR="00740A8E" w:rsidRPr="00740A8E" w:rsidRDefault="00740A8E" w:rsidP="00BE60A0">
      <w:pPr>
        <w:numPr>
          <w:ilvl w:val="0"/>
          <w:numId w:val="87"/>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Communications should be clear, based on fact and designed to be easily understood by workers, for example by displaying posters on handwashing and social distancing, and what to do if a worker displays symptoms. </w:t>
      </w:r>
    </w:p>
    <w:p w14:paraId="34B21141"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2E4CBA1D" w14:textId="0D18C067"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t xml:space="preserve">COMMUNICATION AND CONTACT WITH THE COMMUNITY </w:t>
      </w:r>
    </w:p>
    <w:p w14:paraId="508CB9A9"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Relations with the community should be carefully managed, with a focus on measures that are being implemented to safeguard both workers and the community. The community may be concerned about the presence of non-local workers, or the risks posed to the community by local workers presence on the project site. The project should set out risk-based procedures to be followed , which may reflect WHO guidance (for further information see WHO Risk Communication and Community Engagement (RCCE) Action Plan Guidance COVID-19 Preparedness and Response). The following good practice should be considered: </w:t>
      </w:r>
    </w:p>
    <w:p w14:paraId="41BB5B0A" w14:textId="77777777" w:rsidR="00740A8E" w:rsidRPr="00740A8E" w:rsidRDefault="00740A8E" w:rsidP="00BE60A0">
      <w:pPr>
        <w:numPr>
          <w:ilvl w:val="0"/>
          <w:numId w:val="8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Communications should be clear, regular, based on fact and designed to be easily understood by community members.</w:t>
      </w:r>
    </w:p>
    <w:p w14:paraId="4BA075E2" w14:textId="77777777" w:rsidR="00740A8E" w:rsidRPr="00740A8E" w:rsidRDefault="00740A8E" w:rsidP="00BE60A0">
      <w:pPr>
        <w:numPr>
          <w:ilvl w:val="0"/>
          <w:numId w:val="8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Communications should utilize available means. In most cases, face-to-face meetings with the community or community representatives will not be possible. Other forms of communication should be used; posters, pamphlets, radio, text message, electronic meetings. The means used should take into account the ability of different members of the community to access them, to make sure that communication reaches these groups.</w:t>
      </w:r>
    </w:p>
    <w:p w14:paraId="65D7447A" w14:textId="77777777" w:rsidR="00740A8E" w:rsidRPr="00740A8E" w:rsidRDefault="00740A8E" w:rsidP="00BE60A0">
      <w:pPr>
        <w:numPr>
          <w:ilvl w:val="0"/>
          <w:numId w:val="8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The community should be made aware of procedures put in place at site to address issues related to COVID-19. This should include all measures being implemented to limit or prohibit contact between workers and the community. These need to be communicated clearly, as some measures will have financial implications for the community (e.g. if workers are paying for lodging or using local facilities). The community should be made aware of the procedure for entry/exit to the site, the training being given to workers and the procedure that will be followed by the project if a worker becomes sick.</w:t>
      </w:r>
    </w:p>
    <w:p w14:paraId="0E6AF34F" w14:textId="77777777" w:rsidR="00740A8E" w:rsidRPr="00740A8E" w:rsidRDefault="00740A8E" w:rsidP="00BE60A0">
      <w:pPr>
        <w:numPr>
          <w:ilvl w:val="0"/>
          <w:numId w:val="88"/>
        </w:numPr>
        <w:suppressAutoHyphens w:val="0"/>
        <w:autoSpaceDE w:val="0"/>
        <w:autoSpaceDN/>
        <w:adjustRightInd w:val="0"/>
        <w:spacing w:before="0" w:after="0" w:line="240" w:lineRule="auto"/>
        <w:textAlignment w:val="auto"/>
        <w:rPr>
          <w:rFonts w:ascii="Calibri" w:hAnsi="Calibri" w:cs="Calibri"/>
          <w:color w:val="000000"/>
          <w:lang w:val="en-GB"/>
        </w:rPr>
      </w:pPr>
      <w:r w:rsidRPr="00740A8E">
        <w:rPr>
          <w:rFonts w:ascii="Calibri" w:hAnsi="Calibri" w:cs="Calibri"/>
          <w:color w:val="000000"/>
          <w:lang w:val="en-GB"/>
        </w:rPr>
        <w:t xml:space="preserve">If project representatives, contractors or workers are interacting with the community, they should practice social distancing and follow other COVID-19 guidance issued by relevant authorities, both national and international (e.g. WHO). </w:t>
      </w:r>
    </w:p>
    <w:p w14:paraId="3804E242" w14:textId="77777777" w:rsidR="00740A8E" w:rsidRPr="00740A8E" w:rsidRDefault="00740A8E" w:rsidP="00740A8E">
      <w:pPr>
        <w:suppressAutoHyphens w:val="0"/>
        <w:autoSpaceDE w:val="0"/>
        <w:adjustRightInd w:val="0"/>
        <w:spacing w:before="0" w:after="0" w:line="240" w:lineRule="auto"/>
        <w:textAlignment w:val="auto"/>
        <w:rPr>
          <w:rFonts w:ascii="Calibri" w:hAnsi="Calibri" w:cs="Calibri"/>
          <w:color w:val="000000"/>
          <w:lang w:val="en-GB"/>
        </w:rPr>
      </w:pPr>
    </w:p>
    <w:p w14:paraId="2E68DF89" w14:textId="54864979" w:rsidR="00740A8E" w:rsidRPr="00E537E0" w:rsidRDefault="00740A8E" w:rsidP="00BE60A0">
      <w:pPr>
        <w:pStyle w:val="ListParagraph"/>
        <w:numPr>
          <w:ilvl w:val="1"/>
          <w:numId w:val="96"/>
        </w:numPr>
        <w:suppressAutoHyphens w:val="0"/>
        <w:autoSpaceDE w:val="0"/>
        <w:adjustRightInd w:val="0"/>
        <w:spacing w:before="0" w:after="0" w:line="240" w:lineRule="auto"/>
        <w:ind w:left="426"/>
        <w:textAlignment w:val="auto"/>
        <w:rPr>
          <w:rFonts w:ascii="Calibri" w:hAnsi="Calibri" w:cs="Calibri"/>
          <w:b/>
          <w:bCs/>
          <w:color w:val="000000"/>
          <w:lang w:val="en-GB"/>
        </w:rPr>
      </w:pPr>
      <w:r w:rsidRPr="00740A8E">
        <w:rPr>
          <w:rFonts w:ascii="Calibri" w:hAnsi="Calibri" w:cs="Calibri"/>
          <w:b/>
          <w:bCs/>
          <w:color w:val="000000"/>
          <w:lang w:val="en-GB"/>
        </w:rPr>
        <w:lastRenderedPageBreak/>
        <w:t xml:space="preserve">EMERGENCY POWERS AND LEGISLATION </w:t>
      </w:r>
    </w:p>
    <w:p w14:paraId="08545148" w14:textId="77777777" w:rsidR="00740A8E" w:rsidRPr="00740A8E" w:rsidRDefault="00740A8E" w:rsidP="00E537E0">
      <w:pPr>
        <w:suppressAutoHyphens w:val="0"/>
        <w:autoSpaceDE w:val="0"/>
        <w:adjustRightInd w:val="0"/>
        <w:textAlignment w:val="auto"/>
        <w:rPr>
          <w:rFonts w:ascii="Calibri" w:hAnsi="Calibri" w:cs="Calibri"/>
          <w:color w:val="000000"/>
          <w:lang w:val="en-GB"/>
        </w:rPr>
      </w:pPr>
      <w:r w:rsidRPr="00740A8E">
        <w:rPr>
          <w:rFonts w:ascii="Calibri" w:hAnsi="Calibri" w:cs="Calibri"/>
          <w:color w:val="000000"/>
          <w:lang w:val="en-GB"/>
        </w:rPr>
        <w:t xml:space="preserve">Many Borrowers are enacting emergency legislation. The scope of such legislation, and the way it interacts with other legal requirements, will vary from country to country. Such legislation can cover a range of issues, for example: </w:t>
      </w:r>
    </w:p>
    <w:p w14:paraId="25BEE7B6" w14:textId="77777777" w:rsidR="00740A8E" w:rsidRPr="00740A8E" w:rsidRDefault="00740A8E" w:rsidP="00BE60A0">
      <w:pPr>
        <w:numPr>
          <w:ilvl w:val="0"/>
          <w:numId w:val="89"/>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Declaring a public health emergency </w:t>
      </w:r>
    </w:p>
    <w:p w14:paraId="27CBFF92" w14:textId="77777777" w:rsidR="00740A8E" w:rsidRPr="00740A8E" w:rsidRDefault="00740A8E" w:rsidP="00BE60A0">
      <w:pPr>
        <w:numPr>
          <w:ilvl w:val="0"/>
          <w:numId w:val="89"/>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Authorizing the use of police or military in certain activities (e.g. enforcing curfews or restrictions on movement) </w:t>
      </w:r>
    </w:p>
    <w:p w14:paraId="58183E55" w14:textId="77777777" w:rsidR="00740A8E" w:rsidRPr="00740A8E" w:rsidRDefault="00740A8E" w:rsidP="00BE60A0">
      <w:pPr>
        <w:numPr>
          <w:ilvl w:val="0"/>
          <w:numId w:val="89"/>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Ordering certain categories of employees to work longer hours, not to take holiday or not to leave their job (e.g. health workers) </w:t>
      </w:r>
    </w:p>
    <w:p w14:paraId="351C28DB" w14:textId="77777777" w:rsidR="00740A8E" w:rsidRPr="00740A8E" w:rsidRDefault="00740A8E" w:rsidP="00BE60A0">
      <w:pPr>
        <w:numPr>
          <w:ilvl w:val="0"/>
          <w:numId w:val="89"/>
        </w:numPr>
        <w:suppressAutoHyphens w:val="0"/>
        <w:autoSpaceDE w:val="0"/>
        <w:autoSpaceDN/>
        <w:adjustRightInd w:val="0"/>
        <w:spacing w:before="0" w:after="0" w:line="240" w:lineRule="auto"/>
        <w:jc w:val="left"/>
        <w:textAlignment w:val="auto"/>
        <w:rPr>
          <w:rFonts w:ascii="Calibri" w:hAnsi="Calibri" w:cs="Calibri"/>
          <w:color w:val="000000"/>
          <w:lang w:val="en-GB"/>
        </w:rPr>
      </w:pPr>
      <w:r w:rsidRPr="00740A8E">
        <w:rPr>
          <w:rFonts w:ascii="Calibri" w:hAnsi="Calibri" w:cs="Calibri"/>
          <w:color w:val="000000"/>
          <w:lang w:val="en-GB"/>
        </w:rPr>
        <w:t xml:space="preserve">Ordering non-essential workers to stay at home, for reduced pay or compulsory holiday </w:t>
      </w:r>
    </w:p>
    <w:p w14:paraId="2D8E6C48" w14:textId="61D447E8" w:rsidR="006C7F86" w:rsidRDefault="00740A8E" w:rsidP="00E537E0">
      <w:pPr>
        <w:suppressAutoHyphens w:val="0"/>
        <w:autoSpaceDN/>
        <w:spacing w:line="21" w:lineRule="atLeast"/>
        <w:textAlignment w:val="auto"/>
        <w:rPr>
          <w:rFonts w:ascii="Calibri" w:hAnsi="Calibri" w:cs="Calibri"/>
          <w:lang w:val="en-GB"/>
        </w:rPr>
      </w:pPr>
      <w:r w:rsidRPr="00740A8E">
        <w:rPr>
          <w:rFonts w:ascii="Calibri" w:hAnsi="Calibri" w:cs="Calibri"/>
          <w:lang w:val="en-GB"/>
        </w:rPr>
        <w:t>Except in exceptional circumstances (after referral to the World Bank’s Operations Environmental and Social Review Committee (OESRC)), projects will need to follow emergency legislation to the extent that these are mandatory or advisable. It is important that the Borrower understands how mandatory requirements of the legislation will impact the project. Teams should require Borrowers (and in turn, Borrowers should request Contractors) to consider how the emergency legislation will impact the obligations of the Borrower set out in the legal agreement and the obligations set out in the construction contracts. Where the legislation requires a material departure from existing contractual obligations, this should be documented, setting out the relevant provisions.</w:t>
      </w:r>
    </w:p>
    <w:p w14:paraId="27D78765" w14:textId="77777777" w:rsidR="006C7F86" w:rsidRDefault="006C7F86">
      <w:pPr>
        <w:suppressAutoHyphens w:val="0"/>
        <w:spacing w:before="0" w:after="160" w:line="256" w:lineRule="auto"/>
        <w:jc w:val="left"/>
        <w:rPr>
          <w:rFonts w:ascii="Calibri" w:hAnsi="Calibri" w:cs="Calibri"/>
          <w:lang w:val="en-GB"/>
        </w:rPr>
      </w:pPr>
      <w:r>
        <w:rPr>
          <w:rFonts w:ascii="Calibri" w:hAnsi="Calibri" w:cs="Calibri"/>
          <w:lang w:val="en-GB"/>
        </w:rPr>
        <w:br w:type="page"/>
      </w:r>
    </w:p>
    <w:p w14:paraId="4BDC0391" w14:textId="34A5E8AA" w:rsidR="00EC6200" w:rsidRPr="00AB7D1E" w:rsidRDefault="006C7F86" w:rsidP="006C7F86">
      <w:pPr>
        <w:pStyle w:val="Heading1"/>
        <w:numPr>
          <w:ilvl w:val="0"/>
          <w:numId w:val="0"/>
        </w:numPr>
        <w:ind w:left="432" w:hanging="432"/>
        <w:rPr>
          <w:lang w:val="en-US"/>
        </w:rPr>
      </w:pPr>
      <w:bookmarkStart w:id="293" w:name="_Ref56949974"/>
      <w:bookmarkStart w:id="294" w:name="_Ref51776730"/>
      <w:bookmarkStart w:id="295" w:name="_Toc56952331"/>
      <w:bookmarkStart w:id="296" w:name="_Toc56954096"/>
      <w:r>
        <w:lastRenderedPageBreak/>
        <w:t xml:space="preserve">ANNEX </w:t>
      </w:r>
      <w:fldSimple w:instr=" SEQ ANNEX \* ROMAN ">
        <w:r w:rsidR="007D1E1B">
          <w:rPr>
            <w:noProof/>
          </w:rPr>
          <w:t>XIII</w:t>
        </w:r>
      </w:fldSimple>
      <w:bookmarkEnd w:id="293"/>
      <w:r w:rsidR="005A563A" w:rsidRPr="00AB7D1E">
        <w:rPr>
          <w:lang w:val="en-US"/>
        </w:rPr>
        <w:t>–</w:t>
      </w:r>
      <w:r w:rsidR="005A1D9E" w:rsidRPr="00AB7D1E">
        <w:rPr>
          <w:lang w:val="en-US"/>
        </w:rPr>
        <w:t xml:space="preserve"> </w:t>
      </w:r>
      <w:bookmarkEnd w:id="287"/>
      <w:r w:rsidR="005A563A" w:rsidRPr="00AB7D1E">
        <w:rPr>
          <w:lang w:val="en-US"/>
        </w:rPr>
        <w:t>LIST OF COVID-19 GUIDANCES</w:t>
      </w:r>
      <w:bookmarkEnd w:id="288"/>
      <w:bookmarkEnd w:id="294"/>
      <w:bookmarkEnd w:id="295"/>
      <w:bookmarkEnd w:id="296"/>
    </w:p>
    <w:p w14:paraId="52BD82B6" w14:textId="0E144409" w:rsidR="00EC6200" w:rsidRPr="00AB7D1E" w:rsidRDefault="009A7480" w:rsidP="003E0EA5">
      <w:pPr>
        <w:suppressAutoHyphens w:val="0"/>
        <w:autoSpaceDN/>
        <w:spacing w:before="0" w:after="200" w:line="240" w:lineRule="auto"/>
        <w:textAlignment w:val="auto"/>
        <w:rPr>
          <w:rFonts w:eastAsia="SimSun" w:cs="Calibri"/>
          <w:b/>
          <w:sz w:val="20"/>
          <w:szCs w:val="20"/>
          <w:lang w:val="en-US"/>
        </w:rPr>
      </w:pPr>
      <w:r w:rsidRPr="00AB7D1E">
        <w:rPr>
          <w:rFonts w:eastAsia="SimSun" w:cs="Calibri"/>
          <w:b/>
          <w:sz w:val="20"/>
          <w:szCs w:val="20"/>
          <w:lang w:val="en-US"/>
        </w:rPr>
        <w:t>WHO GUIDANCE</w:t>
      </w:r>
    </w:p>
    <w:p w14:paraId="4B4C680B" w14:textId="20A24366" w:rsidR="00EC6200" w:rsidRPr="00AB7D1E" w:rsidRDefault="009A7480" w:rsidP="003E0EA5">
      <w:pPr>
        <w:suppressAutoHyphens w:val="0"/>
        <w:autoSpaceDN/>
        <w:spacing w:before="0" w:after="200" w:line="240" w:lineRule="auto"/>
        <w:textAlignment w:val="auto"/>
        <w:rPr>
          <w:rFonts w:eastAsia="SimSun" w:cs="Calibri"/>
          <w:b/>
          <w:sz w:val="20"/>
          <w:szCs w:val="20"/>
          <w:lang w:val="en-US"/>
        </w:rPr>
      </w:pPr>
      <w:r w:rsidRPr="00AB7D1E">
        <w:rPr>
          <w:rFonts w:eastAsia="SimSun" w:cs="Calibri"/>
          <w:b/>
          <w:sz w:val="20"/>
          <w:szCs w:val="20"/>
          <w:lang w:val="en-US"/>
        </w:rPr>
        <w:t>ADVICE FOR THE PUBLIC</w:t>
      </w:r>
    </w:p>
    <w:p w14:paraId="4D40455D" w14:textId="77777777" w:rsidR="00EC6200" w:rsidRPr="00AB7D1E" w:rsidRDefault="00EC6200" w:rsidP="00BE60A0">
      <w:pPr>
        <w:numPr>
          <w:ilvl w:val="0"/>
          <w:numId w:val="38"/>
        </w:numPr>
        <w:suppressAutoHyphens w:val="0"/>
        <w:autoSpaceDN/>
        <w:spacing w:before="0" w:after="200" w:line="240" w:lineRule="auto"/>
        <w:contextualSpacing/>
        <w:textAlignment w:val="auto"/>
        <w:rPr>
          <w:rFonts w:eastAsia="SimSun" w:cs="Calibri"/>
          <w:sz w:val="20"/>
          <w:szCs w:val="20"/>
          <w:lang w:val="en-US"/>
        </w:rPr>
      </w:pPr>
      <w:r w:rsidRPr="00AB7D1E">
        <w:rPr>
          <w:rFonts w:eastAsia="SimSun" w:cs="Calibri"/>
          <w:sz w:val="20"/>
          <w:szCs w:val="20"/>
          <w:lang w:val="en-US"/>
        </w:rPr>
        <w:t xml:space="preserve">WHO advice for the public, including on social distancing, respiratory hygiene, self-quarantine, and seeking medical advice, can be consulted on this WHO website: </w:t>
      </w:r>
      <w:hyperlink r:id="rId90" w:history="1">
        <w:r w:rsidRPr="00AB7D1E">
          <w:rPr>
            <w:rFonts w:eastAsia="SimSun" w:cs="Calibri"/>
            <w:color w:val="0000FF"/>
            <w:sz w:val="20"/>
            <w:szCs w:val="20"/>
            <w:u w:val="single"/>
            <w:lang w:val="en-US"/>
          </w:rPr>
          <w:t>https://www.who.int/emergencies/diseases/novel-coronavirus-2019/advice-for-public</w:t>
        </w:r>
      </w:hyperlink>
      <w:r w:rsidRPr="00AB7D1E">
        <w:rPr>
          <w:rFonts w:eastAsia="SimSun" w:cs="Calibri"/>
          <w:sz w:val="20"/>
          <w:szCs w:val="20"/>
          <w:lang w:val="en-US"/>
        </w:rPr>
        <w:t xml:space="preserve"> </w:t>
      </w:r>
    </w:p>
    <w:p w14:paraId="35B1D2AF" w14:textId="77777777" w:rsidR="00EC6200" w:rsidRPr="00AB7D1E" w:rsidRDefault="00EC6200" w:rsidP="003E0EA5">
      <w:pPr>
        <w:suppressAutoHyphens w:val="0"/>
        <w:autoSpaceDN/>
        <w:spacing w:before="0" w:after="200" w:line="240" w:lineRule="auto"/>
        <w:textAlignment w:val="auto"/>
        <w:rPr>
          <w:rFonts w:eastAsia="SimSun" w:cs="Calibri"/>
          <w:b/>
          <w:sz w:val="20"/>
          <w:szCs w:val="20"/>
          <w:lang w:val="en-US"/>
        </w:rPr>
      </w:pPr>
    </w:p>
    <w:p w14:paraId="01EC4B82" w14:textId="076B4DB9" w:rsidR="00EC6200" w:rsidRPr="00AB7D1E" w:rsidRDefault="009A7480" w:rsidP="009A7480">
      <w:pPr>
        <w:suppressAutoHyphens w:val="0"/>
        <w:autoSpaceDN/>
        <w:spacing w:before="0" w:after="200" w:line="240" w:lineRule="auto"/>
        <w:textAlignment w:val="auto"/>
        <w:rPr>
          <w:rFonts w:eastAsia="SimSun" w:cstheme="minorHAnsi"/>
          <w:b/>
          <w:sz w:val="20"/>
          <w:szCs w:val="20"/>
          <w:lang w:val="en-US"/>
        </w:rPr>
      </w:pPr>
      <w:r w:rsidRPr="00AB7D1E">
        <w:rPr>
          <w:rFonts w:eastAsia="SimSun" w:cstheme="minorHAnsi"/>
          <w:b/>
          <w:sz w:val="20"/>
          <w:szCs w:val="20"/>
          <w:lang w:val="en-US"/>
        </w:rPr>
        <w:t xml:space="preserve">TECHNICAL GUIDANCE </w:t>
      </w:r>
    </w:p>
    <w:p w14:paraId="07FD01EC"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91" w:history="1">
        <w:r w:rsidR="009A7480" w:rsidRPr="00AB7D1E">
          <w:rPr>
            <w:rFonts w:eastAsia="SimSun" w:cstheme="minorHAnsi"/>
            <w:color w:val="0000FF"/>
            <w:sz w:val="20"/>
            <w:szCs w:val="20"/>
            <w:u w:val="single"/>
            <w:lang w:val="en-US"/>
          </w:rPr>
          <w:t>Infection prevention and control during health care when novel coronavirus (</w:t>
        </w:r>
        <w:proofErr w:type="spellStart"/>
        <w:r w:rsidR="009A7480" w:rsidRPr="00AB7D1E">
          <w:rPr>
            <w:rFonts w:eastAsia="SimSun" w:cstheme="minorHAnsi"/>
            <w:color w:val="0000FF"/>
            <w:sz w:val="20"/>
            <w:szCs w:val="20"/>
            <w:u w:val="single"/>
            <w:lang w:val="en-US"/>
          </w:rPr>
          <w:t>nCoV</w:t>
        </w:r>
        <w:proofErr w:type="spellEnd"/>
        <w:r w:rsidR="009A7480" w:rsidRPr="00AB7D1E">
          <w:rPr>
            <w:rFonts w:eastAsia="SimSun" w:cstheme="minorHAnsi"/>
            <w:color w:val="0000FF"/>
            <w:sz w:val="20"/>
            <w:szCs w:val="20"/>
            <w:u w:val="single"/>
            <w:lang w:val="en-US"/>
          </w:rPr>
          <w:t>) infection is suspected</w:t>
        </w:r>
      </w:hyperlink>
      <w:r w:rsidR="009A7480" w:rsidRPr="00AB7D1E">
        <w:rPr>
          <w:rFonts w:eastAsia="SimSun" w:cstheme="minorHAnsi"/>
          <w:color w:val="0000FF"/>
          <w:sz w:val="20"/>
          <w:szCs w:val="20"/>
          <w:u w:val="single"/>
          <w:lang w:val="en-US"/>
        </w:rPr>
        <w:t>,</w:t>
      </w:r>
      <w:r w:rsidR="009A7480" w:rsidRPr="00AB7D1E">
        <w:rPr>
          <w:rFonts w:eastAsia="SimSun" w:cstheme="minorHAnsi"/>
          <w:sz w:val="20"/>
          <w:szCs w:val="20"/>
          <w:lang w:val="en-US"/>
        </w:rPr>
        <w:t xml:space="preserve"> issued on March 19, 2020</w:t>
      </w:r>
    </w:p>
    <w:p w14:paraId="103F6D04" w14:textId="77777777" w:rsidR="009A7480" w:rsidRPr="00AB7D1E" w:rsidRDefault="00C40C75"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2" w:tgtFrame="_blank" w:history="1">
        <w:r w:rsidR="009A7480" w:rsidRPr="00AB7D1E">
          <w:rPr>
            <w:rFonts w:eastAsia="SimSun" w:cstheme="minorHAnsi"/>
            <w:color w:val="0000FF"/>
            <w:sz w:val="20"/>
            <w:szCs w:val="20"/>
            <w:u w:val="single"/>
            <w:shd w:val="clear" w:color="auto" w:fill="FFFFFF"/>
            <w:lang w:val="en-US"/>
          </w:rPr>
          <w:t>Recommendations to Member States to Improve Hygiene Practices</w:t>
        </w:r>
      </w:hyperlink>
      <w:r w:rsidR="009A7480" w:rsidRPr="00AB7D1E">
        <w:rPr>
          <w:rFonts w:eastAsia="SimSun" w:cstheme="minorHAnsi"/>
          <w:sz w:val="20"/>
          <w:szCs w:val="20"/>
          <w:lang w:val="en-US"/>
        </w:rPr>
        <w:t>, issued on April 1, 2020</w:t>
      </w:r>
    </w:p>
    <w:p w14:paraId="6C45E15B" w14:textId="77777777" w:rsidR="009A7480" w:rsidRPr="00AB7D1E" w:rsidRDefault="00C40C75"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3" w:tgtFrame="_blank" w:history="1">
        <w:r w:rsidR="009A7480" w:rsidRPr="00AB7D1E">
          <w:rPr>
            <w:rFonts w:eastAsia="SimSun" w:cstheme="minorHAnsi"/>
            <w:color w:val="0000FF"/>
            <w:sz w:val="20"/>
            <w:szCs w:val="20"/>
            <w:u w:val="single"/>
            <w:shd w:val="clear" w:color="auto" w:fill="FFFFFF"/>
            <w:lang w:val="en-US"/>
          </w:rPr>
          <w:t>Severe Acute Respiratory Infections Treatment Center</w:t>
        </w:r>
      </w:hyperlink>
      <w:r w:rsidR="009A7480" w:rsidRPr="00AB7D1E">
        <w:rPr>
          <w:rFonts w:eastAsia="SimSun" w:cstheme="minorHAnsi"/>
          <w:sz w:val="20"/>
          <w:szCs w:val="20"/>
          <w:lang w:val="en-US"/>
        </w:rPr>
        <w:t>, issued on March 28, 2020</w:t>
      </w:r>
    </w:p>
    <w:p w14:paraId="4FE35505" w14:textId="77777777" w:rsidR="009A7480" w:rsidRPr="00AB7D1E" w:rsidRDefault="00C40C75"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4" w:tgtFrame="_blank" w:history="1">
        <w:r w:rsidR="009A7480" w:rsidRPr="00AB7D1E">
          <w:rPr>
            <w:rFonts w:eastAsia="SimSun" w:cstheme="minorHAnsi"/>
            <w:color w:val="0000FF"/>
            <w:sz w:val="20"/>
            <w:szCs w:val="20"/>
            <w:u w:val="single"/>
            <w:shd w:val="clear" w:color="auto" w:fill="FFFFFF"/>
            <w:lang w:val="en-US"/>
          </w:rPr>
          <w:t>Infection prevention and control at health care facilities (with a focus on settings with limited resources)</w:t>
        </w:r>
      </w:hyperlink>
      <w:r w:rsidR="009A7480" w:rsidRPr="00AB7D1E">
        <w:rPr>
          <w:rFonts w:eastAsia="SimSun" w:cstheme="minorHAnsi"/>
          <w:sz w:val="20"/>
          <w:szCs w:val="20"/>
          <w:lang w:val="en-US"/>
        </w:rPr>
        <w:t>, issued in 2018</w:t>
      </w:r>
    </w:p>
    <w:p w14:paraId="5F418F7C"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95" w:history="1">
        <w:r w:rsidR="009A7480" w:rsidRPr="00AB7D1E">
          <w:rPr>
            <w:rFonts w:eastAsia="SimSun" w:cstheme="minorHAnsi"/>
            <w:color w:val="0000FF"/>
            <w:sz w:val="20"/>
            <w:szCs w:val="20"/>
            <w:u w:val="single"/>
            <w:lang w:val="en-US"/>
          </w:rPr>
          <w:t>Laboratory biosafety guidance related to coronavirus disease 2019 (COVID-19)</w:t>
        </w:r>
      </w:hyperlink>
      <w:r w:rsidR="009A7480" w:rsidRPr="00AB7D1E">
        <w:rPr>
          <w:rFonts w:eastAsia="SimSun" w:cstheme="minorHAnsi"/>
          <w:color w:val="0000FF"/>
          <w:sz w:val="20"/>
          <w:szCs w:val="20"/>
          <w:u w:val="single"/>
          <w:lang w:val="en-US"/>
        </w:rPr>
        <w:t>,</w:t>
      </w:r>
      <w:r w:rsidR="009A7480" w:rsidRPr="00AB7D1E">
        <w:rPr>
          <w:rFonts w:eastAsia="SimSun" w:cstheme="minorHAnsi"/>
          <w:sz w:val="20"/>
          <w:szCs w:val="20"/>
          <w:lang w:val="en-US"/>
        </w:rPr>
        <w:t xml:space="preserve"> issued on March 18, 2020</w:t>
      </w:r>
    </w:p>
    <w:p w14:paraId="712A6CBF"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96" w:history="1">
        <w:r w:rsidR="009A7480" w:rsidRPr="00AB7D1E">
          <w:rPr>
            <w:rFonts w:eastAsia="SimSun" w:cstheme="minorHAnsi"/>
            <w:color w:val="0000FF"/>
            <w:sz w:val="20"/>
            <w:szCs w:val="20"/>
            <w:u w:val="single"/>
            <w:lang w:val="en-US"/>
          </w:rPr>
          <w:t>Laboratory Biosafety Manual, 3rd edition</w:t>
        </w:r>
      </w:hyperlink>
      <w:r w:rsidR="009A7480" w:rsidRPr="00AB7D1E">
        <w:rPr>
          <w:rFonts w:eastAsia="SimSun" w:cstheme="minorHAnsi"/>
          <w:sz w:val="20"/>
          <w:szCs w:val="20"/>
          <w:lang w:val="en-US"/>
        </w:rPr>
        <w:t>, issued in 2014</w:t>
      </w:r>
    </w:p>
    <w:p w14:paraId="039AE063" w14:textId="77777777" w:rsidR="009A7480" w:rsidRPr="00AB7D1E" w:rsidRDefault="00C40C75"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7" w:history="1">
        <w:r w:rsidR="009A7480" w:rsidRPr="00AB7D1E">
          <w:rPr>
            <w:rFonts w:eastAsia="SimSun" w:cstheme="minorHAnsi"/>
            <w:color w:val="0000FF"/>
            <w:sz w:val="20"/>
            <w:szCs w:val="20"/>
            <w:u w:val="single"/>
            <w:lang w:val="en-US"/>
          </w:rPr>
          <w:t>Laboratory testing for COVID-19, including specimen collection and shipment</w:t>
        </w:r>
      </w:hyperlink>
      <w:r w:rsidR="009A7480" w:rsidRPr="00AB7D1E">
        <w:rPr>
          <w:rFonts w:eastAsia="SimSun" w:cstheme="minorHAnsi"/>
          <w:sz w:val="20"/>
          <w:szCs w:val="20"/>
          <w:lang w:val="en-US"/>
        </w:rPr>
        <w:t>, issued on March 19, 2020</w:t>
      </w:r>
    </w:p>
    <w:p w14:paraId="679EF953" w14:textId="77777777" w:rsidR="009A7480" w:rsidRPr="00AB7D1E" w:rsidRDefault="00C40C75"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8" w:history="1">
        <w:r w:rsidR="009A7480" w:rsidRPr="00AB7D1E">
          <w:rPr>
            <w:rFonts w:eastAsia="SimSun" w:cstheme="minorHAnsi"/>
            <w:color w:val="0000FF"/>
            <w:sz w:val="20"/>
            <w:szCs w:val="20"/>
            <w:u w:val="single"/>
            <w:lang w:val="en-US"/>
          </w:rPr>
          <w:t>Prioritized Laboratory Testing Strategy According to 4Cs Transmission Scenarios</w:t>
        </w:r>
      </w:hyperlink>
      <w:r w:rsidR="009A7480" w:rsidRPr="00AB7D1E">
        <w:rPr>
          <w:rFonts w:eastAsia="SimSun" w:cstheme="minorHAnsi"/>
          <w:sz w:val="20"/>
          <w:szCs w:val="20"/>
          <w:lang w:val="en-US"/>
        </w:rPr>
        <w:t>, issued on March 21, 2020</w:t>
      </w:r>
    </w:p>
    <w:p w14:paraId="58CFCA4E" w14:textId="77777777" w:rsidR="009A7480" w:rsidRPr="00AB7D1E" w:rsidRDefault="00C40C75"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99" w:tgtFrame="_blank" w:history="1">
        <w:r w:rsidR="009A7480" w:rsidRPr="00AB7D1E">
          <w:rPr>
            <w:rFonts w:eastAsia="SimSun" w:cstheme="minorHAnsi"/>
            <w:color w:val="0000FF"/>
            <w:sz w:val="20"/>
            <w:szCs w:val="20"/>
            <w:u w:val="single"/>
            <w:shd w:val="clear" w:color="auto" w:fill="FFFFFF"/>
            <w:lang w:val="en-US"/>
          </w:rPr>
          <w:t>Infection Prevention and Control for the safe management of a dead body in the context of COVID-19</w:t>
        </w:r>
      </w:hyperlink>
      <w:r w:rsidR="009A7480" w:rsidRPr="00AB7D1E">
        <w:rPr>
          <w:rFonts w:eastAsia="SimSun" w:cstheme="minorHAnsi"/>
          <w:sz w:val="20"/>
          <w:szCs w:val="20"/>
          <w:lang w:val="en-US"/>
        </w:rPr>
        <w:t>, issued on March 24, 2020</w:t>
      </w:r>
    </w:p>
    <w:p w14:paraId="3690F46B" w14:textId="77777777" w:rsidR="009A7480" w:rsidRPr="00AB7D1E" w:rsidRDefault="00C40C75"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100" w:history="1">
        <w:r w:rsidR="009A7480" w:rsidRPr="00AB7D1E">
          <w:rPr>
            <w:rFonts w:eastAsia="SimSun" w:cstheme="minorHAnsi"/>
            <w:color w:val="0000FF"/>
            <w:sz w:val="20"/>
            <w:szCs w:val="20"/>
            <w:u w:val="single"/>
            <w:lang w:val="en-US"/>
          </w:rPr>
          <w:t>Key considerations for repatriation and quarantine of travelers in relation to the outbreak COVID-19</w:t>
        </w:r>
      </w:hyperlink>
      <w:r w:rsidR="009A7480" w:rsidRPr="00AB7D1E">
        <w:rPr>
          <w:rFonts w:eastAsia="SimSun" w:cstheme="minorHAnsi"/>
          <w:sz w:val="20"/>
          <w:szCs w:val="20"/>
          <w:lang w:val="en-US"/>
        </w:rPr>
        <w:t>, issued on February 11, 2020</w:t>
      </w:r>
    </w:p>
    <w:p w14:paraId="71FD7DCA" w14:textId="77777777" w:rsidR="009A7480" w:rsidRPr="00AB7D1E" w:rsidRDefault="00C40C75" w:rsidP="00BE60A0">
      <w:pPr>
        <w:numPr>
          <w:ilvl w:val="0"/>
          <w:numId w:val="37"/>
        </w:numPr>
        <w:suppressAutoHyphens w:val="0"/>
        <w:autoSpaceDN/>
        <w:snapToGrid w:val="0"/>
        <w:spacing w:before="0" w:after="200" w:line="240" w:lineRule="auto"/>
        <w:contextualSpacing/>
        <w:textAlignment w:val="auto"/>
        <w:rPr>
          <w:rFonts w:eastAsia="SimSun" w:cstheme="minorHAnsi"/>
          <w:sz w:val="20"/>
          <w:szCs w:val="20"/>
          <w:lang w:val="en-US"/>
        </w:rPr>
      </w:pPr>
      <w:hyperlink r:id="rId101" w:history="1">
        <w:r w:rsidR="009A7480" w:rsidRPr="00AB7D1E">
          <w:rPr>
            <w:rFonts w:eastAsia="SimSun" w:cstheme="minorHAnsi"/>
            <w:color w:val="0000FF"/>
            <w:sz w:val="20"/>
            <w:szCs w:val="20"/>
            <w:u w:val="single"/>
            <w:lang w:val="en-US"/>
          </w:rPr>
          <w:t>Preparedness, prevention and control of COVID-19 for refugees and migrants in non-camp settings</w:t>
        </w:r>
      </w:hyperlink>
      <w:r w:rsidR="009A7480" w:rsidRPr="00AB7D1E">
        <w:rPr>
          <w:rFonts w:eastAsia="SimSun" w:cstheme="minorHAnsi"/>
          <w:sz w:val="20"/>
          <w:szCs w:val="20"/>
          <w:lang w:val="en-US"/>
        </w:rPr>
        <w:t>, issued on April 17, 2020</w:t>
      </w:r>
    </w:p>
    <w:p w14:paraId="24CFB52E"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2" w:history="1">
        <w:r w:rsidR="009A7480" w:rsidRPr="00AB7D1E">
          <w:rPr>
            <w:rFonts w:eastAsia="SimSun" w:cstheme="minorHAnsi"/>
            <w:color w:val="0000FF"/>
            <w:sz w:val="20"/>
            <w:szCs w:val="20"/>
            <w:u w:val="single"/>
            <w:lang w:val="en-US"/>
          </w:rPr>
          <w:t>Coronavirus disease (COVID-19) outbreak: rights, roles and responsibilities of health workers, including key considerations for occupational safety and health</w:t>
        </w:r>
      </w:hyperlink>
      <w:r w:rsidR="009A7480" w:rsidRPr="00AB7D1E">
        <w:rPr>
          <w:rFonts w:eastAsia="SimSun" w:cstheme="minorHAnsi"/>
          <w:color w:val="0000FF"/>
          <w:sz w:val="20"/>
          <w:szCs w:val="20"/>
          <w:u w:val="single"/>
          <w:lang w:val="en-US"/>
        </w:rPr>
        <w:t xml:space="preserve">, </w:t>
      </w:r>
      <w:r w:rsidR="009A7480" w:rsidRPr="00AB7D1E">
        <w:rPr>
          <w:rFonts w:eastAsia="SimSun" w:cstheme="minorHAnsi"/>
          <w:sz w:val="20"/>
          <w:szCs w:val="20"/>
          <w:lang w:val="en-US"/>
        </w:rPr>
        <w:t>issued on March 18, 2020</w:t>
      </w:r>
    </w:p>
    <w:p w14:paraId="4F6676DC"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3" w:history="1">
        <w:r w:rsidR="009A7480" w:rsidRPr="00AB7D1E">
          <w:rPr>
            <w:rFonts w:eastAsia="SimSun" w:cstheme="minorHAnsi"/>
            <w:color w:val="0000FF"/>
            <w:sz w:val="20"/>
            <w:szCs w:val="20"/>
            <w:u w:val="single"/>
            <w:lang w:val="en-US"/>
          </w:rPr>
          <w:t>Oxygen sources and distribution for COVID-19 treatment centers</w:t>
        </w:r>
      </w:hyperlink>
      <w:r w:rsidR="009A7480" w:rsidRPr="00AB7D1E">
        <w:rPr>
          <w:rFonts w:eastAsia="SimSun" w:cstheme="minorHAnsi"/>
          <w:sz w:val="20"/>
          <w:szCs w:val="20"/>
          <w:lang w:val="en-US"/>
        </w:rPr>
        <w:t>, issued on April 4, 2020</w:t>
      </w:r>
    </w:p>
    <w:p w14:paraId="28EAA4E6"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4" w:history="1">
        <w:r w:rsidR="009A7480" w:rsidRPr="00AB7D1E">
          <w:rPr>
            <w:rFonts w:eastAsia="SimSun" w:cstheme="minorHAnsi"/>
            <w:color w:val="0000FF"/>
            <w:sz w:val="20"/>
            <w:szCs w:val="20"/>
            <w:u w:val="single"/>
            <w:lang w:val="en-US"/>
          </w:rPr>
          <w:t>Risk Communication and Community Engagement (RCCE) Action Plan Guidance COVID-19 Preparedness and Response</w:t>
        </w:r>
      </w:hyperlink>
      <w:r w:rsidR="009A7480" w:rsidRPr="00AB7D1E">
        <w:rPr>
          <w:rFonts w:eastAsia="SimSun" w:cstheme="minorHAnsi"/>
          <w:sz w:val="20"/>
          <w:szCs w:val="20"/>
          <w:lang w:val="en-US"/>
        </w:rPr>
        <w:t>, issued on March 16, 2020</w:t>
      </w:r>
    </w:p>
    <w:p w14:paraId="4CC4D043"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color w:val="0000FF"/>
          <w:sz w:val="20"/>
          <w:szCs w:val="20"/>
          <w:u w:val="single"/>
          <w:lang w:val="en-US"/>
        </w:rPr>
      </w:pPr>
      <w:hyperlink r:id="rId105" w:history="1">
        <w:r w:rsidR="009A7480" w:rsidRPr="00AB7D1E">
          <w:rPr>
            <w:rFonts w:eastAsia="SimSun" w:cstheme="minorHAnsi"/>
            <w:color w:val="0000FF"/>
            <w:sz w:val="20"/>
            <w:szCs w:val="20"/>
            <w:u w:val="single"/>
            <w:lang w:val="en-US"/>
          </w:rPr>
          <w:t>Considerations for quarantine of individuals in the context of containment for coronavirus disease (COVID-19)</w:t>
        </w:r>
      </w:hyperlink>
      <w:r w:rsidR="009A7480" w:rsidRPr="00AB7D1E">
        <w:rPr>
          <w:rFonts w:eastAsia="SimSun" w:cstheme="minorHAnsi"/>
          <w:color w:val="0000FF"/>
          <w:sz w:val="20"/>
          <w:szCs w:val="20"/>
          <w:u w:val="single"/>
          <w:lang w:val="en-US"/>
        </w:rPr>
        <w:t>, issued on March 19, 2020</w:t>
      </w:r>
    </w:p>
    <w:p w14:paraId="357689D6"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6" w:history="1">
        <w:r w:rsidR="009A7480" w:rsidRPr="00AB7D1E">
          <w:rPr>
            <w:rFonts w:eastAsia="SimSun" w:cstheme="minorHAnsi"/>
            <w:color w:val="0000FF"/>
            <w:sz w:val="20"/>
            <w:szCs w:val="20"/>
            <w:u w:val="single"/>
            <w:lang w:val="en-US"/>
          </w:rPr>
          <w:t>Operational considerations for case management of COVID-19 in health facility and community</w:t>
        </w:r>
      </w:hyperlink>
      <w:r w:rsidR="009A7480" w:rsidRPr="00AB7D1E">
        <w:rPr>
          <w:rFonts w:eastAsia="SimSun" w:cstheme="minorHAnsi"/>
          <w:sz w:val="20"/>
          <w:szCs w:val="20"/>
          <w:lang w:val="en-US"/>
        </w:rPr>
        <w:t>, issued on March 19, 2020</w:t>
      </w:r>
    </w:p>
    <w:p w14:paraId="1F929503"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7" w:history="1">
        <w:r w:rsidR="009A7480" w:rsidRPr="00AB7D1E">
          <w:rPr>
            <w:rFonts w:eastAsia="SimSun" w:cstheme="minorHAnsi"/>
            <w:color w:val="0000FF"/>
            <w:sz w:val="20"/>
            <w:szCs w:val="20"/>
            <w:u w:val="single"/>
            <w:lang w:val="en-US"/>
          </w:rPr>
          <w:t>Rational use of personal protective equipment for coronavirus disease 2019 (COVID-19)</w:t>
        </w:r>
      </w:hyperlink>
      <w:r w:rsidR="009A7480" w:rsidRPr="00AB7D1E">
        <w:rPr>
          <w:rFonts w:eastAsia="SimSun" w:cstheme="minorHAnsi"/>
          <w:color w:val="0000FF"/>
          <w:sz w:val="20"/>
          <w:szCs w:val="20"/>
          <w:u w:val="single"/>
          <w:lang w:val="en-US"/>
        </w:rPr>
        <w:t>,</w:t>
      </w:r>
      <w:r w:rsidR="009A7480" w:rsidRPr="00AB7D1E">
        <w:rPr>
          <w:rFonts w:eastAsia="SimSun" w:cstheme="minorHAnsi"/>
          <w:sz w:val="20"/>
          <w:szCs w:val="20"/>
          <w:lang w:val="en-US"/>
        </w:rPr>
        <w:t xml:space="preserve"> issued on February 27, 2020</w:t>
      </w:r>
    </w:p>
    <w:p w14:paraId="556B4564"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8" w:history="1">
        <w:r w:rsidR="009A7480" w:rsidRPr="00AB7D1E">
          <w:rPr>
            <w:rFonts w:eastAsia="SimSun" w:cstheme="minorHAnsi"/>
            <w:color w:val="0000FF"/>
            <w:sz w:val="20"/>
            <w:szCs w:val="20"/>
            <w:u w:val="single"/>
            <w:lang w:val="en-US"/>
          </w:rPr>
          <w:t>Getting your workplace ready for COVID-19</w:t>
        </w:r>
      </w:hyperlink>
      <w:r w:rsidR="009A7480" w:rsidRPr="00AB7D1E">
        <w:rPr>
          <w:rFonts w:eastAsia="SimSun" w:cstheme="minorHAnsi"/>
          <w:color w:val="0000FF"/>
          <w:sz w:val="20"/>
          <w:szCs w:val="20"/>
          <w:u w:val="single"/>
          <w:lang w:val="en-US"/>
        </w:rPr>
        <w:t xml:space="preserve">, </w:t>
      </w:r>
      <w:r w:rsidR="009A7480" w:rsidRPr="00AB7D1E">
        <w:rPr>
          <w:rFonts w:eastAsia="SimSun" w:cstheme="minorHAnsi"/>
          <w:sz w:val="20"/>
          <w:szCs w:val="20"/>
          <w:lang w:val="en-US"/>
        </w:rPr>
        <w:t>issued on March 19, 2020</w:t>
      </w:r>
    </w:p>
    <w:p w14:paraId="0F51FB1A"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09" w:history="1">
        <w:r w:rsidR="009A7480" w:rsidRPr="00AB7D1E">
          <w:rPr>
            <w:rFonts w:eastAsia="SimSun" w:cstheme="minorHAnsi"/>
            <w:color w:val="0000FF"/>
            <w:sz w:val="20"/>
            <w:szCs w:val="20"/>
            <w:u w:val="single"/>
            <w:lang w:val="en-US"/>
          </w:rPr>
          <w:t>Water, sanitation, hygiene and waste management for COVID-19</w:t>
        </w:r>
      </w:hyperlink>
      <w:r w:rsidR="009A7480" w:rsidRPr="00AB7D1E">
        <w:rPr>
          <w:rFonts w:eastAsia="SimSun" w:cstheme="minorHAnsi"/>
          <w:sz w:val="20"/>
          <w:szCs w:val="20"/>
          <w:lang w:val="en-US"/>
        </w:rPr>
        <w:t>, issued on March 19, 2020</w:t>
      </w:r>
    </w:p>
    <w:p w14:paraId="571ACBE4"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10" w:history="1">
        <w:r w:rsidR="009A7480" w:rsidRPr="00AB7D1E">
          <w:rPr>
            <w:rFonts w:eastAsia="SimSun" w:cstheme="minorHAnsi"/>
            <w:color w:val="0000FF"/>
            <w:sz w:val="20"/>
            <w:szCs w:val="20"/>
            <w:u w:val="single"/>
            <w:lang w:val="en-US"/>
          </w:rPr>
          <w:t>Safe management of wastes from health-care activities</w:t>
        </w:r>
      </w:hyperlink>
      <w:r w:rsidR="009A7480" w:rsidRPr="00AB7D1E">
        <w:rPr>
          <w:rFonts w:eastAsia="SimSun" w:cstheme="minorHAnsi"/>
          <w:sz w:val="20"/>
          <w:szCs w:val="20"/>
          <w:lang w:val="en-US"/>
        </w:rPr>
        <w:t>, issued in 2014</w:t>
      </w:r>
    </w:p>
    <w:p w14:paraId="3A0CD38D"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11" w:history="1">
        <w:r w:rsidR="009A7480" w:rsidRPr="00AB7D1E">
          <w:rPr>
            <w:rFonts w:eastAsia="SimSun" w:cstheme="minorHAnsi"/>
            <w:color w:val="0000FF"/>
            <w:sz w:val="20"/>
            <w:szCs w:val="20"/>
            <w:u w:val="single"/>
            <w:lang w:val="en-US"/>
          </w:rPr>
          <w:t>Advice on the use of masks in the community, during home care and in healthcare settings in the context of the novel coronavirus (COVID-19) outbreak</w:t>
        </w:r>
      </w:hyperlink>
      <w:r w:rsidR="009A7480" w:rsidRPr="00AB7D1E">
        <w:rPr>
          <w:rFonts w:eastAsia="SimSun" w:cstheme="minorHAnsi"/>
          <w:color w:val="0000FF"/>
          <w:sz w:val="20"/>
          <w:szCs w:val="20"/>
          <w:u w:val="single"/>
          <w:lang w:val="en-US"/>
        </w:rPr>
        <w:t>,</w:t>
      </w:r>
      <w:r w:rsidR="009A7480" w:rsidRPr="00AB7D1E">
        <w:rPr>
          <w:rFonts w:eastAsia="SimSun" w:cstheme="minorHAnsi"/>
          <w:sz w:val="20"/>
          <w:szCs w:val="20"/>
          <w:lang w:val="en-US"/>
        </w:rPr>
        <w:t xml:space="preserve"> issued on March 19, 2020</w:t>
      </w:r>
    </w:p>
    <w:p w14:paraId="191CAD61" w14:textId="77777777" w:rsidR="009A7480" w:rsidRPr="00AB7D1E" w:rsidRDefault="00C40C75" w:rsidP="00BE60A0">
      <w:pPr>
        <w:numPr>
          <w:ilvl w:val="0"/>
          <w:numId w:val="37"/>
        </w:numPr>
        <w:suppressAutoHyphens w:val="0"/>
        <w:autoSpaceDN/>
        <w:spacing w:before="0" w:after="200" w:line="240" w:lineRule="auto"/>
        <w:contextualSpacing/>
        <w:textAlignment w:val="auto"/>
        <w:rPr>
          <w:rFonts w:eastAsia="SimSun" w:cstheme="minorHAnsi"/>
          <w:sz w:val="20"/>
          <w:szCs w:val="20"/>
          <w:lang w:val="en-US"/>
        </w:rPr>
      </w:pPr>
      <w:hyperlink r:id="rId112" w:history="1">
        <w:r w:rsidR="009A7480" w:rsidRPr="00AB7D1E">
          <w:rPr>
            <w:rFonts w:eastAsia="SimSun" w:cstheme="minorHAnsi"/>
            <w:color w:val="0000FF"/>
            <w:sz w:val="20"/>
            <w:szCs w:val="20"/>
            <w:u w:val="single"/>
            <w:lang w:val="en-US"/>
          </w:rPr>
          <w:t>Disability Considerations during the COVID-19</w:t>
        </w:r>
      </w:hyperlink>
      <w:r w:rsidR="009A7480" w:rsidRPr="00AB7D1E">
        <w:rPr>
          <w:rFonts w:eastAsia="SimSun" w:cstheme="minorHAnsi"/>
          <w:color w:val="0000FF"/>
          <w:sz w:val="20"/>
          <w:szCs w:val="20"/>
          <w:u w:val="single"/>
          <w:lang w:val="en-US"/>
        </w:rPr>
        <w:t xml:space="preserve"> outbreak</w:t>
      </w:r>
      <w:r w:rsidR="009A7480" w:rsidRPr="00AB7D1E">
        <w:rPr>
          <w:rFonts w:eastAsia="SimSun" w:cstheme="minorHAnsi"/>
          <w:sz w:val="20"/>
          <w:szCs w:val="20"/>
          <w:lang w:val="en-US"/>
        </w:rPr>
        <w:t xml:space="preserve">, issued on March 26, 2020 </w:t>
      </w:r>
    </w:p>
    <w:p w14:paraId="7C341DF4" w14:textId="77777777" w:rsidR="009A7480" w:rsidRPr="00AB7D1E" w:rsidRDefault="009A7480" w:rsidP="009A7480">
      <w:pPr>
        <w:suppressAutoHyphens w:val="0"/>
        <w:autoSpaceDN/>
        <w:spacing w:before="0" w:after="200" w:line="240" w:lineRule="auto"/>
        <w:textAlignment w:val="auto"/>
        <w:rPr>
          <w:rFonts w:eastAsia="SimSun" w:cstheme="minorHAnsi"/>
          <w:b/>
          <w:sz w:val="20"/>
          <w:szCs w:val="20"/>
          <w:lang w:val="en-US"/>
        </w:rPr>
      </w:pPr>
    </w:p>
    <w:p w14:paraId="766E10EC" w14:textId="77777777" w:rsidR="009A7480" w:rsidRPr="00AB7D1E" w:rsidRDefault="009A7480" w:rsidP="009A7480">
      <w:pPr>
        <w:suppressAutoHyphens w:val="0"/>
        <w:autoSpaceDN/>
        <w:spacing w:before="0" w:after="200" w:line="240" w:lineRule="auto"/>
        <w:textAlignment w:val="auto"/>
        <w:rPr>
          <w:rFonts w:eastAsia="SimSun" w:cstheme="minorHAnsi"/>
          <w:b/>
          <w:sz w:val="20"/>
          <w:szCs w:val="20"/>
          <w:lang w:val="en-US"/>
        </w:rPr>
      </w:pPr>
      <w:r w:rsidRPr="00AB7D1E">
        <w:rPr>
          <w:rFonts w:eastAsia="SimSun" w:cstheme="minorHAnsi"/>
          <w:b/>
          <w:sz w:val="20"/>
          <w:szCs w:val="20"/>
          <w:lang w:val="en-US"/>
        </w:rPr>
        <w:t>WORLD BANK GROUP GUIDANCE</w:t>
      </w:r>
    </w:p>
    <w:p w14:paraId="778C3487" w14:textId="77777777" w:rsidR="009A7480" w:rsidRPr="00AB7D1E" w:rsidRDefault="00C40C75"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3" w:history="1">
        <w:r w:rsidR="009A7480" w:rsidRPr="00AB7D1E">
          <w:rPr>
            <w:rFonts w:eastAsia="SimSun" w:cstheme="minorHAnsi"/>
            <w:color w:val="0000FF"/>
            <w:sz w:val="20"/>
            <w:szCs w:val="20"/>
            <w:u w:val="single"/>
            <w:lang w:val="en-US"/>
          </w:rPr>
          <w:t>Technical Note: Public Consultations and Stakeholder Engagement in WB-supported operations when there are constraints on conducting public meetings</w:t>
        </w:r>
      </w:hyperlink>
      <w:r w:rsidR="009A7480" w:rsidRPr="00AB7D1E">
        <w:rPr>
          <w:rFonts w:eastAsia="SimSun" w:cstheme="minorHAnsi"/>
          <w:sz w:val="20"/>
          <w:szCs w:val="20"/>
          <w:lang w:val="en-US"/>
        </w:rPr>
        <w:t>, issued on March 20, 2020</w:t>
      </w:r>
    </w:p>
    <w:p w14:paraId="58C8168D" w14:textId="77777777" w:rsidR="009A7480" w:rsidRPr="00AB7D1E" w:rsidRDefault="00C40C75"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4" w:history="1">
        <w:r w:rsidR="009A7480" w:rsidRPr="00AB7D1E">
          <w:rPr>
            <w:rFonts w:eastAsia="SimSun" w:cstheme="minorHAnsi"/>
            <w:color w:val="0000FF"/>
            <w:sz w:val="20"/>
            <w:szCs w:val="20"/>
            <w:u w:val="single"/>
            <w:lang w:val="en-US"/>
          </w:rPr>
          <w:t>Technical Note: Use of Military Forces to Assist in COVID-19 Operations</w:t>
        </w:r>
      </w:hyperlink>
      <w:r w:rsidR="009A7480" w:rsidRPr="00AB7D1E">
        <w:rPr>
          <w:rFonts w:eastAsia="SimSun" w:cstheme="minorHAnsi"/>
          <w:sz w:val="20"/>
          <w:szCs w:val="20"/>
          <w:lang w:val="en-US"/>
        </w:rPr>
        <w:t>, issued on March 25, 2020</w:t>
      </w:r>
    </w:p>
    <w:p w14:paraId="0F1614A3" w14:textId="77777777" w:rsidR="009A7480" w:rsidRPr="00AB7D1E" w:rsidRDefault="00C40C75"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5" w:history="1">
        <w:r w:rsidR="009A7480" w:rsidRPr="00AB7D1E">
          <w:rPr>
            <w:rFonts w:eastAsia="SimSun" w:cstheme="minorHAnsi"/>
            <w:color w:val="0000FF"/>
            <w:sz w:val="20"/>
            <w:szCs w:val="20"/>
            <w:u w:val="single"/>
            <w:lang w:val="en-US"/>
          </w:rPr>
          <w:t>ESF/Safeguards Interim Note: COVID-19 Considerations in Construction/Civil Works Projects</w:t>
        </w:r>
      </w:hyperlink>
      <w:r w:rsidR="009A7480" w:rsidRPr="00AB7D1E">
        <w:rPr>
          <w:rFonts w:eastAsia="SimSun" w:cstheme="minorHAnsi"/>
          <w:sz w:val="20"/>
          <w:szCs w:val="20"/>
          <w:lang w:val="en-US"/>
        </w:rPr>
        <w:t>, issued on April 7, 2020</w:t>
      </w:r>
    </w:p>
    <w:p w14:paraId="5D227CE4" w14:textId="77777777" w:rsidR="009A7480" w:rsidRPr="00AB7D1E" w:rsidRDefault="00C40C75"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6" w:history="1">
        <w:r w:rsidR="009A7480" w:rsidRPr="00AB7D1E">
          <w:rPr>
            <w:rFonts w:eastAsia="SimSun" w:cstheme="minorHAnsi"/>
            <w:color w:val="0000FF"/>
            <w:sz w:val="20"/>
            <w:szCs w:val="20"/>
            <w:u w:val="single"/>
            <w:lang w:val="en-US"/>
          </w:rPr>
          <w:t>Technical Note on SEA/H for HNP COVID Response Operations</w:t>
        </w:r>
      </w:hyperlink>
      <w:r w:rsidR="009A7480" w:rsidRPr="00AB7D1E">
        <w:rPr>
          <w:rFonts w:eastAsia="SimSun" w:cstheme="minorHAnsi"/>
          <w:color w:val="0000FF"/>
          <w:sz w:val="20"/>
          <w:szCs w:val="20"/>
          <w:u w:val="single"/>
          <w:lang w:val="en-US"/>
        </w:rPr>
        <w:t xml:space="preserve">, </w:t>
      </w:r>
      <w:r w:rsidR="009A7480" w:rsidRPr="00AB7D1E">
        <w:rPr>
          <w:rFonts w:eastAsia="SimSun" w:cstheme="minorHAnsi"/>
          <w:sz w:val="20"/>
          <w:szCs w:val="20"/>
          <w:lang w:val="en-US"/>
        </w:rPr>
        <w:t>issued in March 2020</w:t>
      </w:r>
    </w:p>
    <w:p w14:paraId="0F1E2234" w14:textId="77777777" w:rsidR="009A7480" w:rsidRPr="00AB7D1E" w:rsidRDefault="00C40C75"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7" w:history="1">
        <w:r w:rsidR="009A7480" w:rsidRPr="00AB7D1E">
          <w:rPr>
            <w:rFonts w:eastAsia="SimSun" w:cstheme="minorHAnsi"/>
            <w:color w:val="0000FF"/>
            <w:sz w:val="20"/>
            <w:szCs w:val="20"/>
            <w:u w:val="single"/>
            <w:lang w:val="en-US"/>
          </w:rPr>
          <w:t>Interim Advice for IFC Clients on Preventing and Managing Health Risks of COVID-19 in the Workplace</w:t>
        </w:r>
      </w:hyperlink>
      <w:r w:rsidR="009A7480" w:rsidRPr="00AB7D1E">
        <w:rPr>
          <w:rFonts w:eastAsia="SimSun" w:cstheme="minorHAnsi"/>
          <w:sz w:val="20"/>
          <w:szCs w:val="20"/>
          <w:lang w:val="en-US"/>
        </w:rPr>
        <w:t>, issued on April 6, 2020</w:t>
      </w:r>
    </w:p>
    <w:p w14:paraId="1212E389" w14:textId="77777777" w:rsidR="009A7480" w:rsidRPr="00AB7D1E" w:rsidRDefault="00C40C75"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8" w:history="1">
        <w:r w:rsidR="009A7480" w:rsidRPr="00AB7D1E">
          <w:rPr>
            <w:rFonts w:eastAsia="SimSun" w:cstheme="minorHAnsi"/>
            <w:color w:val="0000FF"/>
            <w:sz w:val="20"/>
            <w:szCs w:val="20"/>
            <w:u w:val="single"/>
            <w:lang w:val="en-US"/>
          </w:rPr>
          <w:t>Interim Advice for IFC Clients on Supporting Workers in the Context of COVID-19</w:t>
        </w:r>
      </w:hyperlink>
      <w:r w:rsidR="009A7480" w:rsidRPr="00AB7D1E">
        <w:rPr>
          <w:rFonts w:eastAsia="SimSun" w:cstheme="minorHAnsi"/>
          <w:sz w:val="20"/>
          <w:szCs w:val="20"/>
          <w:lang w:val="en-US"/>
        </w:rPr>
        <w:t>, issued on April 6, 2020</w:t>
      </w:r>
    </w:p>
    <w:p w14:paraId="79AFAC8C" w14:textId="77777777" w:rsidR="009A7480" w:rsidRPr="00AB7D1E" w:rsidRDefault="00C40C75"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19" w:history="1">
        <w:r w:rsidR="009A7480" w:rsidRPr="00AB7D1E">
          <w:rPr>
            <w:rFonts w:eastAsia="SimSun" w:cstheme="minorHAnsi"/>
            <w:color w:val="0000FF"/>
            <w:sz w:val="20"/>
            <w:szCs w:val="20"/>
            <w:u w:val="single"/>
            <w:lang w:val="en-US"/>
          </w:rPr>
          <w:t>IFC Tip Sheet for Company Leadership on Crisis Response: Facing the COVID-19 Pandemic</w:t>
        </w:r>
      </w:hyperlink>
      <w:r w:rsidR="009A7480" w:rsidRPr="00AB7D1E">
        <w:rPr>
          <w:rFonts w:eastAsia="SimSun" w:cstheme="minorHAnsi"/>
          <w:sz w:val="20"/>
          <w:szCs w:val="20"/>
          <w:lang w:val="en-US"/>
        </w:rPr>
        <w:t>, issued on April 6, 2020</w:t>
      </w:r>
    </w:p>
    <w:p w14:paraId="637B7663" w14:textId="77777777" w:rsidR="009A7480" w:rsidRPr="00AB7D1E" w:rsidRDefault="00C40C75" w:rsidP="00BE60A0">
      <w:pPr>
        <w:numPr>
          <w:ilvl w:val="0"/>
          <w:numId w:val="36"/>
        </w:numPr>
        <w:suppressAutoHyphens w:val="0"/>
        <w:autoSpaceDN/>
        <w:spacing w:before="0" w:after="200" w:line="240" w:lineRule="auto"/>
        <w:contextualSpacing/>
        <w:textAlignment w:val="auto"/>
        <w:rPr>
          <w:rFonts w:eastAsia="SimSun" w:cstheme="minorHAnsi"/>
          <w:sz w:val="20"/>
          <w:szCs w:val="20"/>
          <w:lang w:val="en-US"/>
        </w:rPr>
      </w:pPr>
      <w:hyperlink r:id="rId120" w:history="1">
        <w:r w:rsidR="009A7480" w:rsidRPr="00AB7D1E">
          <w:rPr>
            <w:rFonts w:eastAsia="SimSun" w:cstheme="minorHAnsi"/>
            <w:color w:val="0000FF"/>
            <w:sz w:val="20"/>
            <w:szCs w:val="20"/>
            <w:u w:val="single"/>
            <w:lang w:val="en-US"/>
          </w:rPr>
          <w:t>WBG EHS Guidelines for Healthcare Facilities</w:t>
        </w:r>
      </w:hyperlink>
      <w:r w:rsidR="009A7480" w:rsidRPr="00AB7D1E">
        <w:rPr>
          <w:rFonts w:eastAsia="SimSun" w:cstheme="minorHAnsi"/>
          <w:sz w:val="20"/>
          <w:szCs w:val="20"/>
          <w:lang w:val="en-US"/>
        </w:rPr>
        <w:t>, issued on April 30, 2007</w:t>
      </w:r>
    </w:p>
    <w:p w14:paraId="127993CD" w14:textId="77777777" w:rsidR="009A7480" w:rsidRPr="00AB7D1E" w:rsidRDefault="009A7480" w:rsidP="009A7480">
      <w:pPr>
        <w:suppressAutoHyphens w:val="0"/>
        <w:autoSpaceDN/>
        <w:spacing w:before="0" w:after="200" w:line="240" w:lineRule="auto"/>
        <w:textAlignment w:val="auto"/>
        <w:rPr>
          <w:rFonts w:eastAsia="SimSun" w:cstheme="minorHAnsi"/>
          <w:sz w:val="20"/>
          <w:szCs w:val="20"/>
          <w:lang w:val="en-US"/>
        </w:rPr>
      </w:pPr>
    </w:p>
    <w:p w14:paraId="30E8A17B" w14:textId="77777777" w:rsidR="00EC6200" w:rsidRPr="00AB7D1E" w:rsidRDefault="00EC6200" w:rsidP="003E0EA5">
      <w:pPr>
        <w:suppressAutoHyphens w:val="0"/>
        <w:autoSpaceDN/>
        <w:spacing w:before="0" w:after="200" w:line="240" w:lineRule="auto"/>
        <w:textAlignment w:val="auto"/>
        <w:rPr>
          <w:rFonts w:eastAsia="SimSun" w:cs="Calibri"/>
          <w:b/>
          <w:sz w:val="20"/>
          <w:szCs w:val="20"/>
          <w:lang w:val="en-US"/>
        </w:rPr>
      </w:pPr>
      <w:r w:rsidRPr="00AB7D1E">
        <w:rPr>
          <w:rFonts w:eastAsia="SimSun" w:cs="Calibri"/>
          <w:b/>
          <w:sz w:val="20"/>
          <w:szCs w:val="20"/>
          <w:lang w:val="en-US"/>
        </w:rPr>
        <w:t>ILO GUIDANCE</w:t>
      </w:r>
    </w:p>
    <w:p w14:paraId="6787AE5E" w14:textId="77777777" w:rsidR="00EC6200" w:rsidRPr="00AB7D1E" w:rsidRDefault="00C40C75" w:rsidP="00BE60A0">
      <w:pPr>
        <w:numPr>
          <w:ilvl w:val="0"/>
          <w:numId w:val="39"/>
        </w:numPr>
        <w:suppressAutoHyphens w:val="0"/>
        <w:autoSpaceDN/>
        <w:spacing w:before="0" w:after="200" w:line="240" w:lineRule="auto"/>
        <w:contextualSpacing/>
        <w:textAlignment w:val="auto"/>
        <w:rPr>
          <w:rFonts w:eastAsia="SimSun" w:cs="Calibri"/>
          <w:sz w:val="20"/>
          <w:szCs w:val="20"/>
          <w:lang w:val="en-US"/>
        </w:rPr>
      </w:pPr>
      <w:hyperlink r:id="rId121" w:history="1">
        <w:r w:rsidR="00EC6200" w:rsidRPr="00AB7D1E">
          <w:rPr>
            <w:rFonts w:eastAsia="SimSun" w:cs="Calibri"/>
            <w:color w:val="0000FF"/>
            <w:sz w:val="20"/>
            <w:szCs w:val="20"/>
            <w:u w:val="single"/>
            <w:lang w:val="en-US"/>
          </w:rPr>
          <w:t>ILO Standards and COVID-19 FAQ</w:t>
        </w:r>
      </w:hyperlink>
      <w:r w:rsidR="00EC6200" w:rsidRPr="00AB7D1E">
        <w:rPr>
          <w:rFonts w:eastAsia="SimSun" w:cs="Calibri"/>
          <w:sz w:val="20"/>
          <w:szCs w:val="20"/>
          <w:lang w:val="en-US"/>
        </w:rPr>
        <w:t>, issued on March 23, 2020 (provides a compilation of answers to most frequently asked questions related to international labor standards and COVID-19)</w:t>
      </w:r>
    </w:p>
    <w:p w14:paraId="5B393F50" w14:textId="77777777" w:rsidR="00EC6200" w:rsidRPr="00AB7D1E" w:rsidRDefault="00EC6200" w:rsidP="003E0EA5">
      <w:pPr>
        <w:suppressAutoHyphens w:val="0"/>
        <w:autoSpaceDN/>
        <w:spacing w:before="0" w:after="200" w:line="240" w:lineRule="auto"/>
        <w:textAlignment w:val="auto"/>
        <w:rPr>
          <w:rFonts w:eastAsia="SimSun" w:cs="Calibri"/>
          <w:sz w:val="20"/>
          <w:szCs w:val="20"/>
          <w:lang w:val="en-US"/>
        </w:rPr>
      </w:pPr>
    </w:p>
    <w:p w14:paraId="3E3EC0DF" w14:textId="7D69BC2A" w:rsidR="00EC6200" w:rsidRPr="00AB7D1E" w:rsidRDefault="00EC6200" w:rsidP="003E0EA5">
      <w:pPr>
        <w:suppressAutoHyphens w:val="0"/>
        <w:autoSpaceDN/>
        <w:spacing w:before="0" w:after="200" w:line="240" w:lineRule="auto"/>
        <w:textAlignment w:val="auto"/>
        <w:rPr>
          <w:rFonts w:eastAsia="SimSun" w:cs="Calibri"/>
          <w:b/>
          <w:bCs/>
          <w:sz w:val="20"/>
          <w:szCs w:val="20"/>
          <w:lang w:val="en-US"/>
        </w:rPr>
      </w:pPr>
      <w:r w:rsidRPr="00AB7D1E">
        <w:rPr>
          <w:rFonts w:eastAsia="SimSun" w:cs="Calibri"/>
          <w:b/>
          <w:bCs/>
          <w:sz w:val="20"/>
          <w:szCs w:val="20"/>
          <w:lang w:val="en-US"/>
        </w:rPr>
        <w:t>CROATIAN GUIDANCE:</w:t>
      </w:r>
    </w:p>
    <w:p w14:paraId="3415F2DF" w14:textId="77777777" w:rsidR="009A7480" w:rsidRPr="00AB7D1E" w:rsidRDefault="00EC6200" w:rsidP="00BE60A0">
      <w:pPr>
        <w:pStyle w:val="ListParagraph"/>
        <w:numPr>
          <w:ilvl w:val="0"/>
          <w:numId w:val="60"/>
        </w:numPr>
        <w:suppressAutoHyphens w:val="0"/>
        <w:autoSpaceDN/>
        <w:spacing w:before="0" w:after="200" w:line="240" w:lineRule="auto"/>
        <w:ind w:left="426" w:hanging="426"/>
        <w:textAlignment w:val="auto"/>
        <w:rPr>
          <w:rFonts w:eastAsia="SimSun" w:cs="Calibri"/>
          <w:sz w:val="20"/>
          <w:szCs w:val="20"/>
          <w:lang w:val="en-US"/>
        </w:rPr>
      </w:pPr>
      <w:bookmarkStart w:id="297" w:name="_Hlk47813400"/>
      <w:r w:rsidRPr="00AB7D1E">
        <w:rPr>
          <w:rFonts w:eastAsia="SimSun" w:cs="Calibri"/>
          <w:sz w:val="20"/>
          <w:szCs w:val="20"/>
          <w:lang w:val="en-US"/>
        </w:rPr>
        <w:t xml:space="preserve">Croatian Institute for Public Health: </w:t>
      </w:r>
      <w:hyperlink r:id="rId122" w:history="1">
        <w:r w:rsidRPr="00AB7D1E">
          <w:rPr>
            <w:rFonts w:eastAsia="SimSun" w:cs="Calibri"/>
            <w:color w:val="0563C1"/>
            <w:sz w:val="20"/>
            <w:szCs w:val="20"/>
            <w:u w:val="single"/>
            <w:lang w:val="en-US"/>
          </w:rPr>
          <w:t>https://www.hzjz.hr/sluzba-epidemiologija-zarazne-bolesti/koronavirus-najnovije-preporuke/</w:t>
        </w:r>
      </w:hyperlink>
    </w:p>
    <w:p w14:paraId="509B4A96" w14:textId="77777777" w:rsidR="009A7480" w:rsidRPr="00AB7D1E" w:rsidRDefault="00EC6200" w:rsidP="00BE60A0">
      <w:pPr>
        <w:pStyle w:val="ListParagraph"/>
        <w:numPr>
          <w:ilvl w:val="0"/>
          <w:numId w:val="60"/>
        </w:numPr>
        <w:suppressAutoHyphens w:val="0"/>
        <w:autoSpaceDN/>
        <w:spacing w:before="0" w:after="200" w:line="240" w:lineRule="auto"/>
        <w:ind w:left="426" w:hanging="426"/>
        <w:textAlignment w:val="auto"/>
        <w:rPr>
          <w:rFonts w:eastAsia="SimSun" w:cs="Calibri"/>
          <w:sz w:val="20"/>
          <w:szCs w:val="20"/>
          <w:lang w:val="en-US"/>
        </w:rPr>
      </w:pPr>
      <w:r w:rsidRPr="00AB7D1E">
        <w:rPr>
          <w:rFonts w:eastAsia="SimSun" w:cs="Calibri"/>
          <w:sz w:val="20"/>
          <w:szCs w:val="20"/>
          <w:lang w:val="en-US"/>
        </w:rPr>
        <w:t xml:space="preserve">Civil Protection Headquarters of the Republic of Croatia: </w:t>
      </w:r>
      <w:hyperlink r:id="rId123" w:history="1">
        <w:r w:rsidRPr="00AB7D1E">
          <w:rPr>
            <w:rFonts w:eastAsia="SimSun" w:cs="Calibri"/>
            <w:color w:val="0563C1"/>
            <w:sz w:val="20"/>
            <w:szCs w:val="20"/>
            <w:u w:val="single"/>
            <w:lang w:val="en-US"/>
          </w:rPr>
          <w:t>https://civilna-zastita.gov.hr/vijesti/preporuke-za-kucanstva-i-ostale-zatvorene-prostore/2289</w:t>
        </w:r>
      </w:hyperlink>
    </w:p>
    <w:p w14:paraId="1DEB99BD" w14:textId="77777777" w:rsidR="009A7480" w:rsidRPr="00AB7D1E" w:rsidRDefault="00EC6200" w:rsidP="00BE60A0">
      <w:pPr>
        <w:pStyle w:val="ListParagraph"/>
        <w:numPr>
          <w:ilvl w:val="0"/>
          <w:numId w:val="60"/>
        </w:numPr>
        <w:suppressAutoHyphens w:val="0"/>
        <w:autoSpaceDN/>
        <w:spacing w:before="0" w:after="200" w:line="240" w:lineRule="auto"/>
        <w:ind w:left="426" w:hanging="426"/>
        <w:textAlignment w:val="auto"/>
        <w:rPr>
          <w:rFonts w:eastAsia="SimSun" w:cs="Calibri"/>
          <w:sz w:val="20"/>
          <w:szCs w:val="20"/>
          <w:lang w:val="en-US"/>
        </w:rPr>
      </w:pPr>
      <w:r w:rsidRPr="00AB7D1E">
        <w:rPr>
          <w:rFonts w:eastAsia="SimSun" w:cs="Calibri"/>
          <w:sz w:val="20"/>
          <w:szCs w:val="20"/>
          <w:lang w:val="en-US"/>
        </w:rPr>
        <w:t xml:space="preserve">Ministry of Labor and Pension System: INSTRUCTIONS for the implementation of safety and health protection measures at work during the execution of construction works on the rehabilitation of facilities : </w:t>
      </w:r>
      <w:hyperlink r:id="rId124" w:history="1">
        <w:r w:rsidR="005A563A" w:rsidRPr="00AB7D1E">
          <w:rPr>
            <w:rStyle w:val="Hyperlink"/>
            <w:rFonts w:eastAsia="SimSun" w:cs="Calibri"/>
            <w:sz w:val="20"/>
            <w:szCs w:val="20"/>
            <w:lang w:val="en-US"/>
          </w:rPr>
          <w:t>http://uznr.mrms.hr/wp-content/uploads/2020/04/uputa_za_gradilista_2020.pdf</w:t>
        </w:r>
      </w:hyperlink>
    </w:p>
    <w:p w14:paraId="40865B4F" w14:textId="77777777" w:rsidR="009A7480" w:rsidRPr="00AB7D1E" w:rsidRDefault="00EC6200" w:rsidP="00BE60A0">
      <w:pPr>
        <w:pStyle w:val="ListParagraph"/>
        <w:numPr>
          <w:ilvl w:val="0"/>
          <w:numId w:val="60"/>
        </w:numPr>
        <w:suppressAutoHyphens w:val="0"/>
        <w:autoSpaceDN/>
        <w:spacing w:before="0" w:after="200" w:line="240" w:lineRule="auto"/>
        <w:ind w:left="426" w:hanging="426"/>
        <w:textAlignment w:val="auto"/>
        <w:rPr>
          <w:rFonts w:eastAsia="SimSun" w:cs="Calibri"/>
          <w:sz w:val="20"/>
          <w:szCs w:val="20"/>
          <w:lang w:val="en-US"/>
        </w:rPr>
      </w:pPr>
      <w:r w:rsidRPr="00AB7D1E">
        <w:rPr>
          <w:rFonts w:eastAsia="SimSun" w:cs="Calibri"/>
          <w:sz w:val="20"/>
          <w:szCs w:val="20"/>
          <w:lang w:val="en-US"/>
        </w:rPr>
        <w:t xml:space="preserve">INSTRUCTIONS FOR EMPLOYERS AND WORKERS for conducting and implementation of safety and health measures in circumstances of risk of infectious disease Covide-19: </w:t>
      </w:r>
      <w:bookmarkEnd w:id="297"/>
      <w:r w:rsidRPr="00AB7D1E">
        <w:rPr>
          <w:rFonts w:eastAsia="SimSun" w:cs="Calibri"/>
          <w:sz w:val="20"/>
          <w:szCs w:val="20"/>
          <w:lang w:val="en-US"/>
        </w:rPr>
        <w:fldChar w:fldCharType="begin"/>
      </w:r>
      <w:r w:rsidRPr="00AB7D1E">
        <w:rPr>
          <w:rFonts w:eastAsia="SimSun" w:cs="Calibri"/>
          <w:sz w:val="20"/>
          <w:szCs w:val="20"/>
          <w:lang w:val="en-US"/>
        </w:rPr>
        <w:instrText xml:space="preserve"> HYPERLINK "https://mrms.gov.hr/UserDocsImages/dokumenti/Uprava%20za%20rad/UPUTA%20ZA%20POSLODAVCE%20I%20RADNIKE_COVID%2019_letak-travanj_2020.pdf" </w:instrText>
      </w:r>
      <w:r w:rsidRPr="00AB7D1E">
        <w:rPr>
          <w:rFonts w:eastAsia="SimSun" w:cs="Calibri"/>
          <w:sz w:val="20"/>
          <w:szCs w:val="20"/>
          <w:lang w:val="en-US"/>
        </w:rPr>
        <w:fldChar w:fldCharType="separate"/>
      </w:r>
      <w:r w:rsidRPr="00AB7D1E">
        <w:rPr>
          <w:rFonts w:eastAsia="SimSun" w:cs="Calibri"/>
          <w:color w:val="0563C1"/>
          <w:sz w:val="20"/>
          <w:szCs w:val="20"/>
          <w:u w:val="single"/>
          <w:lang w:val="en-US"/>
        </w:rPr>
        <w:t>https://mrms.gov.hr/UserDocsImages/dokumenti/Uprava%20za%20rad/UPUTA%20ZA%20POSLODAVCE%20I%20RADNIKE_COVID%2019_letak-travanj_2020.pdf</w:t>
      </w:r>
      <w:r w:rsidRPr="00AB7D1E">
        <w:rPr>
          <w:rFonts w:eastAsia="SimSun" w:cs="Calibri"/>
          <w:sz w:val="20"/>
          <w:szCs w:val="20"/>
          <w:lang w:val="en-US"/>
        </w:rPr>
        <w:fldChar w:fldCharType="end"/>
      </w:r>
    </w:p>
    <w:p w14:paraId="168BAE3F" w14:textId="37B92736" w:rsidR="00EC6200" w:rsidRPr="00E537E0" w:rsidRDefault="009A7480" w:rsidP="00BE60A0">
      <w:pPr>
        <w:pStyle w:val="ListParagraph"/>
        <w:numPr>
          <w:ilvl w:val="0"/>
          <w:numId w:val="60"/>
        </w:numPr>
        <w:suppressAutoHyphens w:val="0"/>
        <w:autoSpaceDN/>
        <w:spacing w:before="0" w:after="200" w:line="240" w:lineRule="auto"/>
        <w:ind w:left="426" w:hanging="426"/>
        <w:textAlignment w:val="auto"/>
        <w:rPr>
          <w:rFonts w:ascii="Calibri" w:eastAsia="SimSun" w:hAnsi="Calibri" w:cs="Calibri"/>
          <w:lang w:val="en-US"/>
        </w:rPr>
      </w:pPr>
      <w:r w:rsidRPr="00E537E0">
        <w:rPr>
          <w:rFonts w:eastAsia="SimSun" w:cs="Calibri"/>
          <w:sz w:val="20"/>
          <w:szCs w:val="20"/>
          <w:lang w:val="en-US"/>
        </w:rPr>
        <w:t xml:space="preserve">Government of the Republic of Croatia: </w:t>
      </w:r>
      <w:hyperlink r:id="rId125" w:history="1">
        <w:r w:rsidRPr="00E537E0">
          <w:rPr>
            <w:rFonts w:eastAsia="SimSun" w:cs="Calibri"/>
            <w:color w:val="0563C1"/>
            <w:sz w:val="20"/>
            <w:szCs w:val="20"/>
            <w:u w:val="single"/>
            <w:lang w:val="en-US"/>
          </w:rPr>
          <w:t>https://koronavirus.hr/en</w:t>
        </w:r>
      </w:hyperlink>
    </w:p>
    <w:sectPr w:rsidR="00EC6200" w:rsidRPr="00E537E0" w:rsidSect="00352ED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2410B" w14:textId="77777777" w:rsidR="00C40C75" w:rsidRDefault="00C40C75">
      <w:pPr>
        <w:spacing w:after="0" w:line="240" w:lineRule="auto"/>
      </w:pPr>
      <w:r>
        <w:separator/>
      </w:r>
    </w:p>
  </w:endnote>
  <w:endnote w:type="continuationSeparator" w:id="0">
    <w:p w14:paraId="3B33667E" w14:textId="77777777" w:rsidR="00C40C75" w:rsidRDefault="00C40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4060975"/>
      <w:docPartObj>
        <w:docPartGallery w:val="Page Numbers (Bottom of Page)"/>
        <w:docPartUnique/>
      </w:docPartObj>
    </w:sdtPr>
    <w:sdtEndPr>
      <w:rPr>
        <w:noProof/>
      </w:rPr>
    </w:sdtEndPr>
    <w:sdtContent>
      <w:p w14:paraId="5A48BE78" w14:textId="66DB4EBF" w:rsidR="007D1E1B" w:rsidRDefault="007D1E1B">
        <w:pPr>
          <w:pStyle w:val="Footer"/>
          <w:jc w:val="center"/>
        </w:pPr>
        <w:r w:rsidRPr="005231A3">
          <w:rPr>
            <w:rFonts w:cstheme="minorHAnsi"/>
          </w:rPr>
          <w:fldChar w:fldCharType="begin"/>
        </w:r>
        <w:r w:rsidRPr="005231A3">
          <w:rPr>
            <w:rFonts w:cstheme="minorHAnsi"/>
          </w:rPr>
          <w:instrText xml:space="preserve"> PAGE   \* MERGEFORMAT </w:instrText>
        </w:r>
        <w:r w:rsidRPr="005231A3">
          <w:rPr>
            <w:rFonts w:cstheme="minorHAnsi"/>
          </w:rPr>
          <w:fldChar w:fldCharType="separate"/>
        </w:r>
        <w:r>
          <w:rPr>
            <w:rFonts w:cstheme="minorHAnsi"/>
            <w:noProof/>
          </w:rPr>
          <w:t>119</w:t>
        </w:r>
        <w:r w:rsidRPr="005231A3">
          <w:rPr>
            <w:rFonts w:cstheme="minorHAnsi"/>
            <w:noProof/>
          </w:rPr>
          <w:fldChar w:fldCharType="end"/>
        </w:r>
      </w:p>
    </w:sdtContent>
  </w:sdt>
  <w:p w14:paraId="04E8AD9A" w14:textId="77777777" w:rsidR="007D1E1B" w:rsidRDefault="007D1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FBED6" w14:textId="63FFD231" w:rsidR="007D1E1B" w:rsidRDefault="007D1E1B">
    <w:pPr>
      <w:pStyle w:val="Footer"/>
      <w:jc w:val="center"/>
    </w:pPr>
  </w:p>
  <w:p w14:paraId="502F85E6" w14:textId="77777777" w:rsidR="007D1E1B" w:rsidRDefault="007D1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1E020" w14:textId="77777777" w:rsidR="00C40C75" w:rsidRDefault="00C40C75">
      <w:pPr>
        <w:spacing w:after="0" w:line="240" w:lineRule="auto"/>
      </w:pPr>
      <w:r>
        <w:rPr>
          <w:color w:val="000000"/>
        </w:rPr>
        <w:separator/>
      </w:r>
    </w:p>
  </w:footnote>
  <w:footnote w:type="continuationSeparator" w:id="0">
    <w:p w14:paraId="3D8B93C8" w14:textId="77777777" w:rsidR="00C40C75" w:rsidRDefault="00C40C75">
      <w:pPr>
        <w:spacing w:after="0" w:line="240" w:lineRule="auto"/>
      </w:pPr>
      <w:r>
        <w:continuationSeparator/>
      </w:r>
    </w:p>
  </w:footnote>
  <w:footnote w:id="1">
    <w:p w14:paraId="2B007D26" w14:textId="77777777" w:rsidR="007D1E1B" w:rsidRPr="00B12C12" w:rsidRDefault="007D1E1B" w:rsidP="00010222">
      <w:pPr>
        <w:pStyle w:val="FootnoteText"/>
        <w:keepNext/>
        <w:keepLines/>
        <w:rPr>
          <w:rFonts w:cs="Calibri"/>
          <w:szCs w:val="18"/>
          <w:lang w:val="en-GB"/>
        </w:rPr>
      </w:pPr>
      <w:r w:rsidRPr="00010222">
        <w:rPr>
          <w:rStyle w:val="FootnoteReference"/>
          <w:rFonts w:cs="Calibri"/>
          <w:szCs w:val="18"/>
        </w:rPr>
        <w:footnoteRef/>
      </w:r>
      <w:r w:rsidRPr="00010222">
        <w:rPr>
          <w:rFonts w:cs="Calibri"/>
          <w:szCs w:val="18"/>
        </w:rPr>
        <w:t xml:space="preserve"> </w:t>
      </w:r>
      <w:r w:rsidRPr="00B12C12">
        <w:rPr>
          <w:rFonts w:cs="Calibri"/>
          <w:szCs w:val="18"/>
          <w:lang w:val="en-GB"/>
        </w:rPr>
        <w:t xml:space="preserve">Somanathan, Finkel, and Arur. 2019. “Strengthening Integrated Care in Central and Eastern Europe.” HNP Discussion Paper </w:t>
      </w:r>
      <w:hyperlink r:id="rId1" w:history="1">
        <w:r w:rsidRPr="00B12C12">
          <w:rPr>
            <w:rFonts w:cs="Calibri"/>
            <w:szCs w:val="18"/>
            <w:lang w:val="en-GB"/>
          </w:rPr>
          <w:t>http://documents.worldbank.org/curated/en/744431582122665954/pdf/Strengthening-Integrated-Care-in-Central-and-Eastern-Europe.pdf</w:t>
        </w:r>
      </w:hyperlink>
      <w:r w:rsidRPr="00B12C12">
        <w:rPr>
          <w:rFonts w:cs="Calibri"/>
          <w:szCs w:val="18"/>
          <w:lang w:val="en-GB"/>
        </w:rPr>
        <w:t>.</w:t>
      </w:r>
    </w:p>
  </w:footnote>
  <w:footnote w:id="2">
    <w:p w14:paraId="3C1792EF" w14:textId="77777777" w:rsidR="007D1E1B" w:rsidRPr="00182A5B" w:rsidRDefault="007D1E1B" w:rsidP="00844754">
      <w:pPr>
        <w:pStyle w:val="FootnoteText"/>
        <w:rPr>
          <w:lang w:val="en-GB"/>
        </w:rPr>
      </w:pPr>
      <w:r>
        <w:rPr>
          <w:rStyle w:val="FootnoteReference"/>
        </w:rPr>
        <w:footnoteRef/>
      </w:r>
      <w:r>
        <w:t xml:space="preserve"> </w:t>
      </w:r>
      <w:r w:rsidRPr="00182A5B">
        <w:rPr>
          <w:lang w:val="en-GB"/>
        </w:rPr>
        <w:t>ESMP is an instrument that details the measures to be taken during the implementation and operation of a project to eliminate or offset adverse environmental and social impacts, or to reduce them to acceptable levels; and the actions needed to implement these measures.</w:t>
      </w:r>
    </w:p>
  </w:footnote>
  <w:footnote w:id="3">
    <w:p w14:paraId="4239A15F" w14:textId="77777777" w:rsidR="007D1E1B" w:rsidRPr="00CD521A" w:rsidRDefault="007D1E1B" w:rsidP="00FB472B">
      <w:pPr>
        <w:pStyle w:val="FootnoteText"/>
        <w:spacing w:before="0"/>
        <w:rPr>
          <w:sz w:val="18"/>
          <w:szCs w:val="18"/>
          <w:lang w:val="en-GB"/>
        </w:rPr>
      </w:pPr>
      <w:r>
        <w:rPr>
          <w:rStyle w:val="FootnoteReference"/>
        </w:rPr>
        <w:footnoteRef/>
      </w:r>
      <w:r>
        <w:t xml:space="preserve"> </w:t>
      </w:r>
      <w:r w:rsidRPr="00CD521A">
        <w:rPr>
          <w:sz w:val="18"/>
          <w:szCs w:val="18"/>
          <w:lang w:val="en-GB"/>
        </w:rPr>
        <w:t xml:space="preserve">Global Rapid post-disaster Damage Estimation (GRADE) </w:t>
      </w:r>
      <w:r w:rsidRPr="00CD521A">
        <w:rPr>
          <w:rFonts w:eastAsiaTheme="minorHAnsi" w:cstheme="minorHAnsi"/>
          <w:sz w:val="18"/>
          <w:szCs w:val="18"/>
          <w:lang w:val="en-GB"/>
        </w:rPr>
        <w:t>Briefing Note, Zagreb-Croatia Earthquake of 22 March 2020. World Bank/Global Facility for Disaster Reduction and Recovery Disaster Resilience Analytics and Solutions (D-RAS) Team, (March 27, 2020).</w:t>
      </w:r>
    </w:p>
  </w:footnote>
  <w:footnote w:id="4">
    <w:p w14:paraId="4963761D" w14:textId="77777777" w:rsidR="007D1E1B" w:rsidRPr="00CD521A" w:rsidRDefault="007D1E1B" w:rsidP="00FB472B">
      <w:pPr>
        <w:pStyle w:val="FootnoteText"/>
        <w:spacing w:before="0"/>
        <w:rPr>
          <w:sz w:val="18"/>
          <w:szCs w:val="18"/>
          <w:lang w:val="en-GB"/>
        </w:rPr>
      </w:pPr>
      <w:r w:rsidRPr="00CD521A">
        <w:rPr>
          <w:rStyle w:val="FootnoteReference"/>
          <w:sz w:val="18"/>
          <w:szCs w:val="18"/>
          <w:lang w:val="en-GB"/>
        </w:rPr>
        <w:footnoteRef/>
      </w:r>
      <w:r w:rsidRPr="00CD521A">
        <w:rPr>
          <w:sz w:val="18"/>
          <w:szCs w:val="18"/>
          <w:lang w:val="en-GB"/>
        </w:rPr>
        <w:t xml:space="preserve"> </w:t>
      </w:r>
      <w:r w:rsidRPr="00CD521A">
        <w:rPr>
          <w:rFonts w:eastAsiaTheme="minorHAnsi" w:cstheme="minorHAnsi"/>
          <w:sz w:val="18"/>
          <w:szCs w:val="18"/>
          <w:lang w:val="en-GB"/>
        </w:rPr>
        <w:t>GRADE Briefing Note, Zagreb-Croatia Earthquake of 22 March 2020. World Bank/Global Facility for Disaster Reduction and Recovery Disaster Resilience Analytics and Solutions (D-RAS) Team, (March 27, 2020).</w:t>
      </w:r>
    </w:p>
  </w:footnote>
  <w:footnote w:id="5">
    <w:p w14:paraId="7499108D" w14:textId="7D0F0A71" w:rsidR="007D1E1B" w:rsidRPr="00CD521A" w:rsidRDefault="007D1E1B" w:rsidP="00FB472B">
      <w:pPr>
        <w:pStyle w:val="FootnoteText"/>
        <w:spacing w:before="0"/>
        <w:rPr>
          <w:sz w:val="18"/>
          <w:szCs w:val="18"/>
          <w:lang w:val="en-GB"/>
        </w:rPr>
      </w:pPr>
      <w:r w:rsidRPr="00CD521A">
        <w:rPr>
          <w:rStyle w:val="FootnoteReference"/>
          <w:sz w:val="18"/>
          <w:szCs w:val="18"/>
          <w:lang w:val="en-GB"/>
        </w:rPr>
        <w:footnoteRef/>
      </w:r>
      <w:r w:rsidRPr="00CD521A">
        <w:rPr>
          <w:sz w:val="18"/>
          <w:szCs w:val="18"/>
          <w:lang w:val="en-GB"/>
        </w:rPr>
        <w:t xml:space="preserve"> D-RAS, World Bank/Global Facility for Disaster Reduction and Recovery</w:t>
      </w:r>
    </w:p>
  </w:footnote>
  <w:footnote w:id="6">
    <w:p w14:paraId="46857D12" w14:textId="77777777" w:rsidR="007D1E1B" w:rsidRPr="006C7F86" w:rsidRDefault="007D1E1B" w:rsidP="006C7F86">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Government of the Republic Croatia, Official Government website for accurate and verified information on</w:t>
      </w:r>
    </w:p>
    <w:p w14:paraId="6F8CE5CB" w14:textId="7D67FCA0" w:rsidR="007D1E1B" w:rsidRPr="006C7F86" w:rsidRDefault="007D1E1B" w:rsidP="006C7F86">
      <w:pPr>
        <w:pStyle w:val="FootnoteText"/>
        <w:spacing w:before="0"/>
        <w:rPr>
          <w:sz w:val="18"/>
          <w:szCs w:val="18"/>
          <w:lang w:val="en-GB"/>
        </w:rPr>
      </w:pPr>
      <w:r w:rsidRPr="006C7F86">
        <w:rPr>
          <w:sz w:val="18"/>
          <w:szCs w:val="18"/>
          <w:lang w:val="en-GB"/>
        </w:rPr>
        <w:t xml:space="preserve">coronavirus, link available at: </w:t>
      </w:r>
      <w:hyperlink r:id="rId2" w:history="1">
        <w:r w:rsidRPr="006C7F86">
          <w:rPr>
            <w:rStyle w:val="Hyperlink"/>
            <w:sz w:val="18"/>
            <w:szCs w:val="18"/>
            <w:lang w:val="en-GB"/>
          </w:rPr>
          <w:t>https://www.koronavirus.hr/vladine-mjere/101</w:t>
        </w:r>
      </w:hyperlink>
    </w:p>
  </w:footnote>
  <w:footnote w:id="7">
    <w:p w14:paraId="0B588E57" w14:textId="77777777" w:rsidR="007D1E1B" w:rsidRPr="006C7F86" w:rsidRDefault="007D1E1B" w:rsidP="006C7F86">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Act on Civil Protection System (OG 82/15, 118/18, 21/20), Article 21</w:t>
      </w:r>
    </w:p>
  </w:footnote>
  <w:footnote w:id="8">
    <w:p w14:paraId="5F59612B" w14:textId="77777777" w:rsidR="007D1E1B" w:rsidRPr="006C7F86" w:rsidRDefault="007D1E1B" w:rsidP="006C7F86">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w:t>
      </w:r>
      <w:hyperlink r:id="rId3" w:history="1">
        <w:r w:rsidRPr="006C7F86">
          <w:rPr>
            <w:rStyle w:val="Hyperlink"/>
            <w:sz w:val="18"/>
            <w:szCs w:val="18"/>
            <w:lang w:val="en-GB"/>
          </w:rPr>
          <w:t>https://www.hzjz.hr/sluzba-epidemiologija-zarazne-bolesti/koronavirus-najnovije-preporuke/</w:t>
        </w:r>
      </w:hyperlink>
    </w:p>
    <w:p w14:paraId="06AE0CD0" w14:textId="03460F50" w:rsidR="007D1E1B" w:rsidRPr="006C7F86" w:rsidRDefault="00C40C75" w:rsidP="006C7F86">
      <w:pPr>
        <w:pStyle w:val="FootnoteText"/>
        <w:spacing w:before="0"/>
        <w:rPr>
          <w:sz w:val="18"/>
          <w:szCs w:val="18"/>
          <w:lang w:val="en-GB"/>
        </w:rPr>
      </w:pPr>
      <w:hyperlink r:id="rId4" w:history="1">
        <w:r w:rsidR="007D1E1B" w:rsidRPr="006C7F86">
          <w:rPr>
            <w:rStyle w:val="Hyperlink"/>
            <w:sz w:val="18"/>
            <w:szCs w:val="18"/>
            <w:lang w:val="en-GB"/>
          </w:rPr>
          <w:t>https://civilna-zastita.gov.hr/odluke-stozera-civilne-zastite-rh-za-sprecavanje-sirenja-zaraze-koronavirusom/2304</w:t>
        </w:r>
      </w:hyperlink>
    </w:p>
  </w:footnote>
  <w:footnote w:id="9">
    <w:p w14:paraId="4E381595" w14:textId="2BB893DE" w:rsidR="007D1E1B" w:rsidRPr="007B392F" w:rsidRDefault="007D1E1B" w:rsidP="006C7F86">
      <w:pPr>
        <w:pStyle w:val="FootnoteText"/>
        <w:spacing w:before="0"/>
        <w:jc w:val="left"/>
        <w:rPr>
          <w:lang w:val="en-GB"/>
        </w:rPr>
      </w:pPr>
      <w:r w:rsidRPr="006C7F86">
        <w:rPr>
          <w:rStyle w:val="FootnoteReference"/>
          <w:sz w:val="18"/>
          <w:szCs w:val="18"/>
        </w:rPr>
        <w:footnoteRef/>
      </w:r>
      <w:r w:rsidRPr="006C7F86">
        <w:rPr>
          <w:sz w:val="18"/>
          <w:szCs w:val="18"/>
        </w:rPr>
        <w:t xml:space="preserve"> </w:t>
      </w:r>
      <w:hyperlink r:id="rId5" w:history="1">
        <w:r w:rsidRPr="006C7F86">
          <w:rPr>
            <w:rStyle w:val="Hyperlink"/>
            <w:sz w:val="18"/>
            <w:szCs w:val="18"/>
          </w:rPr>
          <w:t>https://www.koronavirus.hr/UserDocsImages/Dokumenti/Tjedno%20izvje%C5%A1%C4%87e%20za%2016.11..pdf</w:t>
        </w:r>
      </w:hyperlink>
    </w:p>
  </w:footnote>
  <w:footnote w:id="10">
    <w:p w14:paraId="7BFF77A1" w14:textId="747550FA" w:rsidR="007D1E1B" w:rsidRPr="006C7F86" w:rsidRDefault="007D1E1B" w:rsidP="006C7F86">
      <w:pPr>
        <w:pStyle w:val="FootnoteText"/>
        <w:spacing w:before="0"/>
        <w:rPr>
          <w:sz w:val="18"/>
          <w:szCs w:val="18"/>
        </w:rPr>
      </w:pPr>
      <w:r w:rsidRPr="006C7F86">
        <w:rPr>
          <w:rStyle w:val="FootnoteReference"/>
          <w:sz w:val="18"/>
          <w:szCs w:val="18"/>
        </w:rPr>
        <w:footnoteRef/>
      </w:r>
      <w:r w:rsidRPr="006C7F86">
        <w:rPr>
          <w:sz w:val="18"/>
          <w:szCs w:val="18"/>
        </w:rPr>
        <w:t xml:space="preserve"> </w:t>
      </w:r>
      <w:r w:rsidRPr="006C7F86">
        <w:rPr>
          <w:sz w:val="18"/>
          <w:szCs w:val="18"/>
          <w:lang w:val="en-US"/>
        </w:rPr>
        <w:t xml:space="preserve">Source: </w:t>
      </w:r>
      <w:hyperlink r:id="rId6" w:history="1">
        <w:r w:rsidRPr="006C7F86">
          <w:rPr>
            <w:rStyle w:val="Hyperlink"/>
            <w:sz w:val="18"/>
            <w:szCs w:val="18"/>
            <w:lang w:val="en-US"/>
          </w:rPr>
          <w:t>https://www.koronavirus.hr/en</w:t>
        </w:r>
      </w:hyperlink>
      <w:r w:rsidRPr="006C7F86">
        <w:rPr>
          <w:sz w:val="18"/>
          <w:szCs w:val="18"/>
          <w:lang w:val="en-US"/>
        </w:rPr>
        <w:t>, date 22.11.2020</w:t>
      </w:r>
    </w:p>
  </w:footnote>
  <w:footnote w:id="11">
    <w:p w14:paraId="2E3E50EF" w14:textId="1D8D13F0" w:rsidR="007D1E1B" w:rsidRDefault="007D1E1B" w:rsidP="006C7F86">
      <w:pPr>
        <w:pStyle w:val="FootnoteText"/>
        <w:spacing w:before="0"/>
      </w:pPr>
      <w:r w:rsidRPr="006C7F86">
        <w:rPr>
          <w:rStyle w:val="FootnoteReference"/>
          <w:sz w:val="18"/>
          <w:szCs w:val="18"/>
        </w:rPr>
        <w:footnoteRef/>
      </w:r>
      <w:r w:rsidRPr="006C7F86">
        <w:rPr>
          <w:sz w:val="18"/>
          <w:szCs w:val="18"/>
        </w:rPr>
        <w:t xml:space="preserve"> </w:t>
      </w:r>
      <w:r w:rsidRPr="006C7F86">
        <w:rPr>
          <w:sz w:val="18"/>
          <w:szCs w:val="18"/>
          <w:lang w:val="en-US"/>
        </w:rPr>
        <w:t xml:space="preserve">Source: </w:t>
      </w:r>
      <w:hyperlink r:id="rId7" w:history="1">
        <w:r w:rsidRPr="006C7F86">
          <w:rPr>
            <w:rStyle w:val="Hyperlink"/>
            <w:sz w:val="18"/>
            <w:szCs w:val="18"/>
            <w:lang w:val="en-US"/>
          </w:rPr>
          <w:t>https://www.ecdc.europa.eu/en/covid-19/country-overviews</w:t>
        </w:r>
      </w:hyperlink>
    </w:p>
  </w:footnote>
  <w:footnote w:id="12">
    <w:p w14:paraId="4A3CCC49" w14:textId="57FB971F" w:rsidR="007D1E1B" w:rsidRPr="006C7F86" w:rsidRDefault="007D1E1B" w:rsidP="006C7F86">
      <w:pPr>
        <w:pStyle w:val="Style2"/>
        <w:spacing w:before="0" w:after="0"/>
        <w:jc w:val="both"/>
        <w:rPr>
          <w:i w:val="0"/>
          <w:iCs/>
          <w:sz w:val="18"/>
          <w:szCs w:val="18"/>
          <w:lang w:val="en-US"/>
        </w:rPr>
      </w:pPr>
      <w:r w:rsidRPr="006C7F86">
        <w:rPr>
          <w:rStyle w:val="FootnoteReference"/>
          <w:i w:val="0"/>
          <w:iCs/>
          <w:sz w:val="18"/>
          <w:szCs w:val="18"/>
        </w:rPr>
        <w:footnoteRef/>
      </w:r>
      <w:r w:rsidRPr="006C7F86">
        <w:rPr>
          <w:i w:val="0"/>
          <w:iCs/>
          <w:sz w:val="18"/>
          <w:szCs w:val="18"/>
        </w:rPr>
        <w:t xml:space="preserve"> </w:t>
      </w:r>
      <w:r w:rsidRPr="006C7F86">
        <w:rPr>
          <w:i w:val="0"/>
          <w:iCs/>
          <w:sz w:val="18"/>
          <w:szCs w:val="18"/>
          <w:lang w:val="en-US"/>
        </w:rPr>
        <w:t xml:space="preserve">Source: </w:t>
      </w:r>
      <w:hyperlink r:id="rId8" w:history="1">
        <w:r w:rsidRPr="006C7F86">
          <w:rPr>
            <w:rStyle w:val="Hyperlink"/>
            <w:i w:val="0"/>
            <w:iCs/>
            <w:sz w:val="18"/>
            <w:szCs w:val="18"/>
            <w:lang w:val="en-US"/>
          </w:rPr>
          <w:t>https://www.ecdc.europa.eu/en/covid-19/country-overviews</w:t>
        </w:r>
      </w:hyperlink>
    </w:p>
    <w:p w14:paraId="6862EDC1" w14:textId="1975E23D" w:rsidR="007D1E1B" w:rsidRPr="006C7F86" w:rsidRDefault="007D1E1B" w:rsidP="006C7F86">
      <w:pPr>
        <w:pStyle w:val="FootnoteText"/>
        <w:spacing w:before="0"/>
        <w:rPr>
          <w:sz w:val="18"/>
          <w:szCs w:val="18"/>
        </w:rPr>
      </w:pPr>
    </w:p>
  </w:footnote>
  <w:footnote w:id="13">
    <w:p w14:paraId="537777E6" w14:textId="579B3903" w:rsidR="007D1E1B" w:rsidRPr="00770FA4" w:rsidRDefault="007D1E1B" w:rsidP="006C7F86">
      <w:pPr>
        <w:pStyle w:val="FootnoteText"/>
        <w:keepNext/>
        <w:keepLines/>
        <w:tabs>
          <w:tab w:val="left" w:pos="9090"/>
        </w:tabs>
        <w:spacing w:before="0"/>
        <w:rPr>
          <w:rFonts w:cs="Calibri"/>
          <w:szCs w:val="18"/>
          <w:lang w:val="en-GB"/>
        </w:rPr>
      </w:pPr>
      <w:r w:rsidRPr="006C7F86">
        <w:rPr>
          <w:rStyle w:val="FootnoteReference"/>
          <w:rFonts w:cs="Calibri"/>
          <w:sz w:val="18"/>
          <w:szCs w:val="18"/>
        </w:rPr>
        <w:footnoteRef/>
      </w:r>
      <w:r w:rsidRPr="006C7F86">
        <w:rPr>
          <w:rFonts w:cs="Calibri"/>
          <w:sz w:val="18"/>
          <w:szCs w:val="18"/>
        </w:rPr>
        <w:t xml:space="preserve"> </w:t>
      </w:r>
      <w:r w:rsidRPr="006C7F86">
        <w:rPr>
          <w:rFonts w:cs="Calibri"/>
          <w:sz w:val="18"/>
          <w:szCs w:val="18"/>
          <w:lang w:val="en-GB"/>
        </w:rPr>
        <w:t>Public health preparedness is the capability of the public health and health care systems, communities, and individuals to prevent, protect against, quickly respond to, and recover from health emergencies, particularly those whose scale, timing, or unpredictability threatens to overwhelm routine capabilities. In the context of this project, the national system for public health preparedness refers to the network and functionality of institutions whose primary responsibility is to detect and manage outbreaks of infectious diseases. This includes surveillance, testing, and emergency response capabilities. However, given that unknown associations can drive outbreaks, the public health preparedness also entails understanding how environmental, social, behavioural and genetic risk factors play a role in public health outbreaks.</w:t>
      </w:r>
      <w:r w:rsidRPr="00770FA4">
        <w:rPr>
          <w:rFonts w:cs="Calibri"/>
          <w:szCs w:val="18"/>
          <w:lang w:val="en-GB"/>
        </w:rPr>
        <w:t xml:space="preserve"> </w:t>
      </w:r>
    </w:p>
  </w:footnote>
  <w:footnote w:id="14">
    <w:p w14:paraId="46F15B81" w14:textId="07198200" w:rsidR="007D1E1B" w:rsidRPr="006C7F86" w:rsidRDefault="007D1E1B" w:rsidP="006C7F86">
      <w:pPr>
        <w:pStyle w:val="FootnoteText"/>
        <w:spacing w:before="0"/>
        <w:rPr>
          <w:sz w:val="18"/>
          <w:szCs w:val="18"/>
        </w:rPr>
      </w:pPr>
      <w:r w:rsidRPr="006C7F86">
        <w:rPr>
          <w:rStyle w:val="FootnoteReference"/>
          <w:sz w:val="18"/>
          <w:szCs w:val="18"/>
        </w:rPr>
        <w:footnoteRef/>
      </w:r>
      <w:r w:rsidRPr="006C7F86">
        <w:rPr>
          <w:sz w:val="18"/>
          <w:szCs w:val="18"/>
        </w:rPr>
        <w:t xml:space="preserve"> </w:t>
      </w:r>
      <w:r w:rsidRPr="006C7F86">
        <w:rPr>
          <w:sz w:val="18"/>
          <w:szCs w:val="18"/>
          <w:lang w:val="en-GB"/>
        </w:rPr>
        <w:t>“Rehabilitation’” is structural strengthening of existing buildings to meet a higher seismic performance.</w:t>
      </w:r>
    </w:p>
  </w:footnote>
  <w:footnote w:id="15">
    <w:p w14:paraId="3B66DBEC" w14:textId="7836C3BA" w:rsidR="007D1E1B" w:rsidRPr="006C7F86" w:rsidRDefault="007D1E1B" w:rsidP="006C7F86">
      <w:pPr>
        <w:pStyle w:val="FootnoteText"/>
        <w:spacing w:before="0"/>
        <w:jc w:val="left"/>
        <w:rPr>
          <w:color w:val="2683C6" w:themeColor="accent6"/>
          <w:sz w:val="18"/>
          <w:szCs w:val="18"/>
          <w:lang w:val="en-GB"/>
        </w:rPr>
      </w:pPr>
      <w:r w:rsidRPr="006C7F86">
        <w:rPr>
          <w:rStyle w:val="FootnoteReference"/>
          <w:sz w:val="18"/>
          <w:szCs w:val="18"/>
        </w:rPr>
        <w:footnoteRef/>
      </w:r>
      <w:r w:rsidRPr="006C7F86">
        <w:rPr>
          <w:sz w:val="18"/>
          <w:szCs w:val="18"/>
        </w:rPr>
        <w:t xml:space="preserve"> </w:t>
      </w:r>
      <w:r w:rsidRPr="006C7F86">
        <w:rPr>
          <w:sz w:val="18"/>
          <w:szCs w:val="18"/>
          <w:lang w:val="en-GB"/>
        </w:rPr>
        <w:t>Emissions of air pollutants in the Republic of Croatia for 2018 (</w:t>
      </w:r>
      <w:hyperlink r:id="rId9" w:history="1">
        <w:r w:rsidRPr="006C7F86">
          <w:rPr>
            <w:rStyle w:val="Hyperlink"/>
            <w:sz w:val="18"/>
            <w:szCs w:val="18"/>
            <w:lang w:val="en-GB"/>
          </w:rPr>
          <w:t>http://www.haop.hr/sites/default/files/uploads/dokumenti/011_zrak/Izvjesca/Emisije%20one%C4%8Di%C5%A1%C4%87uju%C4%87ih%20tvari%20u%20zrak%20na%20podru%C4%8Dju%20Republike%20Hrvatske%20za%202018.%20godinu.pdf</w:t>
        </w:r>
      </w:hyperlink>
      <w:r w:rsidRPr="006C7F86">
        <w:rPr>
          <w:sz w:val="18"/>
          <w:szCs w:val="18"/>
          <w:lang w:val="en-GB"/>
        </w:rPr>
        <w:t>)</w:t>
      </w:r>
    </w:p>
  </w:footnote>
  <w:footnote w:id="16">
    <w:p w14:paraId="58E8A2D5" w14:textId="53542D1F" w:rsidR="007D1E1B" w:rsidRPr="006C7F86" w:rsidRDefault="007D1E1B" w:rsidP="006C7F86">
      <w:pPr>
        <w:pStyle w:val="FootnoteText"/>
        <w:spacing w:before="0"/>
        <w:rPr>
          <w:sz w:val="18"/>
          <w:szCs w:val="18"/>
        </w:rPr>
      </w:pPr>
      <w:r w:rsidRPr="006C7F86">
        <w:rPr>
          <w:rStyle w:val="FootnoteReference"/>
          <w:sz w:val="18"/>
          <w:szCs w:val="18"/>
        </w:rPr>
        <w:footnoteRef/>
      </w:r>
      <w:r w:rsidRPr="006C7F86">
        <w:rPr>
          <w:sz w:val="18"/>
          <w:szCs w:val="18"/>
        </w:rPr>
        <w:t xml:space="preserve"> </w:t>
      </w:r>
      <w:r w:rsidRPr="006C7F86">
        <w:rPr>
          <w:sz w:val="18"/>
          <w:szCs w:val="18"/>
          <w:lang w:val="en-GB"/>
        </w:rPr>
        <w:t>1999 Protocol to Abate Acidification, Eutrophication and Ground-level Ozone to the Convention on Long-range Transboundary Air Pollution</w:t>
      </w:r>
    </w:p>
  </w:footnote>
  <w:footnote w:id="17">
    <w:p w14:paraId="38BB7F9C" w14:textId="7127E9D7" w:rsidR="007D1E1B" w:rsidRPr="008A6FAE" w:rsidRDefault="007D1E1B" w:rsidP="006C7F86">
      <w:pPr>
        <w:pStyle w:val="FootnoteText"/>
        <w:spacing w:before="0"/>
        <w:jc w:val="left"/>
        <w:rPr>
          <w:color w:val="2683C6" w:themeColor="accent6"/>
          <w:sz w:val="17"/>
          <w:szCs w:val="17"/>
        </w:rPr>
      </w:pPr>
      <w:r w:rsidRPr="006C7F86">
        <w:rPr>
          <w:rStyle w:val="FootnoteReference"/>
          <w:color w:val="2683C6" w:themeColor="accent6"/>
          <w:sz w:val="18"/>
          <w:szCs w:val="18"/>
        </w:rPr>
        <w:footnoteRef/>
      </w:r>
      <w:r w:rsidRPr="006C7F86">
        <w:rPr>
          <w:color w:val="2683C6" w:themeColor="accent6"/>
          <w:sz w:val="18"/>
          <w:szCs w:val="18"/>
        </w:rPr>
        <w:t xml:space="preserve"> </w:t>
      </w:r>
      <w:r w:rsidRPr="006C7F86">
        <w:rPr>
          <w:sz w:val="18"/>
          <w:szCs w:val="18"/>
        </w:rPr>
        <w:t>Emissions of air pollutants in the Republic of Croatia for 2018 (</w:t>
      </w:r>
      <w:hyperlink r:id="rId10" w:history="1">
        <w:r w:rsidRPr="006C7F86">
          <w:rPr>
            <w:rStyle w:val="Hyperlink"/>
            <w:sz w:val="18"/>
            <w:szCs w:val="18"/>
          </w:rPr>
          <w:t>http://www.haop.hr/sites/default/files/uploads/dokumenti/011_zrak/Izvjesca/Emisije%20one%C4%8Di%C5%A1%C4%87uju%C4%87ih%20tvari%20u%20zrak%20na%20podru%C4%8Dju%20Republike%20Hrvatske%20za%202018.%20godinu.pdf</w:t>
        </w:r>
      </w:hyperlink>
      <w:r w:rsidRPr="006C7F86">
        <w:rPr>
          <w:sz w:val="18"/>
          <w:szCs w:val="18"/>
        </w:rPr>
        <w:t>)</w:t>
      </w:r>
    </w:p>
  </w:footnote>
  <w:footnote w:id="18">
    <w:p w14:paraId="0213DB1E" w14:textId="7E747977" w:rsidR="007D1E1B" w:rsidRPr="006C7F86" w:rsidRDefault="007D1E1B" w:rsidP="00320C4D">
      <w:pPr>
        <w:pStyle w:val="FootnoteText"/>
        <w:spacing w:before="0"/>
        <w:rPr>
          <w:color w:val="2683C6" w:themeColor="accent6"/>
          <w:sz w:val="18"/>
          <w:szCs w:val="18"/>
        </w:rPr>
      </w:pPr>
      <w:r w:rsidRPr="006C7F86">
        <w:rPr>
          <w:rStyle w:val="FootnoteReference"/>
          <w:sz w:val="18"/>
          <w:szCs w:val="18"/>
        </w:rPr>
        <w:footnoteRef/>
      </w:r>
      <w:hyperlink r:id="rId11" w:history="1">
        <w:r w:rsidRPr="006C7F86">
          <w:rPr>
            <w:rStyle w:val="Hyperlink"/>
            <w:sz w:val="18"/>
            <w:szCs w:val="18"/>
          </w:rPr>
          <w:t>http://www.haop.hr/sites/default/files/uploads/dokumenti/011_zrak/Izvjesca/Emisije%20one%C4%8Di%C5%A1%C4%87uju%C4%87ih%20tvari%20u%20zrak%20na%20podru%C4%8Dju%20Republike%20Hrvatske%20za%202018.%20godinu.pdf</w:t>
        </w:r>
      </w:hyperlink>
    </w:p>
  </w:footnote>
  <w:footnote w:id="19">
    <w:p w14:paraId="26884FFE" w14:textId="60A5DC77" w:rsidR="007D1E1B" w:rsidRPr="006C7F86" w:rsidRDefault="007D1E1B" w:rsidP="00320C4D">
      <w:pPr>
        <w:pStyle w:val="FootnoteText"/>
        <w:spacing w:before="0"/>
        <w:jc w:val="left"/>
        <w:rPr>
          <w:color w:val="2683C6" w:themeColor="accent6"/>
          <w:sz w:val="18"/>
          <w:szCs w:val="18"/>
        </w:rPr>
      </w:pPr>
      <w:r w:rsidRPr="006C7F86">
        <w:rPr>
          <w:rStyle w:val="FootnoteReference"/>
          <w:color w:val="2683C6" w:themeColor="accent6"/>
          <w:sz w:val="18"/>
          <w:szCs w:val="18"/>
        </w:rPr>
        <w:footnoteRef/>
      </w:r>
      <w:r w:rsidRPr="006C7F86">
        <w:rPr>
          <w:color w:val="2683C6" w:themeColor="accent6"/>
          <w:sz w:val="18"/>
          <w:szCs w:val="18"/>
        </w:rPr>
        <w:t xml:space="preserve"> </w:t>
      </w:r>
      <w:hyperlink r:id="rId12" w:history="1">
        <w:r w:rsidRPr="006C7F86">
          <w:rPr>
            <w:rStyle w:val="Hyperlink"/>
            <w:color w:val="2683C6" w:themeColor="accent6"/>
            <w:sz w:val="18"/>
            <w:szCs w:val="18"/>
          </w:rPr>
          <w:t>http://www.haop.hr/hr/godisnja-izvjesca-o-pracenju-kvalitete-zraka-na-podrucju-republike-hrvatske/godisnja-izvjesca-o</w:t>
        </w:r>
      </w:hyperlink>
    </w:p>
  </w:footnote>
  <w:footnote w:id="20">
    <w:p w14:paraId="2A0A4653" w14:textId="0777EAD4" w:rsidR="007D1E1B" w:rsidRDefault="007D1E1B" w:rsidP="009230B1">
      <w:pPr>
        <w:pStyle w:val="FootnoteText"/>
        <w:spacing w:before="0"/>
      </w:pPr>
      <w:r w:rsidRPr="006C7F86">
        <w:rPr>
          <w:rStyle w:val="FootnoteReference"/>
          <w:sz w:val="18"/>
          <w:szCs w:val="18"/>
        </w:rPr>
        <w:footnoteRef/>
      </w:r>
      <w:r w:rsidRPr="006C7F86">
        <w:rPr>
          <w:sz w:val="18"/>
          <w:szCs w:val="18"/>
        </w:rPr>
        <w:t xml:space="preserve"> MoESD, </w:t>
      </w:r>
      <w:hyperlink r:id="rId13" w:history="1">
        <w:r w:rsidRPr="006C7F86">
          <w:rPr>
            <w:rStyle w:val="Hyperlink"/>
            <w:color w:val="2683C6" w:themeColor="accent6"/>
            <w:sz w:val="18"/>
            <w:szCs w:val="18"/>
          </w:rPr>
          <w:t>http://iszz.azo.hr/iskzl/</w:t>
        </w:r>
      </w:hyperlink>
      <w:r w:rsidRPr="006C7F86">
        <w:rPr>
          <w:color w:val="2683C6" w:themeColor="accent6"/>
          <w:sz w:val="18"/>
          <w:szCs w:val="18"/>
        </w:rPr>
        <w:t>,</w:t>
      </w:r>
      <w:r w:rsidRPr="006C7F86">
        <w:rPr>
          <w:sz w:val="18"/>
          <w:szCs w:val="18"/>
        </w:rPr>
        <w:t xml:space="preserve"> 16.7.2020.</w:t>
      </w:r>
    </w:p>
  </w:footnote>
  <w:footnote w:id="21">
    <w:p w14:paraId="62C16EF8" w14:textId="2F484258" w:rsidR="007D1E1B" w:rsidRPr="006C7F86" w:rsidRDefault="007D1E1B" w:rsidP="008A6FAE">
      <w:pPr>
        <w:pStyle w:val="FootnoteText"/>
        <w:spacing w:before="0"/>
        <w:jc w:val="left"/>
        <w:rPr>
          <w:sz w:val="18"/>
          <w:szCs w:val="18"/>
          <w:lang w:val="en-GB"/>
        </w:rPr>
      </w:pPr>
      <w:r w:rsidRPr="006C7F86">
        <w:rPr>
          <w:rStyle w:val="FootnoteReference"/>
          <w:sz w:val="18"/>
          <w:szCs w:val="18"/>
        </w:rPr>
        <w:footnoteRef/>
      </w:r>
      <w:r w:rsidRPr="006C7F86">
        <w:rPr>
          <w:sz w:val="18"/>
          <w:szCs w:val="18"/>
        </w:rPr>
        <w:t xml:space="preserve"> </w:t>
      </w:r>
      <w:r w:rsidRPr="006C7F86">
        <w:rPr>
          <w:sz w:val="18"/>
          <w:szCs w:val="18"/>
          <w:lang w:val="en-GB"/>
        </w:rPr>
        <w:t>Report on air quality monitoring in the Republic of Croatia for 2018 (</w:t>
      </w:r>
      <w:hyperlink r:id="rId14" w:history="1">
        <w:r w:rsidRPr="006C7F86">
          <w:rPr>
            <w:rStyle w:val="Hyperlink"/>
            <w:sz w:val="18"/>
            <w:szCs w:val="18"/>
            <w:lang w:val="en-GB"/>
          </w:rPr>
          <w:t>http://www.haop.hr/sites/default/files/uploads/dokumenti/011_zrak/Izvjesca/Godi%C5%A1nje%20izvje%C5%A1%C4%87e%20o%20pra%C4%87enju%20kvalitete%20zraka%20na%20podru%C4%8Dju%20RH%20u%202018.%20godini.pdf</w:t>
        </w:r>
      </w:hyperlink>
      <w:r w:rsidRPr="006C7F86">
        <w:rPr>
          <w:sz w:val="18"/>
          <w:szCs w:val="18"/>
          <w:lang w:val="en-GB"/>
        </w:rPr>
        <w:t>)</w:t>
      </w:r>
    </w:p>
  </w:footnote>
  <w:footnote w:id="22">
    <w:p w14:paraId="5435982D" w14:textId="42A1C0E0" w:rsidR="007D1E1B" w:rsidRPr="006C7F86" w:rsidRDefault="007D1E1B" w:rsidP="00EC1342">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OG 66/19</w:t>
      </w:r>
    </w:p>
  </w:footnote>
  <w:footnote w:id="23">
    <w:p w14:paraId="2A43A7AB" w14:textId="15C527DD" w:rsidR="007D1E1B" w:rsidRPr="006C7F86" w:rsidRDefault="007D1E1B" w:rsidP="00EC1342">
      <w:pPr>
        <w:pStyle w:val="FootnoteText"/>
        <w:spacing w:before="0"/>
        <w:rPr>
          <w:sz w:val="18"/>
          <w:szCs w:val="18"/>
          <w:lang w:val="en-GB"/>
        </w:rPr>
      </w:pPr>
      <w:r w:rsidRPr="006C7F86">
        <w:rPr>
          <w:rStyle w:val="FootnoteReference"/>
          <w:sz w:val="18"/>
          <w:szCs w:val="18"/>
          <w:lang w:val="en-GB"/>
        </w:rPr>
        <w:footnoteRef/>
      </w:r>
      <w:r w:rsidRPr="006C7F86">
        <w:rPr>
          <w:sz w:val="18"/>
          <w:szCs w:val="18"/>
          <w:lang w:val="en-GB"/>
        </w:rPr>
        <w:t xml:space="preserve"> This is an approximate demarcation, because the watershed between the Black Sea and the Adriatic basin is predominantly zonal (it changes over time depending on changes in hydrological conditions).</w:t>
      </w:r>
    </w:p>
  </w:footnote>
  <w:footnote w:id="24">
    <w:p w14:paraId="48271640" w14:textId="713B6B33" w:rsidR="007D1E1B" w:rsidRPr="006C7F86" w:rsidRDefault="007D1E1B" w:rsidP="00891126">
      <w:pPr>
        <w:pStyle w:val="FootnoteText"/>
        <w:spacing w:before="0"/>
        <w:rPr>
          <w:sz w:val="18"/>
          <w:szCs w:val="18"/>
        </w:rPr>
      </w:pPr>
      <w:r w:rsidRPr="006C7F86">
        <w:rPr>
          <w:rStyle w:val="FootnoteReference"/>
          <w:sz w:val="18"/>
          <w:szCs w:val="18"/>
          <w:lang w:val="en-GB"/>
        </w:rPr>
        <w:footnoteRef/>
      </w:r>
      <w:r w:rsidRPr="006C7F86">
        <w:rPr>
          <w:sz w:val="18"/>
          <w:szCs w:val="18"/>
          <w:lang w:val="en-GB"/>
        </w:rPr>
        <w:t xml:space="preserve"> </w:t>
      </w:r>
      <w:hyperlink r:id="rId15" w:history="1">
        <w:r w:rsidRPr="006C7F86">
          <w:rPr>
            <w:rStyle w:val="Hyperlink"/>
            <w:sz w:val="18"/>
            <w:szCs w:val="18"/>
            <w:lang w:val="en-GB"/>
          </w:rPr>
          <w:t>https://www.voda.hr/sites/default/files/plan_upravljanja_vodnim_podrucjima_2016._-_2021.pdf</w:t>
        </w:r>
      </w:hyperlink>
    </w:p>
  </w:footnote>
  <w:footnote w:id="25">
    <w:p w14:paraId="2722A8A3" w14:textId="3D6F895A" w:rsidR="007D1E1B" w:rsidRPr="00EC1342" w:rsidRDefault="007D1E1B" w:rsidP="00891126">
      <w:pPr>
        <w:pStyle w:val="FootnoteText"/>
        <w:spacing w:before="0"/>
        <w:rPr>
          <w:color w:val="2683C6" w:themeColor="accent6"/>
          <w:sz w:val="18"/>
          <w:szCs w:val="18"/>
        </w:rPr>
      </w:pPr>
      <w:r w:rsidRPr="006C7F86">
        <w:rPr>
          <w:rStyle w:val="FootnoteReference"/>
          <w:sz w:val="18"/>
          <w:szCs w:val="18"/>
        </w:rPr>
        <w:footnoteRef/>
      </w:r>
      <w:r w:rsidRPr="006C7F86">
        <w:rPr>
          <w:sz w:val="18"/>
          <w:szCs w:val="18"/>
        </w:rPr>
        <w:t xml:space="preserve"> </w:t>
      </w:r>
      <w:hyperlink r:id="rId16" w:history="1">
        <w:r w:rsidRPr="006C7F86">
          <w:rPr>
            <w:rStyle w:val="Hyperlink"/>
            <w:color w:val="2683C6" w:themeColor="accent6"/>
            <w:sz w:val="18"/>
            <w:szCs w:val="18"/>
          </w:rPr>
          <w:t>https://www.voda.hr/sites/default/files/plan_upravljanja_vodnim_podrucjima_2016._-_2021.pdf</w:t>
        </w:r>
      </w:hyperlink>
    </w:p>
  </w:footnote>
  <w:footnote w:id="26">
    <w:p w14:paraId="17C171B2" w14:textId="109A28FC" w:rsidR="007D1E1B" w:rsidRPr="00CF05E3" w:rsidRDefault="007D1E1B" w:rsidP="00C65A2C">
      <w:pPr>
        <w:pStyle w:val="FootnoteText"/>
        <w:spacing w:before="0"/>
        <w:rPr>
          <w:color w:val="2683C6" w:themeColor="accent6"/>
          <w:sz w:val="18"/>
          <w:szCs w:val="18"/>
        </w:rPr>
      </w:pPr>
      <w:r w:rsidRPr="00CF05E3">
        <w:rPr>
          <w:rStyle w:val="FootnoteReference"/>
          <w:color w:val="2683C6" w:themeColor="accent6"/>
          <w:sz w:val="18"/>
          <w:szCs w:val="18"/>
        </w:rPr>
        <w:footnoteRef/>
      </w:r>
      <w:r w:rsidRPr="00CF05E3">
        <w:rPr>
          <w:color w:val="2683C6" w:themeColor="accent6"/>
          <w:sz w:val="18"/>
          <w:szCs w:val="18"/>
        </w:rPr>
        <w:t xml:space="preserve"> </w:t>
      </w:r>
      <w:hyperlink r:id="rId17" w:history="1">
        <w:r w:rsidRPr="00CF05E3">
          <w:rPr>
            <w:rStyle w:val="Hyperlink"/>
            <w:color w:val="2683C6" w:themeColor="accent6"/>
            <w:sz w:val="18"/>
            <w:szCs w:val="18"/>
          </w:rPr>
          <w:t>https://www.voda.hr/sites/default/files/pdf_clanka/hv_99_2017_17-26_vouk-et-al.pdf</w:t>
        </w:r>
      </w:hyperlink>
    </w:p>
  </w:footnote>
  <w:footnote w:id="27">
    <w:p w14:paraId="14072CCF" w14:textId="725BAA49" w:rsidR="007D1E1B" w:rsidRPr="00CF05E3" w:rsidRDefault="007D1E1B" w:rsidP="00EC1342">
      <w:pPr>
        <w:pStyle w:val="FootnoteText"/>
        <w:spacing w:before="0"/>
        <w:jc w:val="left"/>
        <w:rPr>
          <w:sz w:val="18"/>
          <w:szCs w:val="18"/>
        </w:rPr>
      </w:pPr>
      <w:r w:rsidRPr="00CF05E3">
        <w:rPr>
          <w:rStyle w:val="FootnoteReference"/>
          <w:color w:val="2683C6" w:themeColor="accent6"/>
          <w:sz w:val="18"/>
          <w:szCs w:val="18"/>
        </w:rPr>
        <w:footnoteRef/>
      </w:r>
      <w:r w:rsidRPr="00CF05E3">
        <w:rPr>
          <w:color w:val="2683C6" w:themeColor="accent6"/>
          <w:sz w:val="18"/>
          <w:szCs w:val="18"/>
        </w:rPr>
        <w:t xml:space="preserve"> </w:t>
      </w:r>
      <w:hyperlink r:id="rId18" w:history="1">
        <w:r w:rsidRPr="00CF05E3">
          <w:rPr>
            <w:rStyle w:val="Hyperlink"/>
            <w:sz w:val="18"/>
            <w:szCs w:val="18"/>
          </w:rPr>
          <w:t>https://www.hzjz.hr/wp-content/uploads/2019/07/IZVJE%C5%A0TAJ-O-ZDRAVSTVENOJ-ISPRAVNOSTI-VODE-ZA-LJUDSKU-POTRO%C5%A0NJU-U-REPUBLICI-HRVATSKOJ-ZA-2018_v1.pdf</w:t>
        </w:r>
      </w:hyperlink>
    </w:p>
  </w:footnote>
  <w:footnote w:id="28">
    <w:p w14:paraId="3D12572F" w14:textId="7980EA2B" w:rsidR="007D1E1B" w:rsidRPr="00CF05E3" w:rsidRDefault="007D1E1B" w:rsidP="007D1B95">
      <w:pPr>
        <w:pStyle w:val="FootnoteText"/>
        <w:spacing w:before="0"/>
        <w:jc w:val="left"/>
        <w:rPr>
          <w:sz w:val="18"/>
          <w:szCs w:val="18"/>
          <w:lang w:val="en-GB"/>
        </w:rPr>
      </w:pPr>
      <w:r w:rsidRPr="00CF05E3">
        <w:rPr>
          <w:rStyle w:val="FootnoteReference"/>
          <w:sz w:val="18"/>
          <w:szCs w:val="18"/>
        </w:rPr>
        <w:footnoteRef/>
      </w:r>
      <w:r w:rsidRPr="00CF05E3">
        <w:rPr>
          <w:sz w:val="18"/>
          <w:szCs w:val="18"/>
        </w:rPr>
        <w:t xml:space="preserve"> </w:t>
      </w:r>
      <w:r w:rsidRPr="00CF05E3">
        <w:rPr>
          <w:sz w:val="18"/>
          <w:szCs w:val="18"/>
          <w:lang w:val="en-GB"/>
        </w:rPr>
        <w:t>National report on the state of the environment in Croatia 2013-2016</w:t>
      </w:r>
      <w:r w:rsidRPr="00CF05E3">
        <w:rPr>
          <w:rStyle w:val="Hyperlink"/>
          <w:sz w:val="18"/>
          <w:szCs w:val="18"/>
          <w:lang w:val="en-GB"/>
        </w:rPr>
        <w:t xml:space="preserve"> (http://www.haop.hr/sites/default/files/uploads/dokumenti/06_integrirane/dokumenti/niso/IZVJ_OKOLIS_2013-2016.pdf)</w:t>
      </w:r>
    </w:p>
  </w:footnote>
  <w:footnote w:id="29">
    <w:p w14:paraId="19162B81" w14:textId="1E715551" w:rsidR="007D1E1B" w:rsidRPr="00CF05E3" w:rsidRDefault="007D1E1B" w:rsidP="007D1B95">
      <w:pPr>
        <w:pStyle w:val="FootnoteText"/>
        <w:spacing w:before="0"/>
        <w:jc w:val="left"/>
        <w:rPr>
          <w:sz w:val="18"/>
          <w:szCs w:val="18"/>
          <w:lang w:val="en-GB"/>
        </w:rPr>
      </w:pPr>
      <w:r w:rsidRPr="00CF05E3">
        <w:rPr>
          <w:rStyle w:val="FootnoteReference"/>
          <w:sz w:val="18"/>
          <w:szCs w:val="18"/>
          <w:lang w:val="en-GB"/>
        </w:rPr>
        <w:footnoteRef/>
      </w:r>
      <w:r w:rsidRPr="00CF05E3">
        <w:rPr>
          <w:sz w:val="18"/>
          <w:szCs w:val="18"/>
          <w:lang w:val="en-GB"/>
        </w:rPr>
        <w:t xml:space="preserve"> National report on the state of the environment in Croatia 2013-2016</w:t>
      </w:r>
      <w:r w:rsidRPr="00CF05E3">
        <w:rPr>
          <w:rStyle w:val="Hyperlink"/>
          <w:sz w:val="18"/>
          <w:szCs w:val="18"/>
          <w:lang w:val="en-GB"/>
        </w:rPr>
        <w:t xml:space="preserve"> (http://www.haop.hr/sites/default/files/uploads/dokumenti/06_integrirane/dokumenti/niso/IZVJ_OKOLIS_2013-2016.pdf)</w:t>
      </w:r>
    </w:p>
  </w:footnote>
  <w:footnote w:id="30">
    <w:p w14:paraId="4ED9CAC1" w14:textId="121F0D3D" w:rsidR="007D1E1B" w:rsidRPr="00E451FA" w:rsidRDefault="007D1E1B" w:rsidP="00E451FA">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It is implemented in accordance with the Bathing Sea Quality Regulation (OG 73/08), which transposed the EU Bathing Water Quality Management Directive. (Directive of the European Parliament and of the Council concerning the management of bathing water quality 2006/7/EC)</w:t>
      </w:r>
    </w:p>
  </w:footnote>
  <w:footnote w:id="31">
    <w:p w14:paraId="374D57D1" w14:textId="3B941BE7" w:rsidR="007D1E1B" w:rsidRPr="00CF05E3" w:rsidRDefault="007D1E1B" w:rsidP="00CF05E3">
      <w:pPr>
        <w:pStyle w:val="FootnoteText"/>
        <w:spacing w:before="0"/>
        <w:jc w:val="left"/>
        <w:rPr>
          <w:sz w:val="18"/>
          <w:szCs w:val="18"/>
          <w:lang w:val="en-GB"/>
        </w:rPr>
      </w:pPr>
      <w:r w:rsidRPr="00CF05E3">
        <w:rPr>
          <w:rStyle w:val="FootnoteReference"/>
          <w:sz w:val="18"/>
          <w:szCs w:val="18"/>
          <w:lang w:val="en-GB"/>
        </w:rPr>
        <w:footnoteRef/>
      </w:r>
      <w:r w:rsidRPr="00CF05E3">
        <w:rPr>
          <w:sz w:val="18"/>
          <w:szCs w:val="18"/>
          <w:lang w:val="en-GB"/>
        </w:rPr>
        <w:t xml:space="preserve"> </w:t>
      </w:r>
      <w:hyperlink r:id="rId19" w:history="1">
        <w:r w:rsidRPr="00CF05E3">
          <w:rPr>
            <w:rStyle w:val="Hyperlink"/>
            <w:sz w:val="18"/>
            <w:szCs w:val="18"/>
            <w:lang w:val="en-GB"/>
          </w:rPr>
          <w:t>https://www.eea.europa.eu/themes/water/europes-seas-and-coasts/assessments/state-of-bathing-water/european-bathing-water-quality-in-2019</w:t>
        </w:r>
      </w:hyperlink>
    </w:p>
  </w:footnote>
  <w:footnote w:id="32">
    <w:p w14:paraId="182F19CD" w14:textId="77777777" w:rsidR="007D1E1B" w:rsidRDefault="007D1E1B" w:rsidP="00CF05E3">
      <w:pPr>
        <w:pStyle w:val="FootnoteText"/>
        <w:spacing w:before="0"/>
        <w:jc w:val="left"/>
      </w:pPr>
      <w:r w:rsidRPr="00CF05E3">
        <w:rPr>
          <w:rStyle w:val="FootnoteReference"/>
          <w:sz w:val="18"/>
          <w:szCs w:val="18"/>
        </w:rPr>
        <w:footnoteRef/>
      </w:r>
      <w:r w:rsidRPr="00CF05E3">
        <w:rPr>
          <w:sz w:val="18"/>
          <w:szCs w:val="18"/>
        </w:rPr>
        <w:t xml:space="preserve"> </w:t>
      </w:r>
      <w:hyperlink r:id="rId20" w:history="1">
        <w:r w:rsidRPr="00CF05E3">
          <w:rPr>
            <w:rStyle w:val="Hyperlink1"/>
            <w:sz w:val="18"/>
            <w:szCs w:val="18"/>
          </w:rPr>
          <w:t>http://www.haop.hr/hr/tematska-podrucja/otpad-registri-oneciscavanja-i-ostali-sektorski-pritisci/gospodarenje-otpadom-10</w:t>
        </w:r>
      </w:hyperlink>
    </w:p>
  </w:footnote>
  <w:footnote w:id="33">
    <w:p w14:paraId="35D495A5" w14:textId="77777777" w:rsidR="007D1E1B" w:rsidRPr="00CF05E3" w:rsidRDefault="007D1E1B" w:rsidP="00CF05E3">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21" w:history="1">
        <w:r w:rsidRPr="00CF05E3">
          <w:rPr>
            <w:rStyle w:val="Hyperlink1"/>
            <w:sz w:val="18"/>
            <w:szCs w:val="18"/>
          </w:rPr>
          <w:t>Eurostat</w:t>
        </w:r>
      </w:hyperlink>
      <w:r w:rsidRPr="00CF05E3">
        <w:rPr>
          <w:sz w:val="18"/>
          <w:szCs w:val="18"/>
        </w:rPr>
        <w:t xml:space="preserve"> </w:t>
      </w:r>
    </w:p>
  </w:footnote>
  <w:footnote w:id="34">
    <w:p w14:paraId="6459F897" w14:textId="45C8F785" w:rsidR="007D1E1B" w:rsidRPr="00CF05E3" w:rsidRDefault="007D1E1B" w:rsidP="00CF05E3">
      <w:pPr>
        <w:pStyle w:val="FootnoteText"/>
        <w:spacing w:before="0"/>
        <w:jc w:val="left"/>
        <w:rPr>
          <w:rFonts w:cstheme="minorHAnsi"/>
          <w:sz w:val="18"/>
          <w:szCs w:val="18"/>
          <w:lang w:val="en-GB"/>
        </w:rPr>
      </w:pPr>
      <w:r w:rsidRPr="00CF05E3">
        <w:rPr>
          <w:rStyle w:val="FootnoteReference"/>
          <w:rFonts w:cstheme="minorHAnsi"/>
          <w:sz w:val="18"/>
          <w:szCs w:val="18"/>
        </w:rPr>
        <w:footnoteRef/>
      </w:r>
      <w:r w:rsidRPr="00CF05E3">
        <w:rPr>
          <w:rFonts w:cstheme="minorHAnsi"/>
          <w:sz w:val="18"/>
          <w:szCs w:val="18"/>
        </w:rPr>
        <w:t xml:space="preserve"> </w:t>
      </w:r>
      <w:r w:rsidRPr="00CF05E3">
        <w:rPr>
          <w:rFonts w:cstheme="minorHAnsi"/>
          <w:sz w:val="18"/>
          <w:szCs w:val="18"/>
          <w:lang w:val="en-GB"/>
        </w:rPr>
        <w:t>National Report on Municipal Waste 2019</w:t>
      </w:r>
      <w:r w:rsidRPr="00CF05E3">
        <w:rPr>
          <w:rStyle w:val="Hyperlink"/>
          <w:rFonts w:cstheme="minorHAnsi"/>
          <w:sz w:val="18"/>
          <w:szCs w:val="18"/>
          <w:lang w:val="en-GB"/>
        </w:rPr>
        <w:t xml:space="preserve"> (</w:t>
      </w:r>
      <w:r w:rsidRPr="00CF05E3">
        <w:rPr>
          <w:rStyle w:val="Hyperlink1"/>
          <w:sz w:val="18"/>
          <w:szCs w:val="18"/>
        </w:rPr>
        <w:t>http://www.haop.hr/sites/default/files/uploads/inline-files/OTP_Izvje%C5%A1%C4%87e%20o%20komunalnom%20otpadu%20za%202019_1.pdf)</w:t>
      </w:r>
    </w:p>
  </w:footnote>
  <w:footnote w:id="35">
    <w:p w14:paraId="300BED96" w14:textId="77777777" w:rsidR="007D1E1B" w:rsidRPr="00CF05E3" w:rsidRDefault="007D1E1B" w:rsidP="00CF05E3">
      <w:pPr>
        <w:pStyle w:val="FootnoteText"/>
        <w:spacing w:before="0"/>
        <w:jc w:val="left"/>
        <w:rPr>
          <w:rStyle w:val="Hyperlink1"/>
          <w:sz w:val="18"/>
          <w:szCs w:val="18"/>
        </w:rPr>
      </w:pPr>
      <w:r w:rsidRPr="00CF05E3">
        <w:rPr>
          <w:rStyle w:val="FootnoteReference"/>
          <w:sz w:val="18"/>
          <w:szCs w:val="18"/>
        </w:rPr>
        <w:footnoteRef/>
      </w:r>
      <w:r w:rsidRPr="00CF05E3">
        <w:rPr>
          <w:sz w:val="18"/>
          <w:szCs w:val="18"/>
        </w:rPr>
        <w:t xml:space="preserve"> National Report on Municipal Waste 2019</w:t>
      </w:r>
      <w:r w:rsidRPr="00CF05E3">
        <w:rPr>
          <w:rStyle w:val="Hyperlink1"/>
          <w:sz w:val="18"/>
          <w:szCs w:val="18"/>
        </w:rPr>
        <w:t xml:space="preserve"> </w:t>
      </w:r>
    </w:p>
    <w:p w14:paraId="54A6690F" w14:textId="77777777" w:rsidR="007D1E1B" w:rsidRPr="00CF05E3" w:rsidRDefault="007D1E1B" w:rsidP="00CF05E3">
      <w:pPr>
        <w:pStyle w:val="FootnoteText"/>
        <w:spacing w:before="0"/>
        <w:jc w:val="left"/>
        <w:rPr>
          <w:sz w:val="18"/>
          <w:szCs w:val="18"/>
        </w:rPr>
      </w:pPr>
      <w:r w:rsidRPr="00CF05E3">
        <w:rPr>
          <w:rStyle w:val="Hyperlink1"/>
          <w:sz w:val="18"/>
          <w:szCs w:val="18"/>
        </w:rPr>
        <w:t>http://www.haop.hr/sites/default/files/uploads/inline-files/OTP_Izvje%C5%A1%C4%87e%20o%20komunalnom%20otpadu%20za%202019_1.pdf</w:t>
      </w:r>
    </w:p>
  </w:footnote>
  <w:footnote w:id="36">
    <w:p w14:paraId="0F194EED" w14:textId="77777777" w:rsidR="007D1E1B" w:rsidRPr="00CF05E3" w:rsidRDefault="007D1E1B" w:rsidP="00CF05E3">
      <w:pPr>
        <w:pStyle w:val="FootnoteText"/>
        <w:spacing w:before="0"/>
        <w:jc w:val="left"/>
        <w:rPr>
          <w:sz w:val="18"/>
          <w:szCs w:val="18"/>
        </w:rPr>
      </w:pPr>
      <w:r w:rsidRPr="00CF05E3">
        <w:rPr>
          <w:rStyle w:val="FootnoteReference"/>
          <w:sz w:val="18"/>
          <w:szCs w:val="18"/>
        </w:rPr>
        <w:footnoteRef/>
      </w:r>
      <w:r w:rsidRPr="00CF05E3">
        <w:rPr>
          <w:sz w:val="18"/>
          <w:szCs w:val="18"/>
        </w:rPr>
        <w:t xml:space="preserve"> Implementing Decision of the Waste Management Plan of the Republic of Croatia</w:t>
      </w:r>
      <w:r w:rsidRPr="00CF05E3">
        <w:rPr>
          <w:rStyle w:val="Hyperlink1"/>
          <w:sz w:val="18"/>
          <w:szCs w:val="18"/>
        </w:rPr>
        <w:t xml:space="preserve"> (https://mzoe.gov.hr/UserDocsImages/UPRAVA-ZA-PROCJENU-UTJECAJA-NA-OKOLIS-ODRZIVO-GOSPODARENJE-OTPADOM/Sektor%20za%20odr%C5%BEivo%20gospodarenje%20otpadom/Ostalo/Odluka%20o%20implementaciji%20PGO%20RH%20%202017_2022%20prilog.pdf)</w:t>
      </w:r>
    </w:p>
  </w:footnote>
  <w:footnote w:id="37">
    <w:p w14:paraId="58F591D8" w14:textId="77777777" w:rsidR="007D1E1B" w:rsidRDefault="007D1E1B" w:rsidP="00CF05E3">
      <w:pPr>
        <w:pStyle w:val="FootnoteText"/>
        <w:spacing w:before="0"/>
        <w:jc w:val="left"/>
      </w:pPr>
      <w:r w:rsidRPr="00CF05E3">
        <w:rPr>
          <w:rStyle w:val="FootnoteReference"/>
          <w:sz w:val="18"/>
          <w:szCs w:val="18"/>
        </w:rPr>
        <w:footnoteRef/>
      </w:r>
      <w:r w:rsidRPr="00CF05E3">
        <w:rPr>
          <w:sz w:val="18"/>
          <w:szCs w:val="18"/>
        </w:rPr>
        <w:t xml:space="preserve"> 378.088 tons</w:t>
      </w:r>
    </w:p>
  </w:footnote>
  <w:footnote w:id="38">
    <w:p w14:paraId="76C3B542" w14:textId="0B20477C" w:rsidR="007D1E1B" w:rsidRPr="00CF05E3" w:rsidRDefault="007D1E1B" w:rsidP="00CF05E3">
      <w:pPr>
        <w:pStyle w:val="FootnoteText"/>
        <w:spacing w:before="0"/>
        <w:jc w:val="left"/>
        <w:rPr>
          <w:sz w:val="18"/>
          <w:szCs w:val="18"/>
          <w:lang w:val="en-GB"/>
        </w:rPr>
      </w:pPr>
      <w:r w:rsidRPr="00CF05E3">
        <w:rPr>
          <w:rStyle w:val="FootnoteReference"/>
          <w:rFonts w:cstheme="minorHAnsi"/>
          <w:sz w:val="18"/>
          <w:szCs w:val="18"/>
          <w:lang w:val="en-GB"/>
        </w:rPr>
        <w:footnoteRef/>
      </w:r>
      <w:r w:rsidRPr="00CF05E3">
        <w:rPr>
          <w:rFonts w:cstheme="minorHAnsi"/>
          <w:sz w:val="18"/>
          <w:szCs w:val="18"/>
          <w:lang w:val="en-GB"/>
        </w:rPr>
        <w:t xml:space="preserve"> </w:t>
      </w:r>
      <w:bookmarkStart w:id="52" w:name="_Hlk48765333"/>
      <w:r w:rsidRPr="00CF05E3">
        <w:rPr>
          <w:rFonts w:cstheme="minorHAnsi"/>
          <w:sz w:val="18"/>
          <w:szCs w:val="18"/>
          <w:lang w:val="en-GB"/>
        </w:rPr>
        <w:t>National report on medical waste (</w:t>
      </w:r>
      <w:hyperlink r:id="rId22" w:history="1">
        <w:r w:rsidRPr="00CF05E3">
          <w:rPr>
            <w:rStyle w:val="Hyperlink"/>
            <w:rFonts w:cstheme="minorHAnsi"/>
            <w:sz w:val="18"/>
            <w:szCs w:val="18"/>
            <w:lang w:val="en-GB"/>
          </w:rPr>
          <w:t>http://www.haop.hr/sites/default/files/uploads/dokumenti/021_otpad/Izvjesca/ostalo/OTP_2Pregled%20podataka%20o%20medicinskom%20otpadu%20u%202018_FINAL%20-%20WEB%201.pdf</w:t>
        </w:r>
      </w:hyperlink>
      <w:r w:rsidRPr="00CF05E3">
        <w:rPr>
          <w:rFonts w:cstheme="minorHAnsi"/>
          <w:sz w:val="18"/>
          <w:szCs w:val="18"/>
          <w:lang w:val="en-GB"/>
        </w:rPr>
        <w:t>);</w:t>
      </w:r>
      <w:bookmarkEnd w:id="52"/>
      <w:r w:rsidRPr="00CF05E3">
        <w:rPr>
          <w:rFonts w:cstheme="minorHAnsi"/>
          <w:sz w:val="18"/>
          <w:szCs w:val="18"/>
          <w:lang w:val="en-GB"/>
        </w:rPr>
        <w:t xml:space="preserve"> National Report on Municipal Waste 2018</w:t>
      </w:r>
      <w:r w:rsidRPr="00CF05E3">
        <w:rPr>
          <w:rStyle w:val="Hyperlink"/>
          <w:rFonts w:cstheme="minorHAnsi"/>
          <w:sz w:val="18"/>
          <w:szCs w:val="18"/>
          <w:lang w:val="en-GB"/>
        </w:rPr>
        <w:t xml:space="preserve"> (http://www.haop.hr/sites/default/files/uploads/dokumenti/021_otpad/Izvjesca/komunalni/OTP_Izvje%C5%A1%C4%87e%20o%20komunalnom%20otpadu_2018%20FV_0.pdf)</w:t>
      </w:r>
    </w:p>
  </w:footnote>
  <w:footnote w:id="39">
    <w:p w14:paraId="2D3F533A" w14:textId="6DDCEEA1" w:rsidR="007D1E1B" w:rsidRPr="00CF05E3" w:rsidRDefault="007D1E1B" w:rsidP="00CF05E3">
      <w:pPr>
        <w:pStyle w:val="FootnoteText"/>
        <w:spacing w:before="0"/>
        <w:rPr>
          <w:sz w:val="18"/>
          <w:szCs w:val="18"/>
        </w:rPr>
      </w:pPr>
      <w:r w:rsidRPr="00CF05E3">
        <w:rPr>
          <w:rStyle w:val="FootnoteReference"/>
          <w:sz w:val="18"/>
          <w:szCs w:val="18"/>
        </w:rPr>
        <w:footnoteRef/>
      </w:r>
      <w:r w:rsidRPr="00CF05E3">
        <w:rPr>
          <w:sz w:val="18"/>
          <w:szCs w:val="18"/>
        </w:rPr>
        <w:t xml:space="preserve"> Source: MoESD</w:t>
      </w:r>
    </w:p>
  </w:footnote>
  <w:footnote w:id="40">
    <w:p w14:paraId="79312B85" w14:textId="0AB1B7A7" w:rsidR="007D1E1B" w:rsidRPr="0029338B" w:rsidRDefault="007D1E1B" w:rsidP="00CF05E3">
      <w:pPr>
        <w:pStyle w:val="FootnoteText"/>
        <w:spacing w:before="0"/>
        <w:rPr>
          <w:sz w:val="17"/>
          <w:szCs w:val="17"/>
        </w:rPr>
      </w:pPr>
      <w:r w:rsidRPr="00CF05E3">
        <w:rPr>
          <w:rStyle w:val="FootnoteReference"/>
          <w:sz w:val="18"/>
          <w:szCs w:val="18"/>
        </w:rPr>
        <w:footnoteRef/>
      </w:r>
      <w:r w:rsidRPr="00CF05E3">
        <w:rPr>
          <w:sz w:val="18"/>
          <w:szCs w:val="18"/>
        </w:rPr>
        <w:t xml:space="preserve"> Source: MoESD</w:t>
      </w:r>
    </w:p>
  </w:footnote>
  <w:footnote w:id="41">
    <w:p w14:paraId="137F502A" w14:textId="24C38EE2" w:rsidR="007D1E1B" w:rsidRPr="00CF05E3" w:rsidRDefault="007D1E1B" w:rsidP="00CF05E3">
      <w:pPr>
        <w:pStyle w:val="FootnoteText"/>
        <w:spacing w:before="0"/>
        <w:jc w:val="left"/>
        <w:rPr>
          <w:sz w:val="18"/>
          <w:szCs w:val="18"/>
          <w:lang w:val="en-GB"/>
        </w:rPr>
      </w:pPr>
      <w:r w:rsidRPr="00CF05E3">
        <w:rPr>
          <w:rStyle w:val="FootnoteReference"/>
          <w:sz w:val="18"/>
          <w:szCs w:val="18"/>
        </w:rPr>
        <w:footnoteRef/>
      </w:r>
      <w:r w:rsidRPr="00CF05E3">
        <w:rPr>
          <w:sz w:val="18"/>
          <w:szCs w:val="18"/>
        </w:rPr>
        <w:t xml:space="preserve"> National report on medical waste (</w:t>
      </w:r>
      <w:hyperlink r:id="rId23" w:history="1">
        <w:r w:rsidRPr="00CF05E3">
          <w:rPr>
            <w:rStyle w:val="Hyperlink"/>
            <w:sz w:val="18"/>
            <w:szCs w:val="18"/>
          </w:rPr>
          <w:t>http://www.haop.hr/sites/default/files/uploads/dokumenti/021_otpad/Izvjesca/ostalo/OTP_2Pregled%20podataka%20o%20medicinskom%20otpadu%20u%202018_FINAL%20-%20WEB%201.pdf</w:t>
        </w:r>
      </w:hyperlink>
      <w:r w:rsidRPr="00CF05E3">
        <w:rPr>
          <w:sz w:val="18"/>
          <w:szCs w:val="18"/>
        </w:rPr>
        <w:t>);</w:t>
      </w:r>
    </w:p>
  </w:footnote>
  <w:footnote w:id="42">
    <w:p w14:paraId="1E03B800" w14:textId="77777777" w:rsidR="007D1E1B" w:rsidRPr="00CF05E3" w:rsidRDefault="007D1E1B" w:rsidP="00CF05E3">
      <w:pPr>
        <w:pStyle w:val="FootnoteText"/>
        <w:spacing w:before="0"/>
        <w:jc w:val="left"/>
        <w:rPr>
          <w:rFonts w:cstheme="minorHAnsi"/>
          <w:sz w:val="18"/>
          <w:szCs w:val="18"/>
          <w:lang w:val="en-GB"/>
        </w:rPr>
      </w:pPr>
      <w:r w:rsidRPr="00CF05E3">
        <w:rPr>
          <w:rStyle w:val="FootnoteReference"/>
          <w:sz w:val="18"/>
          <w:szCs w:val="18"/>
          <w:lang w:val="en-GB"/>
        </w:rPr>
        <w:footnoteRef/>
      </w:r>
      <w:r w:rsidRPr="00CF05E3">
        <w:rPr>
          <w:sz w:val="18"/>
          <w:szCs w:val="18"/>
          <w:lang w:val="en-GB"/>
        </w:rPr>
        <w:t xml:space="preserve"> </w:t>
      </w:r>
      <w:r w:rsidRPr="00CF05E3">
        <w:rPr>
          <w:rFonts w:cstheme="minorHAnsi"/>
          <w:sz w:val="18"/>
          <w:szCs w:val="18"/>
          <w:lang w:val="en-GB"/>
        </w:rPr>
        <w:t>http://www.nemis.hr/index.php/radioaktivni-otpad/kolicine-i-aktivnosti-radioaktivnog-otpada-u-hrvatskoj.html</w:t>
      </w:r>
    </w:p>
  </w:footnote>
  <w:footnote w:id="43">
    <w:p w14:paraId="57586B35" w14:textId="77777777" w:rsidR="007D1E1B" w:rsidRPr="00CF05E3" w:rsidRDefault="007D1E1B" w:rsidP="00CF05E3">
      <w:pPr>
        <w:pStyle w:val="FootnoteText"/>
        <w:spacing w:before="0"/>
        <w:rPr>
          <w:rFonts w:cstheme="minorHAnsi"/>
          <w:sz w:val="18"/>
          <w:szCs w:val="18"/>
        </w:rPr>
      </w:pPr>
      <w:r w:rsidRPr="00CF05E3">
        <w:rPr>
          <w:rStyle w:val="FootnoteReference"/>
          <w:rFonts w:cstheme="minorHAnsi"/>
          <w:sz w:val="18"/>
          <w:szCs w:val="18"/>
        </w:rPr>
        <w:footnoteRef/>
      </w:r>
      <w:r w:rsidRPr="00CF05E3">
        <w:rPr>
          <w:rFonts w:cstheme="minorHAnsi"/>
          <w:sz w:val="18"/>
          <w:szCs w:val="18"/>
        </w:rPr>
        <w:t xml:space="preserve"> OG 30/09, 55/13, 153/13, 41/16 i 114/18</w:t>
      </w:r>
    </w:p>
  </w:footnote>
  <w:footnote w:id="44">
    <w:p w14:paraId="7495787F" w14:textId="77777777" w:rsidR="007D1E1B" w:rsidRPr="00CF05E3" w:rsidRDefault="007D1E1B" w:rsidP="00CF05E3">
      <w:pPr>
        <w:pStyle w:val="FootnoteText"/>
        <w:spacing w:before="0"/>
        <w:rPr>
          <w:rFonts w:cstheme="minorHAnsi"/>
          <w:sz w:val="18"/>
          <w:szCs w:val="18"/>
        </w:rPr>
      </w:pPr>
      <w:r w:rsidRPr="00CF05E3">
        <w:rPr>
          <w:rStyle w:val="FootnoteReference"/>
          <w:rFonts w:cstheme="minorHAnsi"/>
          <w:sz w:val="18"/>
          <w:szCs w:val="18"/>
        </w:rPr>
        <w:footnoteRef/>
      </w:r>
      <w:r w:rsidRPr="00CF05E3">
        <w:rPr>
          <w:rFonts w:cstheme="minorHAnsi"/>
          <w:sz w:val="18"/>
          <w:szCs w:val="18"/>
        </w:rPr>
        <w:t xml:space="preserve"> OG 75/09, 60/16, 117/18</w:t>
      </w:r>
    </w:p>
  </w:footnote>
  <w:footnote w:id="45">
    <w:p w14:paraId="2F810E94" w14:textId="6F7AAE96" w:rsidR="007D1E1B" w:rsidRDefault="007D1E1B" w:rsidP="00CF05E3">
      <w:pPr>
        <w:pStyle w:val="FootnoteText"/>
        <w:spacing w:before="0"/>
        <w:jc w:val="left"/>
      </w:pPr>
      <w:r w:rsidRPr="00CF05E3">
        <w:rPr>
          <w:rStyle w:val="FootnoteReference"/>
          <w:rFonts w:cstheme="minorHAnsi"/>
          <w:sz w:val="18"/>
          <w:szCs w:val="18"/>
        </w:rPr>
        <w:footnoteRef/>
      </w:r>
      <w:r w:rsidRPr="00CF05E3">
        <w:rPr>
          <w:rFonts w:cstheme="minorHAnsi"/>
          <w:sz w:val="18"/>
          <w:szCs w:val="18"/>
        </w:rPr>
        <w:t xml:space="preserve"> National report on the state of the environment in Croatia 2013-2016</w:t>
      </w:r>
      <w:r w:rsidRPr="00CF05E3">
        <w:rPr>
          <w:rStyle w:val="Hyperlink"/>
          <w:rFonts w:cstheme="minorHAnsi"/>
          <w:sz w:val="18"/>
          <w:szCs w:val="18"/>
        </w:rPr>
        <w:t xml:space="preserve"> (</w:t>
      </w:r>
      <w:hyperlink r:id="rId24" w:history="1">
        <w:r w:rsidRPr="00CF05E3">
          <w:rPr>
            <w:rStyle w:val="Hyperlink"/>
            <w:rFonts w:cstheme="minorHAnsi"/>
            <w:sz w:val="18"/>
            <w:szCs w:val="18"/>
          </w:rPr>
          <w:t>http://www.haop.hr/sites/default/files/uploads/dokumenti/06_integrirane/dokumenti/niso/IZVJ_OKOLIS_2013-2016.pdf</w:t>
        </w:r>
      </w:hyperlink>
      <w:r w:rsidRPr="00CF05E3">
        <w:rPr>
          <w:rStyle w:val="Hyperlink"/>
          <w:rFonts w:cstheme="minorHAnsi"/>
          <w:sz w:val="18"/>
          <w:szCs w:val="18"/>
        </w:rPr>
        <w:t>)</w:t>
      </w:r>
    </w:p>
  </w:footnote>
  <w:footnote w:id="46">
    <w:p w14:paraId="46CA94A9" w14:textId="77777777" w:rsidR="007D1E1B" w:rsidRPr="00CF05E3" w:rsidRDefault="007D1E1B" w:rsidP="00CF05E3">
      <w:pPr>
        <w:pStyle w:val="FootnoteText"/>
        <w:spacing w:before="0"/>
        <w:rPr>
          <w:sz w:val="18"/>
          <w:szCs w:val="18"/>
        </w:rPr>
      </w:pPr>
      <w:r w:rsidRPr="00CF05E3">
        <w:rPr>
          <w:rStyle w:val="FootnoteReference"/>
          <w:sz w:val="18"/>
          <w:szCs w:val="18"/>
        </w:rPr>
        <w:footnoteRef/>
      </w:r>
      <w:r w:rsidRPr="00CF05E3">
        <w:rPr>
          <w:sz w:val="18"/>
          <w:szCs w:val="18"/>
        </w:rPr>
        <w:t xml:space="preserve"> OG 80/13, 15/18, 14/19, 127/19</w:t>
      </w:r>
    </w:p>
  </w:footnote>
  <w:footnote w:id="47">
    <w:p w14:paraId="39B9227F" w14:textId="77777777" w:rsidR="007D1E1B" w:rsidRPr="00A02FDF" w:rsidRDefault="007D1E1B" w:rsidP="00CF05E3">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25" w:tgtFrame="_blank" w:history="1">
        <w:r w:rsidRPr="00CF05E3">
          <w:rPr>
            <w:rStyle w:val="Hyperlink"/>
            <w:color w:val="auto"/>
            <w:sz w:val="18"/>
            <w:szCs w:val="18"/>
          </w:rPr>
          <w:t>http://www.bioportal.hr/gis/</w:t>
        </w:r>
      </w:hyperlink>
    </w:p>
  </w:footnote>
  <w:footnote w:id="48">
    <w:p w14:paraId="0BC7C7E8" w14:textId="67B45795" w:rsidR="007D1E1B" w:rsidRPr="00CF05E3" w:rsidRDefault="007D1E1B" w:rsidP="007D1B95">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Refers to protected areas that are within another, larger protected area, and their surfaces overlap</w:t>
      </w:r>
    </w:p>
  </w:footnote>
  <w:footnote w:id="49">
    <w:p w14:paraId="5C7FC769" w14:textId="77777777" w:rsidR="007D1E1B" w:rsidRPr="00CF05E3" w:rsidRDefault="007D1E1B" w:rsidP="00CF05E3">
      <w:pPr>
        <w:pStyle w:val="FootnoteText"/>
        <w:spacing w:before="0"/>
        <w:jc w:val="left"/>
        <w:rPr>
          <w:sz w:val="18"/>
          <w:szCs w:val="18"/>
        </w:rPr>
      </w:pPr>
      <w:r w:rsidRPr="00CF05E3">
        <w:rPr>
          <w:rStyle w:val="FootnoteReference"/>
          <w:sz w:val="18"/>
          <w:szCs w:val="18"/>
        </w:rPr>
        <w:footnoteRef/>
      </w:r>
      <w:r w:rsidRPr="00CF05E3">
        <w:rPr>
          <w:sz w:val="18"/>
          <w:szCs w:val="18"/>
        </w:rPr>
        <w:t xml:space="preserve"> </w:t>
      </w:r>
      <w:bookmarkStart w:id="62" w:name="_Hlk51774417"/>
      <w:r w:rsidRPr="00CF05E3">
        <w:rPr>
          <w:sz w:val="18"/>
          <w:szCs w:val="18"/>
        </w:rPr>
        <w:t>Source: MoESD, Nature Protection Information System at the MoESD (Bioportal)</w:t>
      </w:r>
      <w:r w:rsidRPr="00CF05E3">
        <w:rPr>
          <w:rStyle w:val="Hyperlink"/>
          <w:color w:val="auto"/>
          <w:sz w:val="18"/>
          <w:szCs w:val="18"/>
          <w:u w:val="none"/>
        </w:rPr>
        <w:t xml:space="preserve"> </w:t>
      </w:r>
      <w:bookmarkEnd w:id="62"/>
      <w:r w:rsidRPr="00CF05E3">
        <w:rPr>
          <w:rStyle w:val="Hyperlink"/>
          <w:sz w:val="18"/>
          <w:szCs w:val="18"/>
        </w:rPr>
        <w:t>http://www.haop.hr/sites/default/files/uploads/dokumenti/021_otpad/Izvjesca/ostalo/OTP_Pregled_gradjevni_2018.pdf)</w:t>
      </w:r>
    </w:p>
  </w:footnote>
  <w:footnote w:id="50">
    <w:p w14:paraId="45FBCE44" w14:textId="1A75FA5F" w:rsidR="007D1E1B" w:rsidRPr="00CF05E3" w:rsidRDefault="007D1E1B" w:rsidP="00CF05E3">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Project appraisal document</w:t>
      </w:r>
    </w:p>
  </w:footnote>
  <w:footnote w:id="51">
    <w:p w14:paraId="50FE12AD" w14:textId="19B621AA" w:rsidR="007D1E1B" w:rsidRPr="00CF05E3" w:rsidRDefault="007D1E1B" w:rsidP="00CF05E3">
      <w:pPr>
        <w:pStyle w:val="FootnoteText"/>
        <w:spacing w:before="0"/>
        <w:jc w:val="left"/>
        <w:rPr>
          <w:rFonts w:cstheme="minorHAnsi"/>
          <w:sz w:val="18"/>
          <w:szCs w:val="18"/>
          <w:lang w:val="en-GB"/>
        </w:rPr>
      </w:pPr>
      <w:r w:rsidRPr="00CF05E3">
        <w:rPr>
          <w:rStyle w:val="FootnoteReference"/>
          <w:sz w:val="18"/>
          <w:szCs w:val="18"/>
          <w:lang w:val="en-GB"/>
        </w:rPr>
        <w:footnoteRef/>
      </w:r>
      <w:r w:rsidRPr="00CF05E3">
        <w:rPr>
          <w:sz w:val="18"/>
          <w:szCs w:val="18"/>
          <w:lang w:val="en-GB"/>
        </w:rPr>
        <w:t xml:space="preserve"> </w:t>
      </w:r>
      <w:r w:rsidRPr="00CF05E3">
        <w:rPr>
          <w:rFonts w:cstheme="minorHAnsi"/>
          <w:sz w:val="18"/>
          <w:szCs w:val="18"/>
          <w:lang w:val="en-GB"/>
        </w:rPr>
        <w:t>National report on the state of the environment in Croatia 2013-2016</w:t>
      </w:r>
      <w:r w:rsidRPr="00CF05E3">
        <w:rPr>
          <w:rStyle w:val="Hyperlink"/>
          <w:rFonts w:cstheme="minorHAnsi"/>
          <w:sz w:val="18"/>
          <w:szCs w:val="18"/>
          <w:lang w:val="en-GB"/>
        </w:rPr>
        <w:t xml:space="preserve"> (http://www.haop.hr/sites/default/files/uploads/dokumenti/06_integrirane/dokumenti/niso/IZVJ_OKOLIS_2013-2016.pdf)</w:t>
      </w:r>
    </w:p>
  </w:footnote>
  <w:footnote w:id="52">
    <w:p w14:paraId="394B8A18" w14:textId="0445F3FB" w:rsidR="007D1E1B" w:rsidRPr="00970CE6" w:rsidRDefault="007D1E1B" w:rsidP="00CF05E3">
      <w:pPr>
        <w:pStyle w:val="FootnoteText"/>
        <w:spacing w:before="0"/>
        <w:jc w:val="left"/>
        <w:rPr>
          <w:rFonts w:cstheme="minorHAnsi"/>
          <w:sz w:val="17"/>
          <w:szCs w:val="17"/>
        </w:rPr>
      </w:pPr>
      <w:r w:rsidRPr="00CF05E3">
        <w:rPr>
          <w:rStyle w:val="FootnoteReference"/>
          <w:rFonts w:cstheme="minorHAnsi"/>
          <w:sz w:val="18"/>
          <w:szCs w:val="18"/>
        </w:rPr>
        <w:footnoteRef/>
      </w:r>
      <w:r w:rsidRPr="00CF05E3">
        <w:rPr>
          <w:rFonts w:cstheme="minorHAnsi"/>
          <w:sz w:val="18"/>
          <w:szCs w:val="18"/>
        </w:rPr>
        <w:t xml:space="preserve"> </w:t>
      </w:r>
      <w:r w:rsidRPr="00CF05E3">
        <w:rPr>
          <w:rFonts w:cstheme="minorHAnsi"/>
          <w:color w:val="23527C"/>
          <w:sz w:val="18"/>
          <w:szCs w:val="18"/>
          <w:u w:val="single"/>
          <w:shd w:val="clear" w:color="auto" w:fill="FFFFFF"/>
        </w:rPr>
        <w:t>National inventory report 2019 (</w:t>
      </w:r>
      <w:hyperlink r:id="rId26" w:history="1">
        <w:r w:rsidRPr="00CF05E3">
          <w:rPr>
            <w:rStyle w:val="Hyperlink"/>
            <w:rFonts w:cstheme="minorHAnsi"/>
            <w:sz w:val="18"/>
            <w:szCs w:val="18"/>
            <w:shd w:val="clear" w:color="auto" w:fill="FFFFFF"/>
          </w:rPr>
          <w:t>http://www.haop.hr/sites/default/files/uploads/dokumenti/012_klima/dostava_podataka/Izvjesca/NIR_2019.pdf</w:t>
        </w:r>
      </w:hyperlink>
      <w:r w:rsidRPr="00CF05E3">
        <w:rPr>
          <w:rFonts w:cstheme="minorHAnsi"/>
          <w:color w:val="23527C"/>
          <w:sz w:val="18"/>
          <w:szCs w:val="18"/>
          <w:u w:val="single"/>
          <w:shd w:val="clear" w:color="auto" w:fill="FFFFFF"/>
        </w:rPr>
        <w:t>)</w:t>
      </w:r>
    </w:p>
  </w:footnote>
  <w:footnote w:id="53">
    <w:p w14:paraId="6AA82BB6" w14:textId="7A2C7E71" w:rsidR="007D1E1B" w:rsidRPr="00CF05E3" w:rsidRDefault="007D1E1B" w:rsidP="00CF05E3">
      <w:pPr>
        <w:pStyle w:val="FootnoteText"/>
        <w:spacing w:before="0"/>
        <w:rPr>
          <w:sz w:val="18"/>
          <w:szCs w:val="18"/>
          <w:lang w:val="en-GB"/>
        </w:rPr>
      </w:pPr>
      <w:r w:rsidRPr="00CF05E3">
        <w:rPr>
          <w:rStyle w:val="FootnoteReference"/>
          <w:sz w:val="18"/>
          <w:szCs w:val="18"/>
        </w:rPr>
        <w:footnoteRef/>
      </w:r>
      <w:r w:rsidRPr="00CF05E3">
        <w:rPr>
          <w:sz w:val="18"/>
          <w:szCs w:val="18"/>
        </w:rPr>
        <w:t xml:space="preserve"> </w:t>
      </w:r>
      <w:hyperlink r:id="rId27" w:history="1">
        <w:r w:rsidRPr="00CF05E3">
          <w:rPr>
            <w:rStyle w:val="Hyperlink"/>
            <w:sz w:val="18"/>
            <w:szCs w:val="18"/>
          </w:rPr>
          <w:t>https://www.insightcruises.com/itinerary_g/ny01_images/Split/Croatian-Cultural-Heritage-2011.pdf</w:t>
        </w:r>
      </w:hyperlink>
    </w:p>
  </w:footnote>
  <w:footnote w:id="54">
    <w:p w14:paraId="50A1D3B6" w14:textId="77777777" w:rsidR="007D1E1B" w:rsidRPr="00CE124D" w:rsidRDefault="007D1E1B" w:rsidP="00CF05E3">
      <w:pPr>
        <w:spacing w:before="0" w:after="0"/>
        <w:rPr>
          <w:rFonts w:ascii="Calibri" w:hAnsi="Calibri" w:cs="Calibri"/>
          <w:color w:val="4472C4"/>
          <w:sz w:val="18"/>
          <w:szCs w:val="18"/>
          <w:u w:val="single"/>
          <w:lang w:val="en-GB"/>
        </w:rPr>
      </w:pPr>
      <w:r w:rsidRPr="00CF05E3">
        <w:rPr>
          <w:rStyle w:val="FootnoteReference"/>
          <w:sz w:val="18"/>
          <w:szCs w:val="18"/>
          <w:lang w:val="en-GB"/>
        </w:rPr>
        <w:footnoteRef/>
      </w:r>
      <w:r w:rsidRPr="00CF05E3">
        <w:rPr>
          <w:sz w:val="18"/>
          <w:szCs w:val="18"/>
          <w:lang w:val="en-GB"/>
        </w:rPr>
        <w:t xml:space="preserve"> All listed protected cultural and historical entities have legal status of protected cultural heritage except of: Rezidencijalni kompleks s park šumom na Pantovčaku, Park skulptura Jakovlje, Spomen- park palim borcima NOB-a, which are registred as preventively protected cultural heritage. </w:t>
      </w:r>
      <w:r w:rsidRPr="00CF05E3">
        <w:rPr>
          <w:rFonts w:ascii="Calibri" w:hAnsi="Calibri" w:cs="Calibri"/>
          <w:sz w:val="18"/>
          <w:szCs w:val="18"/>
          <w:lang w:val="en-GB"/>
        </w:rPr>
        <w:t xml:space="preserve">An overview of the protected cultural and historical entities is available in Register of the Ministry of Culture and Media: </w:t>
      </w:r>
      <w:hyperlink r:id="rId28" w:history="1">
        <w:r w:rsidRPr="00CF05E3">
          <w:rPr>
            <w:rFonts w:ascii="Calibri" w:hAnsi="Calibri" w:cs="Calibri"/>
            <w:color w:val="4472C4"/>
            <w:sz w:val="18"/>
            <w:szCs w:val="18"/>
            <w:u w:val="single"/>
            <w:lang w:val="en-GB"/>
          </w:rPr>
          <w:t>https://registar.kulturnadobra.hr/</w:t>
        </w:r>
      </w:hyperlink>
    </w:p>
  </w:footnote>
  <w:footnote w:id="55">
    <w:p w14:paraId="52771295" w14:textId="3B8DD5B8" w:rsidR="007D1E1B" w:rsidRPr="00CF05E3" w:rsidRDefault="007D1E1B" w:rsidP="007D1B95">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29" w:history="1">
        <w:r w:rsidRPr="00CF05E3">
          <w:rPr>
            <w:color w:val="0000FF"/>
            <w:sz w:val="18"/>
            <w:szCs w:val="18"/>
            <w:u w:val="single"/>
          </w:rPr>
          <w:t>http://croatia.eu/index.php?view=article&amp;lang=2&amp;id=6</w:t>
        </w:r>
      </w:hyperlink>
    </w:p>
  </w:footnote>
  <w:footnote w:id="56">
    <w:p w14:paraId="42F5478A" w14:textId="488BF024" w:rsidR="007D1E1B" w:rsidRPr="00CF05E3" w:rsidRDefault="007D1E1B" w:rsidP="007D1B95">
      <w:pPr>
        <w:pStyle w:val="FootnoteText"/>
        <w:spacing w:before="0"/>
        <w:rPr>
          <w:sz w:val="18"/>
          <w:szCs w:val="18"/>
          <w:lang w:val="en-GB"/>
        </w:rPr>
      </w:pPr>
      <w:r w:rsidRPr="00CF05E3">
        <w:rPr>
          <w:rStyle w:val="FootnoteReference"/>
          <w:sz w:val="18"/>
          <w:szCs w:val="18"/>
        </w:rPr>
        <w:footnoteRef/>
      </w:r>
      <w:r w:rsidRPr="00CF05E3">
        <w:rPr>
          <w:sz w:val="18"/>
          <w:szCs w:val="18"/>
        </w:rPr>
        <w:t xml:space="preserve"> </w:t>
      </w:r>
      <w:hyperlink r:id="rId30" w:history="1">
        <w:r w:rsidRPr="00CF05E3">
          <w:rPr>
            <w:rStyle w:val="Hyperlink"/>
            <w:sz w:val="18"/>
            <w:szCs w:val="18"/>
            <w:lang w:val="en-GB"/>
          </w:rPr>
          <w:t>http://croatia.eu/index.php?view=article&amp;lang=2&amp;id=6</w:t>
        </w:r>
      </w:hyperlink>
    </w:p>
  </w:footnote>
  <w:footnote w:id="57">
    <w:p w14:paraId="7A3A5AD2" w14:textId="77777777" w:rsidR="007D1E1B" w:rsidRPr="00CF05E3" w:rsidRDefault="007D1E1B" w:rsidP="007D1B95">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OG 10/97</w:t>
      </w:r>
    </w:p>
  </w:footnote>
  <w:footnote w:id="58">
    <w:p w14:paraId="069ED7D9" w14:textId="77777777" w:rsidR="007D1E1B" w:rsidRPr="00970CE6" w:rsidRDefault="007D1E1B" w:rsidP="000A5CAA">
      <w:pPr>
        <w:pStyle w:val="FootnoteText"/>
        <w:spacing w:before="0"/>
        <w:rPr>
          <w:sz w:val="17"/>
          <w:szCs w:val="17"/>
          <w:lang w:val="en-GB"/>
        </w:rPr>
      </w:pPr>
      <w:r w:rsidRPr="00CF05E3">
        <w:rPr>
          <w:rStyle w:val="FootnoteReference"/>
          <w:sz w:val="18"/>
          <w:szCs w:val="18"/>
          <w:lang w:val="en-GB"/>
        </w:rPr>
        <w:footnoteRef/>
      </w:r>
      <w:r w:rsidRPr="00CF05E3">
        <w:rPr>
          <w:sz w:val="18"/>
          <w:szCs w:val="18"/>
          <w:lang w:val="en-GB"/>
        </w:rPr>
        <w:t xml:space="preserve"> OG 86/06, 125/06 – correction, 16/07 – correction, 95/08 – Decision Constitutional Court of RC, 46/10 – correction, 145/10, 37/13, 44/13, 45/13 i 110/15)</w:t>
      </w:r>
    </w:p>
  </w:footnote>
  <w:footnote w:id="59">
    <w:p w14:paraId="70654A36" w14:textId="77777777" w:rsidR="007D1E1B" w:rsidRPr="00CF05E3" w:rsidRDefault="007D1E1B" w:rsidP="000A5CAA">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w:t>
      </w:r>
      <w:hyperlink r:id="rId31" w:history="1">
        <w:r w:rsidRPr="00CF05E3">
          <w:rPr>
            <w:rStyle w:val="Hyperlink"/>
            <w:sz w:val="18"/>
            <w:szCs w:val="18"/>
            <w:lang w:val="en-GB"/>
          </w:rPr>
          <w:t>http://croatia.eu/index.php?view=article&amp;lang=2&amp;id=6</w:t>
        </w:r>
      </w:hyperlink>
    </w:p>
  </w:footnote>
  <w:footnote w:id="60">
    <w:p w14:paraId="516EF9E8" w14:textId="410500C1" w:rsidR="007D1E1B" w:rsidRPr="00CF05E3" w:rsidRDefault="007D1E1B" w:rsidP="000A5CAA">
      <w:pPr>
        <w:pStyle w:val="FootnoteText"/>
        <w:spacing w:before="0"/>
        <w:rPr>
          <w:sz w:val="18"/>
          <w:szCs w:val="18"/>
          <w:lang w:val="en-GB"/>
        </w:rPr>
      </w:pPr>
      <w:r w:rsidRPr="00CF05E3">
        <w:rPr>
          <w:rStyle w:val="FootnoteReference"/>
          <w:sz w:val="18"/>
          <w:szCs w:val="18"/>
          <w:lang w:val="en-GB"/>
        </w:rPr>
        <w:footnoteRef/>
      </w:r>
      <w:r w:rsidRPr="00CF05E3">
        <w:rPr>
          <w:sz w:val="18"/>
          <w:szCs w:val="18"/>
          <w:lang w:val="en-GB"/>
        </w:rPr>
        <w:t xml:space="preserve"> </w:t>
      </w:r>
      <w:hyperlink r:id="rId32" w:history="1">
        <w:r w:rsidRPr="00CF05E3">
          <w:rPr>
            <w:rStyle w:val="Hyperlink"/>
            <w:sz w:val="18"/>
            <w:szCs w:val="18"/>
            <w:lang w:val="en-GB"/>
          </w:rPr>
          <w:t>https://vlada.gov.hr/news/gov-t-launches-changes-to-country-s-statistical-subdivision/25178</w:t>
        </w:r>
      </w:hyperlink>
    </w:p>
  </w:footnote>
  <w:footnote w:id="61">
    <w:p w14:paraId="3BE104DB" w14:textId="73A20C10" w:rsidR="007D1E1B" w:rsidRPr="009145AC" w:rsidRDefault="007D1E1B" w:rsidP="000A5CAA">
      <w:pPr>
        <w:pStyle w:val="FootnoteText"/>
        <w:spacing w:before="0"/>
        <w:rPr>
          <w:sz w:val="18"/>
          <w:szCs w:val="18"/>
        </w:rPr>
      </w:pPr>
      <w:r w:rsidRPr="00CF05E3">
        <w:rPr>
          <w:rStyle w:val="FootnoteReference"/>
          <w:sz w:val="18"/>
          <w:szCs w:val="18"/>
        </w:rPr>
        <w:footnoteRef/>
      </w:r>
      <w:r w:rsidRPr="00CF05E3">
        <w:rPr>
          <w:sz w:val="18"/>
          <w:szCs w:val="18"/>
        </w:rPr>
        <w:t xml:space="preserve"> </w:t>
      </w:r>
      <w:r w:rsidRPr="00CF05E3">
        <w:rPr>
          <w:sz w:val="18"/>
          <w:szCs w:val="18"/>
          <w:lang w:val="en-US"/>
        </w:rPr>
        <w:t xml:space="preserve">Source: Izrada prijedloga nove NUTS 2 klasifikacije u RH, Institut za razvoj i međunarodne odnose, 2018, </w:t>
      </w:r>
      <w:hyperlink r:id="rId33" w:history="1">
        <w:r w:rsidRPr="00CF05E3">
          <w:rPr>
            <w:rStyle w:val="Hyperlink"/>
            <w:sz w:val="18"/>
            <w:szCs w:val="18"/>
          </w:rPr>
          <w:t>https://razvoj.gov.hr/UserDocsImages/Vijesti%20-%20dokumenti/Izrada%20prijedloga%20nove%20NUTS%20klasifikacije%20u%20RH%20012019.pdf</w:t>
        </w:r>
      </w:hyperlink>
    </w:p>
  </w:footnote>
  <w:footnote w:id="62">
    <w:p w14:paraId="09071752" w14:textId="3FE942A5" w:rsidR="007D1E1B" w:rsidRPr="00CF05E3" w:rsidRDefault="007D1E1B" w:rsidP="005915CE">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34" w:history="1">
        <w:r w:rsidRPr="00CF05E3">
          <w:rPr>
            <w:rStyle w:val="Hyperlink"/>
            <w:sz w:val="18"/>
            <w:szCs w:val="18"/>
          </w:rPr>
          <w:t>https://www.dzs.hr/Hrv_Eng/publication/2019/07-01-03_01_2019.htm</w:t>
        </w:r>
      </w:hyperlink>
    </w:p>
  </w:footnote>
  <w:footnote w:id="63">
    <w:p w14:paraId="3500DADA" w14:textId="6D6A0503" w:rsidR="007D1E1B" w:rsidRPr="00CF05E3" w:rsidRDefault="007D1E1B" w:rsidP="005915CE">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35" w:history="1">
        <w:r w:rsidRPr="00CF05E3">
          <w:rPr>
            <w:rStyle w:val="Hyperlink"/>
            <w:sz w:val="18"/>
            <w:szCs w:val="18"/>
          </w:rPr>
          <w:t>https://worldpopulationreview.com/countries/croatia-population</w:t>
        </w:r>
      </w:hyperlink>
    </w:p>
  </w:footnote>
  <w:footnote w:id="64">
    <w:p w14:paraId="7D8E00AB" w14:textId="7D294BFC" w:rsidR="007D1E1B" w:rsidRPr="009145AC" w:rsidRDefault="007D1E1B" w:rsidP="007A5EA7">
      <w:pPr>
        <w:pStyle w:val="FootnoteText"/>
        <w:spacing w:before="0"/>
        <w:rPr>
          <w:sz w:val="18"/>
          <w:szCs w:val="18"/>
        </w:rPr>
      </w:pPr>
      <w:r w:rsidRPr="00CF05E3">
        <w:rPr>
          <w:rStyle w:val="FootnoteReference"/>
          <w:sz w:val="18"/>
          <w:szCs w:val="18"/>
        </w:rPr>
        <w:footnoteRef/>
      </w:r>
      <w:r w:rsidRPr="00CF05E3">
        <w:rPr>
          <w:sz w:val="18"/>
          <w:szCs w:val="18"/>
        </w:rPr>
        <w:t xml:space="preserve"> </w:t>
      </w:r>
      <w:hyperlink r:id="rId36" w:history="1">
        <w:r w:rsidRPr="00CF05E3">
          <w:rPr>
            <w:rStyle w:val="Hyperlink"/>
            <w:sz w:val="18"/>
            <w:szCs w:val="18"/>
          </w:rPr>
          <w:t>http://croatia.eu/index.php?view=article&amp;lang=2&amp;id=14</w:t>
        </w:r>
      </w:hyperlink>
    </w:p>
  </w:footnote>
  <w:footnote w:id="65">
    <w:p w14:paraId="6DD18C5C" w14:textId="77777777" w:rsidR="007D1E1B" w:rsidRPr="00B37F72" w:rsidRDefault="007D1E1B" w:rsidP="007A5EA7">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37" w:history="1">
        <w:r w:rsidRPr="00B37F72">
          <w:rPr>
            <w:rStyle w:val="Hyperlink"/>
            <w:sz w:val="18"/>
            <w:szCs w:val="18"/>
          </w:rPr>
          <w:t>https://www.hzjz.hr/wp-content/uploads/2019/08/Prirodno_kretanje_2018.pdf</w:t>
        </w:r>
      </w:hyperlink>
    </w:p>
  </w:footnote>
  <w:footnote w:id="66">
    <w:p w14:paraId="16E29208" w14:textId="2923785E" w:rsidR="007D1E1B" w:rsidRPr="00B37F72" w:rsidRDefault="007D1E1B" w:rsidP="007A5EA7">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38" w:history="1">
        <w:r w:rsidRPr="00B37F72">
          <w:rPr>
            <w:color w:val="0000FF"/>
            <w:sz w:val="18"/>
            <w:szCs w:val="18"/>
            <w:u w:val="single"/>
          </w:rPr>
          <w:t>https://www.dzs.hr/Hrv_Eng/publication/2019/07-01-01_01_2019.htm</w:t>
        </w:r>
      </w:hyperlink>
    </w:p>
  </w:footnote>
  <w:footnote w:id="67">
    <w:p w14:paraId="14C0EE52" w14:textId="77777777" w:rsidR="007D1E1B" w:rsidRPr="00B37F72" w:rsidRDefault="007D1E1B" w:rsidP="001A6F5F">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39" w:history="1">
        <w:r w:rsidRPr="00B37F72">
          <w:rPr>
            <w:rStyle w:val="Hyperlink"/>
            <w:sz w:val="18"/>
            <w:szCs w:val="18"/>
          </w:rPr>
          <w:t>https://www.hnb.hr/statistika/glavni-makroekonomski-indikatori</w:t>
        </w:r>
      </w:hyperlink>
    </w:p>
  </w:footnote>
  <w:footnote w:id="68">
    <w:p w14:paraId="3ACC734C" w14:textId="72E3213A" w:rsidR="007D1E1B" w:rsidRPr="00B37F72" w:rsidRDefault="007D1E1B" w:rsidP="007A5EA7">
      <w:pPr>
        <w:pStyle w:val="FootnoteText"/>
        <w:spacing w:before="0"/>
        <w:jc w:val="left"/>
        <w:rPr>
          <w:sz w:val="18"/>
          <w:szCs w:val="18"/>
        </w:rPr>
      </w:pPr>
      <w:r w:rsidRPr="00B37F72">
        <w:rPr>
          <w:rStyle w:val="FootnoteReference"/>
          <w:sz w:val="18"/>
          <w:szCs w:val="18"/>
        </w:rPr>
        <w:footnoteRef/>
      </w:r>
      <w:r w:rsidRPr="00B37F72">
        <w:rPr>
          <w:sz w:val="18"/>
          <w:szCs w:val="18"/>
        </w:rPr>
        <w:t xml:space="preserve"> </w:t>
      </w:r>
      <w:hyperlink r:id="rId40" w:history="1">
        <w:r w:rsidRPr="00B37F72">
          <w:rPr>
            <w:rStyle w:val="Hyperlink"/>
            <w:sz w:val="18"/>
            <w:szCs w:val="18"/>
          </w:rPr>
          <w:t>https://ec.europa.eu/eurostat/statistics-explained/images/9/9f/Gross_value_added_at_current_basic_prices%2C_2008_and_2018_%28%25_share_of_total_gross_value_added%29_FP19.png</w:t>
        </w:r>
      </w:hyperlink>
    </w:p>
  </w:footnote>
  <w:footnote w:id="69">
    <w:p w14:paraId="6F520C0B" w14:textId="77777777" w:rsidR="007D1E1B" w:rsidRPr="00B37F72" w:rsidRDefault="007D1E1B" w:rsidP="00761845">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1" w:history="1">
        <w:r w:rsidRPr="00B37F72">
          <w:rPr>
            <w:rStyle w:val="Hyperlink"/>
            <w:sz w:val="18"/>
            <w:szCs w:val="18"/>
          </w:rPr>
          <w:t>https://ec.europa.eu/info/sites/info/files/economy-finance/eb036_en.pdf</w:t>
        </w:r>
      </w:hyperlink>
    </w:p>
  </w:footnote>
  <w:footnote w:id="70">
    <w:p w14:paraId="2031AFA2" w14:textId="0E7EA596" w:rsidR="007D1E1B" w:rsidRPr="00B37F72" w:rsidRDefault="007D1E1B" w:rsidP="007A5EA7">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2" w:history="1">
        <w:r w:rsidRPr="00B37F72">
          <w:rPr>
            <w:rStyle w:val="Hyperlink"/>
            <w:sz w:val="18"/>
            <w:szCs w:val="18"/>
          </w:rPr>
          <w:t>https://europa.eu/european-union/about-eu/countries/member-countries/croatia_en</w:t>
        </w:r>
      </w:hyperlink>
      <w:r w:rsidRPr="00B37F72">
        <w:rPr>
          <w:rStyle w:val="Hyperlink"/>
          <w:sz w:val="18"/>
          <w:szCs w:val="18"/>
        </w:rPr>
        <w:t>;</w:t>
      </w:r>
    </w:p>
  </w:footnote>
  <w:footnote w:id="71">
    <w:p w14:paraId="63172E04" w14:textId="6FD667FF" w:rsidR="007D1E1B" w:rsidRDefault="007D1E1B" w:rsidP="00363D90">
      <w:pPr>
        <w:pStyle w:val="FootnoteText"/>
        <w:spacing w:before="0"/>
      </w:pPr>
      <w:r w:rsidRPr="00B37F72">
        <w:rPr>
          <w:rStyle w:val="FootnoteReference"/>
          <w:sz w:val="18"/>
          <w:szCs w:val="18"/>
        </w:rPr>
        <w:footnoteRef/>
      </w:r>
      <w:r w:rsidRPr="00B37F72">
        <w:rPr>
          <w:sz w:val="18"/>
          <w:szCs w:val="18"/>
        </w:rPr>
        <w:t xml:space="preserve"> </w:t>
      </w:r>
      <w:hyperlink r:id="rId43" w:history="1">
        <w:r w:rsidRPr="00B37F72">
          <w:rPr>
            <w:color w:val="0000FF"/>
            <w:sz w:val="18"/>
            <w:szCs w:val="18"/>
            <w:u w:val="single"/>
          </w:rPr>
          <w:t>https://www.dzs.hr/Hrv_Eng/publication/2020/12-01-03_01_2020.htm</w:t>
        </w:r>
      </w:hyperlink>
    </w:p>
  </w:footnote>
  <w:footnote w:id="72">
    <w:p w14:paraId="0068754C" w14:textId="56F7D172" w:rsidR="007D1E1B" w:rsidRPr="00B37F72" w:rsidRDefault="007D1E1B" w:rsidP="0029338B">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4" w:anchor="3" w:history="1">
        <w:r w:rsidRPr="00B37F72">
          <w:rPr>
            <w:rStyle w:val="Hyperlink"/>
            <w:sz w:val="18"/>
            <w:szCs w:val="18"/>
          </w:rPr>
          <w:t>https://www.worldbank.org/en/country/croatia/overview#3</w:t>
        </w:r>
      </w:hyperlink>
    </w:p>
  </w:footnote>
  <w:footnote w:id="73">
    <w:p w14:paraId="3DA6FEA3" w14:textId="2A030FCE" w:rsidR="007D1E1B" w:rsidRPr="00B37F72" w:rsidRDefault="007D1E1B" w:rsidP="0029338B">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5" w:history="1">
        <w:r w:rsidRPr="00B37F72">
          <w:rPr>
            <w:rStyle w:val="Hyperlink"/>
            <w:sz w:val="18"/>
            <w:szCs w:val="18"/>
          </w:rPr>
          <w:t>https://www.dzs.hr/Hrv/publication/StatisticsInLine.htm</w:t>
        </w:r>
      </w:hyperlink>
    </w:p>
  </w:footnote>
  <w:footnote w:id="74">
    <w:p w14:paraId="0D2CFDA1" w14:textId="2EEFEECD" w:rsidR="007D1E1B" w:rsidRDefault="007D1E1B" w:rsidP="0029338B">
      <w:pPr>
        <w:pStyle w:val="FootnoteText"/>
        <w:spacing w:before="0"/>
      </w:pPr>
      <w:r w:rsidRPr="00B37F72">
        <w:rPr>
          <w:rStyle w:val="FootnoteReference"/>
          <w:sz w:val="18"/>
          <w:szCs w:val="18"/>
        </w:rPr>
        <w:footnoteRef/>
      </w:r>
      <w:r w:rsidRPr="00B37F72">
        <w:rPr>
          <w:sz w:val="18"/>
          <w:szCs w:val="18"/>
        </w:rPr>
        <w:t xml:space="preserve"> Source: CBS</w:t>
      </w:r>
    </w:p>
  </w:footnote>
  <w:footnote w:id="75">
    <w:p w14:paraId="7E1D16B5" w14:textId="09A34FBC" w:rsidR="007D1E1B" w:rsidRPr="00B37F72" w:rsidRDefault="007D1E1B" w:rsidP="00026545">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46" w:history="1">
        <w:r w:rsidRPr="00B37F72">
          <w:rPr>
            <w:rStyle w:val="Hyperlink"/>
            <w:sz w:val="18"/>
            <w:szCs w:val="18"/>
          </w:rPr>
          <w:t>https://www.worldbank.org/en/country/croatia/overview</w:t>
        </w:r>
      </w:hyperlink>
    </w:p>
  </w:footnote>
  <w:footnote w:id="76">
    <w:p w14:paraId="0DEF9445" w14:textId="5549354A" w:rsidR="007D1E1B" w:rsidRPr="00B37F72" w:rsidRDefault="007D1E1B" w:rsidP="0061792B">
      <w:pPr>
        <w:pStyle w:val="FootnoteText"/>
        <w:spacing w:before="0"/>
        <w:rPr>
          <w:sz w:val="18"/>
          <w:szCs w:val="18"/>
        </w:rPr>
      </w:pPr>
      <w:r w:rsidRPr="00B37F72">
        <w:rPr>
          <w:rStyle w:val="FootnoteReference"/>
          <w:sz w:val="18"/>
          <w:szCs w:val="18"/>
        </w:rPr>
        <w:footnoteRef/>
      </w:r>
      <w:r w:rsidRPr="00B37F72">
        <w:rPr>
          <w:sz w:val="18"/>
          <w:szCs w:val="18"/>
        </w:rPr>
        <w:t xml:space="preserve">OG </w:t>
      </w:r>
      <w:r w:rsidRPr="00B37F72">
        <w:rPr>
          <w:sz w:val="18"/>
          <w:szCs w:val="18"/>
          <w:lang w:val="en-GB"/>
        </w:rPr>
        <w:t>157/13, 152/14,99/15, 52/16,16/17, 130/17 and 98/19</w:t>
      </w:r>
    </w:p>
  </w:footnote>
  <w:footnote w:id="77">
    <w:p w14:paraId="3D45DFE1" w14:textId="77777777" w:rsidR="007D1E1B" w:rsidRDefault="007D1E1B" w:rsidP="0061792B">
      <w:pPr>
        <w:pStyle w:val="FootnoteText"/>
        <w:spacing w:before="0"/>
      </w:pPr>
      <w:r w:rsidRPr="00B37F72">
        <w:rPr>
          <w:rStyle w:val="FootnoteReference"/>
          <w:sz w:val="18"/>
          <w:szCs w:val="18"/>
        </w:rPr>
        <w:footnoteRef/>
      </w:r>
      <w:r w:rsidRPr="00B37F72">
        <w:rPr>
          <w:sz w:val="18"/>
          <w:szCs w:val="18"/>
        </w:rPr>
        <w:t xml:space="preserve"> </w:t>
      </w:r>
      <w:hyperlink r:id="rId47" w:history="1">
        <w:r w:rsidRPr="00B37F72">
          <w:rPr>
            <w:rStyle w:val="Hyperlink"/>
            <w:sz w:val="18"/>
            <w:szCs w:val="18"/>
          </w:rPr>
          <w:t>https://gov.hr/moja-uprava/obitelj-i-zivot/socijalna-skrb/sustav-socijalne-skrbi/367</w:t>
        </w:r>
      </w:hyperlink>
    </w:p>
  </w:footnote>
  <w:footnote w:id="78">
    <w:p w14:paraId="335EC088" w14:textId="7B6138C4" w:rsidR="007D1E1B" w:rsidRPr="00B37F72" w:rsidRDefault="007D1E1B" w:rsidP="00B37F72">
      <w:pPr>
        <w:spacing w:before="0" w:after="0"/>
        <w:jc w:val="left"/>
        <w:rPr>
          <w:sz w:val="18"/>
          <w:szCs w:val="18"/>
        </w:rPr>
      </w:pPr>
      <w:r w:rsidRPr="00B37F72">
        <w:rPr>
          <w:rStyle w:val="FootnoteReference"/>
          <w:sz w:val="18"/>
          <w:szCs w:val="18"/>
        </w:rPr>
        <w:footnoteRef/>
      </w:r>
      <w:r w:rsidRPr="00B37F72">
        <w:rPr>
          <w:sz w:val="18"/>
          <w:szCs w:val="18"/>
        </w:rPr>
        <w:t xml:space="preserve"> </w:t>
      </w:r>
      <w:r w:rsidRPr="00B37F72">
        <w:rPr>
          <w:sz w:val="18"/>
          <w:szCs w:val="18"/>
          <w:lang w:val="en-US"/>
        </w:rPr>
        <w:t>Source: CBS,</w:t>
      </w:r>
      <w:r w:rsidRPr="00B37F72">
        <w:rPr>
          <w:sz w:val="18"/>
          <w:szCs w:val="18"/>
        </w:rPr>
        <w:t xml:space="preserve"> </w:t>
      </w:r>
      <w:hyperlink r:id="rId48" w:history="1">
        <w:r w:rsidRPr="00B37F72">
          <w:rPr>
            <w:rStyle w:val="Hyperlink"/>
            <w:sz w:val="18"/>
            <w:szCs w:val="18"/>
          </w:rPr>
          <w:t>https://www.dzs.hr/Hrv/publication/StatisticsInLine.htm</w:t>
        </w:r>
      </w:hyperlink>
      <w:r w:rsidRPr="00B37F72">
        <w:rPr>
          <w:sz w:val="18"/>
          <w:szCs w:val="18"/>
        </w:rPr>
        <w:t xml:space="preserve"> (</w:t>
      </w:r>
      <w:hyperlink r:id="rId49" w:history="1">
        <w:r w:rsidRPr="00B37F72">
          <w:rPr>
            <w:rStyle w:val="Hyperlink"/>
            <w:sz w:val="18"/>
            <w:szCs w:val="18"/>
          </w:rPr>
          <w:t>https://www.dzs.hr/Hrv_Eng/publication/2020/10-01-05_01_2020.htm</w:t>
        </w:r>
      </w:hyperlink>
      <w:r w:rsidRPr="00B37F72">
        <w:rPr>
          <w:rStyle w:val="Hyperlink"/>
          <w:sz w:val="18"/>
          <w:szCs w:val="18"/>
        </w:rPr>
        <w:t>)</w:t>
      </w:r>
    </w:p>
  </w:footnote>
  <w:footnote w:id="79">
    <w:p w14:paraId="6FAABF75" w14:textId="77777777" w:rsidR="007D1E1B" w:rsidRPr="00B37F72" w:rsidRDefault="007D1E1B" w:rsidP="00750169">
      <w:pPr>
        <w:pStyle w:val="FootnoteText"/>
        <w:spacing w:before="0"/>
        <w:jc w:val="left"/>
        <w:rPr>
          <w:sz w:val="18"/>
          <w:szCs w:val="18"/>
        </w:rPr>
      </w:pPr>
      <w:r w:rsidRPr="00B37F72">
        <w:rPr>
          <w:rStyle w:val="FootnoteReference"/>
          <w:sz w:val="18"/>
          <w:szCs w:val="18"/>
        </w:rPr>
        <w:footnoteRef/>
      </w:r>
      <w:r w:rsidRPr="00B37F72">
        <w:rPr>
          <w:sz w:val="18"/>
          <w:szCs w:val="18"/>
        </w:rPr>
        <w:t xml:space="preserve"> </w:t>
      </w:r>
      <w:hyperlink r:id="rId50" w:history="1">
        <w:r w:rsidRPr="00B37F72">
          <w:rPr>
            <w:rStyle w:val="Hyperlink"/>
            <w:sz w:val="18"/>
            <w:szCs w:val="18"/>
          </w:rPr>
          <w:t>https://ec.europa.eu/health/sites/health/files/state/docs/chp_hr_english.pdf</w:t>
        </w:r>
      </w:hyperlink>
      <w:r w:rsidRPr="00B37F72">
        <w:rPr>
          <w:rStyle w:val="Hyperlink"/>
          <w:sz w:val="18"/>
          <w:szCs w:val="18"/>
        </w:rPr>
        <w:t xml:space="preserve">; </w:t>
      </w:r>
      <w:hyperlink r:id="rId51" w:history="1">
        <w:r w:rsidRPr="00B37F72">
          <w:rPr>
            <w:rStyle w:val="Hyperlink"/>
            <w:sz w:val="18"/>
            <w:szCs w:val="18"/>
          </w:rPr>
          <w:t>https://ec.europa.eu/health/sites/health/files/state/docs/2019_chp_hr_english.pdf</w:t>
        </w:r>
      </w:hyperlink>
    </w:p>
  </w:footnote>
  <w:footnote w:id="80">
    <w:p w14:paraId="359E3B15" w14:textId="4519500D" w:rsidR="007D1E1B" w:rsidRPr="00B37F72" w:rsidRDefault="007D1E1B" w:rsidP="00E56196">
      <w:pPr>
        <w:pStyle w:val="FootnoteText"/>
        <w:spacing w:before="0"/>
        <w:rPr>
          <w:sz w:val="18"/>
          <w:szCs w:val="18"/>
          <w:lang w:val="en-GB"/>
        </w:rPr>
      </w:pPr>
      <w:r w:rsidRPr="00B37F72">
        <w:rPr>
          <w:rStyle w:val="FootnoteReference"/>
          <w:sz w:val="18"/>
          <w:szCs w:val="18"/>
        </w:rPr>
        <w:footnoteRef/>
      </w:r>
      <w:r w:rsidRPr="00B37F72">
        <w:rPr>
          <w:sz w:val="18"/>
          <w:szCs w:val="18"/>
        </w:rPr>
        <w:t xml:space="preserve"> </w:t>
      </w:r>
      <w:hyperlink r:id="rId52" w:history="1">
        <w:r w:rsidRPr="00B37F72">
          <w:rPr>
            <w:rStyle w:val="Hyperlink"/>
            <w:sz w:val="18"/>
            <w:szCs w:val="18"/>
          </w:rPr>
          <w:t>https://www.who.int/health-laws/countries/hrv-en.pdf?ua=1</w:t>
        </w:r>
      </w:hyperlink>
    </w:p>
  </w:footnote>
  <w:footnote w:id="81">
    <w:p w14:paraId="5F909A0F" w14:textId="2D28F911" w:rsidR="007D1E1B" w:rsidRPr="00B37F72" w:rsidRDefault="007D1E1B" w:rsidP="00E56196">
      <w:pPr>
        <w:pStyle w:val="FootnoteText"/>
        <w:spacing w:before="0"/>
        <w:rPr>
          <w:sz w:val="18"/>
          <w:szCs w:val="18"/>
        </w:rPr>
      </w:pPr>
      <w:r w:rsidRPr="00B37F72">
        <w:rPr>
          <w:rStyle w:val="FootnoteReference"/>
          <w:sz w:val="18"/>
          <w:szCs w:val="18"/>
        </w:rPr>
        <w:footnoteRef/>
      </w:r>
      <w:r w:rsidRPr="00B37F72">
        <w:rPr>
          <w:sz w:val="18"/>
          <w:szCs w:val="18"/>
        </w:rPr>
        <w:t xml:space="preserve"> Source: Public health institute</w:t>
      </w:r>
    </w:p>
  </w:footnote>
  <w:footnote w:id="82">
    <w:p w14:paraId="497BB447" w14:textId="77777777" w:rsidR="007D1E1B" w:rsidRPr="00B37F72" w:rsidRDefault="007D1E1B" w:rsidP="00E56196">
      <w:pPr>
        <w:pStyle w:val="FootnoteText"/>
        <w:spacing w:before="0"/>
        <w:rPr>
          <w:sz w:val="18"/>
          <w:szCs w:val="18"/>
        </w:rPr>
      </w:pPr>
      <w:r w:rsidRPr="00B37F72">
        <w:rPr>
          <w:rStyle w:val="FootnoteReference"/>
          <w:sz w:val="18"/>
          <w:szCs w:val="18"/>
        </w:rPr>
        <w:footnoteRef/>
      </w:r>
      <w:r w:rsidRPr="00B37F72">
        <w:rPr>
          <w:sz w:val="18"/>
          <w:szCs w:val="18"/>
        </w:rPr>
        <w:t xml:space="preserve"> </w:t>
      </w:r>
      <w:hyperlink r:id="rId53" w:history="1">
        <w:r w:rsidRPr="00B37F72">
          <w:rPr>
            <w:rStyle w:val="Hyperlink"/>
            <w:sz w:val="18"/>
            <w:szCs w:val="18"/>
          </w:rPr>
          <w:t>https://www.hzjz.hr/periodicne-publikacije/hrvatski-zdravstveno-statisticki-ljetopis-za-2019-tablicni-podaci/</w:t>
        </w:r>
      </w:hyperlink>
    </w:p>
  </w:footnote>
  <w:footnote w:id="83">
    <w:p w14:paraId="7F4AC168" w14:textId="68071661" w:rsidR="007D1E1B" w:rsidRDefault="007D1E1B" w:rsidP="00E56196">
      <w:pPr>
        <w:pStyle w:val="FootnoteText"/>
        <w:spacing w:before="0"/>
      </w:pPr>
      <w:r w:rsidRPr="00B37F72">
        <w:rPr>
          <w:rStyle w:val="FootnoteReference"/>
          <w:sz w:val="18"/>
          <w:szCs w:val="18"/>
        </w:rPr>
        <w:footnoteRef/>
      </w:r>
      <w:r w:rsidRPr="00B37F72">
        <w:rPr>
          <w:sz w:val="18"/>
          <w:szCs w:val="18"/>
        </w:rPr>
        <w:t xml:space="preserve"> </w:t>
      </w:r>
      <w:hyperlink r:id="rId54" w:history="1">
        <w:r w:rsidRPr="00B37F72">
          <w:rPr>
            <w:rStyle w:val="Hyperlink"/>
            <w:rFonts w:ascii="Calibri" w:hAnsi="Calibri" w:cs="Helvetica"/>
            <w:sz w:val="18"/>
            <w:szCs w:val="18"/>
          </w:rPr>
          <w:t>https://www.zakon.hr/z/190/Zakon-o-zdravstvenoj-za%C5%A1titi</w:t>
        </w:r>
      </w:hyperlink>
    </w:p>
  </w:footnote>
  <w:footnote w:id="84">
    <w:p w14:paraId="34156666" w14:textId="77777777" w:rsidR="007D1E1B" w:rsidRPr="00B37F72" w:rsidRDefault="007D1E1B" w:rsidP="00B37F72">
      <w:pPr>
        <w:pStyle w:val="FootnoteText"/>
        <w:spacing w:before="0"/>
        <w:rPr>
          <w:sz w:val="18"/>
          <w:szCs w:val="18"/>
          <w:lang w:val="en-GB"/>
        </w:rPr>
      </w:pPr>
      <w:r w:rsidRPr="00B37F72">
        <w:rPr>
          <w:rStyle w:val="FootnoteReference"/>
          <w:sz w:val="18"/>
          <w:szCs w:val="18"/>
        </w:rPr>
        <w:footnoteRef/>
      </w:r>
      <w:r w:rsidRPr="00B37F72">
        <w:rPr>
          <w:sz w:val="18"/>
          <w:szCs w:val="18"/>
        </w:rPr>
        <w:t xml:space="preserve"> Permiting procedure according to Industrial Emissions Directive (IPPC, Directive 96/61/EC concerning integrated pollution prevention and control was repealed by Directive 2010/75/EU on industrial emission, IED)</w:t>
      </w:r>
    </w:p>
  </w:footnote>
  <w:footnote w:id="85">
    <w:p w14:paraId="422F4F8A" w14:textId="77777777" w:rsidR="007D1E1B" w:rsidRPr="00970CE6" w:rsidRDefault="007D1E1B" w:rsidP="00B37F72">
      <w:pPr>
        <w:pStyle w:val="FootnoteText"/>
        <w:spacing w:before="0"/>
        <w:rPr>
          <w:sz w:val="17"/>
          <w:szCs w:val="17"/>
          <w:lang w:val="en-GB"/>
        </w:rPr>
      </w:pPr>
      <w:r w:rsidRPr="00B37F72">
        <w:rPr>
          <w:rStyle w:val="FootnoteReference"/>
          <w:sz w:val="18"/>
          <w:szCs w:val="18"/>
        </w:rPr>
        <w:footnoteRef/>
      </w:r>
      <w:r w:rsidRPr="00B37F72">
        <w:rPr>
          <w:sz w:val="18"/>
          <w:szCs w:val="18"/>
        </w:rPr>
        <w:t xml:space="preserve"> </w:t>
      </w:r>
      <w:r w:rsidRPr="00B37F72">
        <w:rPr>
          <w:sz w:val="18"/>
          <w:szCs w:val="18"/>
          <w:lang w:val="en-GB"/>
        </w:rPr>
        <w:t>Temporary construction site is any work place where construction and other works are performed and whose incomplete list is given in Annex I. of this Ordinance</w:t>
      </w:r>
    </w:p>
  </w:footnote>
  <w:footnote w:id="86">
    <w:p w14:paraId="158165FB" w14:textId="0DD21536" w:rsidR="007D1E1B" w:rsidRPr="00970CE6" w:rsidRDefault="007D1E1B" w:rsidP="00B37F72">
      <w:pPr>
        <w:pStyle w:val="FootnoteText"/>
        <w:spacing w:before="0"/>
        <w:rPr>
          <w:sz w:val="17"/>
          <w:szCs w:val="17"/>
          <w:lang w:val="en-GB"/>
        </w:rPr>
      </w:pPr>
      <w:r w:rsidRPr="00B37F72">
        <w:rPr>
          <w:rStyle w:val="FootnoteReference"/>
          <w:sz w:val="18"/>
          <w:szCs w:val="18"/>
        </w:rPr>
        <w:footnoteRef/>
      </w:r>
      <w:r w:rsidRPr="00B37F72">
        <w:rPr>
          <w:sz w:val="18"/>
          <w:szCs w:val="18"/>
        </w:rPr>
        <w:t xml:space="preserve"> </w:t>
      </w:r>
      <w:r w:rsidRPr="00B37F72">
        <w:rPr>
          <w:sz w:val="18"/>
          <w:szCs w:val="18"/>
          <w:lang w:val="en-GB"/>
        </w:rPr>
        <w:t>For interventions/projects listed in Annex II and III, which do not meet the criteria set out in these annexes, and which could have a significant negative impact on the environment competent administrative body is the county/City of Zagreb. MoESD for interventions/projects for which it is necessary to obtain an environmental permit according to a special regulation, and which are not listed in Annex I.</w:t>
      </w:r>
    </w:p>
  </w:footnote>
  <w:footnote w:id="87">
    <w:p w14:paraId="326E94B4" w14:textId="1A82AE49" w:rsidR="007D1E1B" w:rsidRPr="00970CE6" w:rsidRDefault="007D1E1B" w:rsidP="00DC2425">
      <w:pPr>
        <w:pStyle w:val="FootnoteText"/>
        <w:spacing w:before="0"/>
        <w:rPr>
          <w:sz w:val="17"/>
          <w:szCs w:val="17"/>
        </w:rPr>
      </w:pPr>
      <w:r w:rsidRPr="00DC2425">
        <w:rPr>
          <w:rStyle w:val="FootnoteReference"/>
          <w:sz w:val="18"/>
          <w:szCs w:val="18"/>
        </w:rPr>
        <w:footnoteRef/>
      </w:r>
      <w:r w:rsidRPr="00DC2425">
        <w:rPr>
          <w:sz w:val="18"/>
          <w:szCs w:val="18"/>
          <w:lang w:val="en-GB"/>
        </w:rPr>
        <w:t xml:space="preserve"> The ecological network of the Republic of Croatia (Natura 2000 network) according to Article 5 of the Regulation consists of conservation areas important for birds - POP, conservation areas important for species and habitat types - POVS, probable conservation areas important for species and habitat types (vPOVS) and special areas of conservation important for species and habitat types (PPOVS).</w:t>
      </w:r>
    </w:p>
  </w:footnote>
  <w:footnote w:id="88">
    <w:p w14:paraId="6CE703AB" w14:textId="77777777" w:rsidR="007D1E1B" w:rsidRPr="00DC2425" w:rsidRDefault="007D1E1B" w:rsidP="00924F42">
      <w:pPr>
        <w:pStyle w:val="FootnoteText"/>
        <w:spacing w:before="0"/>
        <w:jc w:val="left"/>
        <w:rPr>
          <w:rFonts w:cs="Calibri"/>
          <w:sz w:val="18"/>
          <w:szCs w:val="18"/>
          <w:lang w:val="en-GB"/>
        </w:rPr>
      </w:pPr>
      <w:r w:rsidRPr="00DC2425">
        <w:rPr>
          <w:rStyle w:val="FootnoteReference"/>
          <w:rFonts w:cs="Calibri"/>
          <w:sz w:val="18"/>
          <w:szCs w:val="18"/>
        </w:rPr>
        <w:footnoteRef/>
      </w:r>
      <w:r w:rsidRPr="00DC2425">
        <w:rPr>
          <w:rFonts w:cs="Calibri"/>
          <w:sz w:val="18"/>
          <w:szCs w:val="18"/>
        </w:rPr>
        <w:t xml:space="preserve"> </w:t>
      </w:r>
      <w:r w:rsidRPr="00DC2425">
        <w:rPr>
          <w:rFonts w:cs="Calibri"/>
          <w:sz w:val="18"/>
          <w:szCs w:val="18"/>
          <w:lang w:val="en-GB"/>
        </w:rPr>
        <w:t>Regulation on the definition of construction works, other projects and surfaces of state and regional significance (OG 37/14, 154/14)</w:t>
      </w:r>
    </w:p>
  </w:footnote>
  <w:footnote w:id="89">
    <w:p w14:paraId="7584ACC1" w14:textId="77777777" w:rsidR="007D1E1B" w:rsidRPr="0061671C" w:rsidRDefault="007D1E1B" w:rsidP="00924F42">
      <w:pPr>
        <w:pStyle w:val="FootnoteText"/>
        <w:spacing w:before="0"/>
        <w:jc w:val="left"/>
        <w:rPr>
          <w:sz w:val="17"/>
          <w:szCs w:val="17"/>
        </w:rPr>
      </w:pPr>
      <w:r w:rsidRPr="00DC2425">
        <w:rPr>
          <w:rStyle w:val="FootnoteReference"/>
          <w:sz w:val="18"/>
          <w:szCs w:val="18"/>
        </w:rPr>
        <w:footnoteRef/>
      </w:r>
      <w:r w:rsidRPr="00DC2425">
        <w:rPr>
          <w:sz w:val="18"/>
          <w:szCs w:val="18"/>
        </w:rPr>
        <w:t xml:space="preserve"> </w:t>
      </w:r>
      <w:hyperlink r:id="rId55" w:history="1">
        <w:r w:rsidRPr="00DC2425">
          <w:rPr>
            <w:rStyle w:val="Hyperlink1"/>
            <w:rFonts w:cs="Calibri"/>
            <w:sz w:val="18"/>
            <w:szCs w:val="18"/>
            <w:lang w:val="en-GB"/>
          </w:rPr>
          <w:t>https://www.zagreb.hr/zakljucak-o-proglasenju-prirodne-nepogode/156586</w:t>
        </w:r>
      </w:hyperlink>
    </w:p>
  </w:footnote>
  <w:footnote w:id="90">
    <w:p w14:paraId="7DE46F35" w14:textId="77777777" w:rsidR="007D1E1B" w:rsidRPr="00DC2425" w:rsidRDefault="007D1E1B" w:rsidP="00DC2425">
      <w:pPr>
        <w:pStyle w:val="FootnoteText"/>
        <w:spacing w:before="0"/>
        <w:jc w:val="left"/>
        <w:rPr>
          <w:sz w:val="18"/>
          <w:szCs w:val="18"/>
          <w:lang w:val="en-GB"/>
        </w:rPr>
      </w:pPr>
      <w:r w:rsidRPr="00DC2425">
        <w:rPr>
          <w:rStyle w:val="FootnoteReference"/>
          <w:sz w:val="18"/>
          <w:szCs w:val="18"/>
          <w:lang w:val="en-GB"/>
        </w:rPr>
        <w:footnoteRef/>
      </w:r>
      <w:hyperlink r:id="rId56" w:history="1">
        <w:r w:rsidRPr="00DC2425">
          <w:rPr>
            <w:rStyle w:val="Hyperlink1"/>
            <w:sz w:val="18"/>
            <w:szCs w:val="18"/>
            <w:lang w:val="en-GB"/>
          </w:rPr>
          <w:t>https://www.zagrebacka-zupanija.hr/media/filer_public/62/9a/629ac179-67fc-4cbd-a252-39cd3c7b890f/sharpzagrebacka-zupanijahr_20200324_150028.pdf</w:t>
        </w:r>
      </w:hyperlink>
    </w:p>
  </w:footnote>
  <w:footnote w:id="91">
    <w:p w14:paraId="3F8B3146" w14:textId="77777777" w:rsidR="007D1E1B" w:rsidRPr="00DC2425" w:rsidRDefault="007D1E1B" w:rsidP="00DC2425">
      <w:pPr>
        <w:pStyle w:val="FootnoteText"/>
        <w:spacing w:before="0"/>
        <w:jc w:val="left"/>
        <w:rPr>
          <w:sz w:val="18"/>
          <w:szCs w:val="18"/>
          <w:lang w:val="en-GB"/>
        </w:rPr>
      </w:pPr>
      <w:r w:rsidRPr="00DC2425">
        <w:rPr>
          <w:rStyle w:val="FootnoteReference"/>
          <w:sz w:val="18"/>
          <w:szCs w:val="18"/>
          <w:lang w:val="en-GB"/>
        </w:rPr>
        <w:footnoteRef/>
      </w:r>
      <w:r w:rsidRPr="00DC2425">
        <w:rPr>
          <w:sz w:val="18"/>
          <w:szCs w:val="18"/>
          <w:lang w:val="en-GB"/>
        </w:rPr>
        <w:t xml:space="preserve"> </w:t>
      </w:r>
      <w:hyperlink r:id="rId57" w:history="1">
        <w:r w:rsidRPr="00DC2425">
          <w:rPr>
            <w:rStyle w:val="Hyperlink1"/>
            <w:sz w:val="18"/>
            <w:szCs w:val="18"/>
            <w:lang w:val="en-GB"/>
          </w:rPr>
          <w:t>http://www.kzz.hr/sadrzaj/novosti/proglasenju-prirodne-nepogode-ds-gs/Odluka.pdf</w:t>
        </w:r>
      </w:hyperlink>
      <w:r w:rsidRPr="00DC2425">
        <w:rPr>
          <w:sz w:val="18"/>
          <w:szCs w:val="18"/>
          <w:lang w:val="en-GB"/>
        </w:rPr>
        <w:t xml:space="preserve">: </w:t>
      </w:r>
      <w:hyperlink r:id="rId58" w:history="1">
        <w:r w:rsidRPr="00DC2425">
          <w:rPr>
            <w:rStyle w:val="Hyperlink1"/>
            <w:sz w:val="18"/>
            <w:szCs w:val="18"/>
            <w:lang w:val="en-GB"/>
          </w:rPr>
          <w:t>https://www.zagrebacka-zupanija.hr/media/filer_public/25/7f/257fb285-b06b-4c96-98c3-e90c614fbb4c/odluka_o_proglasenju_nepogode_potres_27032020.pdf</w:t>
        </w:r>
      </w:hyperlink>
    </w:p>
  </w:footnote>
  <w:footnote w:id="92">
    <w:p w14:paraId="59EE2F5B" w14:textId="77777777" w:rsidR="007D1E1B" w:rsidRPr="00DC2425" w:rsidRDefault="007D1E1B" w:rsidP="00DC2425">
      <w:pPr>
        <w:pStyle w:val="FootnoteText"/>
        <w:spacing w:before="0"/>
        <w:jc w:val="left"/>
        <w:rPr>
          <w:sz w:val="18"/>
          <w:szCs w:val="18"/>
        </w:rPr>
      </w:pPr>
      <w:r w:rsidRPr="00DC2425">
        <w:rPr>
          <w:rStyle w:val="FootnoteReference"/>
          <w:sz w:val="18"/>
          <w:szCs w:val="18"/>
        </w:rPr>
        <w:footnoteRef/>
      </w:r>
      <w:r w:rsidRPr="00DC2425">
        <w:rPr>
          <w:sz w:val="18"/>
          <w:szCs w:val="18"/>
        </w:rPr>
        <w:t xml:space="preserve"> https://mgipu.gov.hr/UserDocsImages/dokumenti/Obnova_zgrada/2020_07_3_UPUTA-tehni%C4%8Dki-propis.pdf</w:t>
      </w:r>
    </w:p>
  </w:footnote>
  <w:footnote w:id="93">
    <w:p w14:paraId="219BA99A" w14:textId="77777777" w:rsidR="007D1E1B" w:rsidRPr="0061671C" w:rsidRDefault="007D1E1B" w:rsidP="00DC2425">
      <w:pPr>
        <w:pStyle w:val="FootnoteText"/>
        <w:spacing w:before="0"/>
        <w:rPr>
          <w:sz w:val="17"/>
          <w:szCs w:val="17"/>
          <w:lang w:val="en-GB"/>
        </w:rPr>
      </w:pPr>
      <w:r w:rsidRPr="00DC2425">
        <w:rPr>
          <w:rStyle w:val="FootnoteReference"/>
          <w:sz w:val="18"/>
          <w:szCs w:val="18"/>
        </w:rPr>
        <w:footnoteRef/>
      </w:r>
      <w:r w:rsidRPr="00DC2425">
        <w:rPr>
          <w:sz w:val="18"/>
          <w:szCs w:val="18"/>
        </w:rPr>
        <w:t xml:space="preserve"> </w:t>
      </w:r>
      <w:r w:rsidRPr="00DC2425">
        <w:rPr>
          <w:sz w:val="18"/>
          <w:szCs w:val="18"/>
          <w:lang w:val="en-GB"/>
        </w:rPr>
        <w:t>For buildings registered in Cultural Heritage Register it is necessary to obtain legal documents according to Act on the Protection and Preservation of Cultural Property (OG 69/99, 151/03, 157/03, 100/04, 87/09, 88/10, 61/11, 25/12, 136/12, 157/13, 152/14, 98/15, 44/17, 90/18, 32/20, 62/20)</w:t>
      </w:r>
    </w:p>
  </w:footnote>
  <w:footnote w:id="94">
    <w:p w14:paraId="6BC62FDE" w14:textId="77777777" w:rsidR="007D1E1B" w:rsidRPr="0061671C" w:rsidRDefault="007D1E1B" w:rsidP="00DC2425">
      <w:pPr>
        <w:pStyle w:val="FootnoteText"/>
        <w:spacing w:before="0"/>
        <w:rPr>
          <w:sz w:val="17"/>
          <w:szCs w:val="17"/>
          <w:lang w:val="en-GB"/>
        </w:rPr>
      </w:pPr>
      <w:r w:rsidRPr="00DC2425">
        <w:rPr>
          <w:rStyle w:val="FootnoteReference"/>
          <w:sz w:val="18"/>
          <w:szCs w:val="18"/>
          <w:lang w:val="en-GB"/>
        </w:rPr>
        <w:footnoteRef/>
      </w:r>
      <w:r w:rsidRPr="00DC2425">
        <w:rPr>
          <w:sz w:val="18"/>
          <w:szCs w:val="18"/>
          <w:lang w:val="en-GB"/>
        </w:rPr>
        <w:t xml:space="preserve"> Complete reconstruction of the building shall be performed upon request of the owner or co-owner if they commit to pay the difference between complete reconstruction of the building and costs of repairing non-structural and structural elements and construction reinforcing (same applies for office buildings, residential and commercial buildings, and family houses)</w:t>
      </w:r>
    </w:p>
  </w:footnote>
  <w:footnote w:id="95">
    <w:p w14:paraId="2D2736F5" w14:textId="77777777" w:rsidR="007D1E1B" w:rsidRPr="00FB3F6C" w:rsidRDefault="007D1E1B" w:rsidP="003E72D5">
      <w:pPr>
        <w:pStyle w:val="FootnoteText"/>
        <w:spacing w:before="0"/>
        <w:rPr>
          <w:sz w:val="17"/>
          <w:szCs w:val="17"/>
          <w:lang w:val="en-GB"/>
        </w:rPr>
      </w:pPr>
      <w:r w:rsidRPr="003E72D5">
        <w:rPr>
          <w:rStyle w:val="FootnoteReference"/>
          <w:sz w:val="18"/>
          <w:szCs w:val="18"/>
        </w:rPr>
        <w:footnoteRef/>
      </w:r>
      <w:r w:rsidRPr="003E72D5">
        <w:rPr>
          <w:sz w:val="18"/>
          <w:szCs w:val="18"/>
        </w:rPr>
        <w:t xml:space="preserve"> </w:t>
      </w:r>
      <w:r w:rsidRPr="003E72D5">
        <w:rPr>
          <w:sz w:val="18"/>
          <w:szCs w:val="18"/>
          <w:lang w:val="en-GB"/>
        </w:rPr>
        <w:t>The project of reconstruction of the building structure designs the repair of the structure, reinforcement of the structure and / or complete reconstruction of the structure and, if necessary, repair of non-structural elements.</w:t>
      </w:r>
    </w:p>
  </w:footnote>
  <w:footnote w:id="96">
    <w:p w14:paraId="01C7283A" w14:textId="77777777" w:rsidR="007D1E1B" w:rsidRPr="00FD5F06" w:rsidRDefault="007D1E1B" w:rsidP="003E72D5">
      <w:pPr>
        <w:pStyle w:val="FootnoteText"/>
        <w:spacing w:before="0"/>
        <w:rPr>
          <w:lang w:val="en-GB"/>
        </w:rPr>
      </w:pPr>
      <w:r w:rsidRPr="003E72D5">
        <w:rPr>
          <w:rStyle w:val="FootnoteReference"/>
          <w:sz w:val="18"/>
          <w:szCs w:val="18"/>
        </w:rPr>
        <w:footnoteRef/>
      </w:r>
      <w:r w:rsidRPr="003E72D5">
        <w:rPr>
          <w:sz w:val="18"/>
          <w:szCs w:val="18"/>
        </w:rPr>
        <w:t xml:space="preserve"> </w:t>
      </w:r>
      <w:r w:rsidRPr="003E72D5">
        <w:rPr>
          <w:sz w:val="18"/>
          <w:szCs w:val="18"/>
          <w:lang w:val="en-GB"/>
        </w:rPr>
        <w:t>According to Act on Cultural Heritage definition of conservation base is: professional documentation that contains a graphic and textual part, and includes identification, analysis of the situation, valorisation of the situation and measures for the preservation of cultural and historical values</w:t>
      </w:r>
    </w:p>
  </w:footnote>
  <w:footnote w:id="97">
    <w:p w14:paraId="505EE953" w14:textId="77777777" w:rsidR="007D1E1B" w:rsidRPr="003E72D5" w:rsidRDefault="007D1E1B" w:rsidP="003E72D5">
      <w:pPr>
        <w:pStyle w:val="FootnoteText"/>
        <w:spacing w:before="0"/>
        <w:rPr>
          <w:sz w:val="18"/>
          <w:szCs w:val="18"/>
          <w:lang w:val="en-GB"/>
        </w:rPr>
      </w:pPr>
      <w:r w:rsidRPr="003E72D5">
        <w:rPr>
          <w:rStyle w:val="FootnoteReference"/>
          <w:sz w:val="18"/>
          <w:szCs w:val="18"/>
          <w:lang w:val="en-GB"/>
        </w:rPr>
        <w:footnoteRef/>
      </w:r>
      <w:r w:rsidRPr="003E72D5">
        <w:rPr>
          <w:sz w:val="18"/>
          <w:szCs w:val="18"/>
          <w:lang w:val="en-GB"/>
        </w:rPr>
        <w:t xml:space="preserve"> Protection of cultural and historical entities is defined by Act on the Protection and Preservation of Cultural Property: „cultural-historical entity is considered to be a settlement or part of a settlement, as well as an area, which are protected as a cultural good</w:t>
      </w:r>
    </w:p>
  </w:footnote>
  <w:footnote w:id="98">
    <w:p w14:paraId="6429EE18" w14:textId="77777777" w:rsidR="007D1E1B" w:rsidRPr="003E72D5" w:rsidRDefault="007D1E1B" w:rsidP="003E72D5">
      <w:pPr>
        <w:pStyle w:val="FootnoteText"/>
        <w:spacing w:before="0"/>
        <w:rPr>
          <w:sz w:val="18"/>
          <w:szCs w:val="18"/>
          <w:lang w:val="en-GB"/>
        </w:rPr>
      </w:pPr>
      <w:r w:rsidRPr="003E72D5">
        <w:rPr>
          <w:rStyle w:val="FootnoteReference"/>
          <w:sz w:val="18"/>
          <w:szCs w:val="18"/>
          <w:lang w:val="en-GB"/>
        </w:rPr>
        <w:footnoteRef/>
      </w:r>
      <w:r w:rsidRPr="003E72D5">
        <w:rPr>
          <w:sz w:val="18"/>
          <w:szCs w:val="18"/>
          <w:lang w:val="en-GB"/>
        </w:rPr>
        <w:t xml:space="preserve"> Conservation Department of the Ministry of Culture and Media, and for the City of Zagreb the City Institute for the Protection of Cultural and Natural Monuments in Zagreb</w:t>
      </w:r>
    </w:p>
  </w:footnote>
  <w:footnote w:id="99">
    <w:p w14:paraId="379FF080" w14:textId="77777777" w:rsidR="007D1E1B" w:rsidRPr="003E72D5" w:rsidRDefault="007D1E1B" w:rsidP="003E72D5">
      <w:pPr>
        <w:pStyle w:val="FootnoteText"/>
        <w:spacing w:before="0"/>
        <w:rPr>
          <w:sz w:val="18"/>
          <w:szCs w:val="18"/>
          <w:lang w:val="en-GB"/>
        </w:rPr>
      </w:pPr>
      <w:r w:rsidRPr="003E72D5">
        <w:rPr>
          <w:rStyle w:val="FootnoteReference"/>
          <w:sz w:val="18"/>
          <w:szCs w:val="18"/>
          <w:lang w:val="en-GB"/>
        </w:rPr>
        <w:footnoteRef/>
      </w:r>
      <w:r w:rsidRPr="003E72D5">
        <w:rPr>
          <w:sz w:val="18"/>
          <w:szCs w:val="18"/>
          <w:lang w:val="en-GB"/>
        </w:rPr>
        <w:t xml:space="preserve"> A more complex intervention is an intervention that refers to several developmental historical layers of a building (construction and stylistic) that are not visible in the existing condition or it is an intervention on a building made by complex application of several different materials, which is not documented to protect and preserve cultural heritage under Act on Cultural Heritage.</w:t>
      </w:r>
    </w:p>
  </w:footnote>
  <w:footnote w:id="100">
    <w:p w14:paraId="0DDA39EA" w14:textId="004B494E" w:rsidR="007D1E1B" w:rsidRPr="00FD5F06" w:rsidRDefault="007D1E1B" w:rsidP="003E72D5">
      <w:pPr>
        <w:pStyle w:val="FootnoteText"/>
        <w:spacing w:before="0"/>
        <w:rPr>
          <w:lang w:val="en-GB"/>
        </w:rPr>
      </w:pPr>
      <w:r w:rsidRPr="003E72D5">
        <w:rPr>
          <w:rStyle w:val="FootnoteReference"/>
          <w:sz w:val="18"/>
          <w:szCs w:val="18"/>
          <w:lang w:val="en-GB"/>
        </w:rPr>
        <w:footnoteRef/>
      </w:r>
      <w:r w:rsidRPr="003E72D5">
        <w:rPr>
          <w:sz w:val="18"/>
          <w:szCs w:val="18"/>
          <w:lang w:val="en-GB"/>
        </w:rPr>
        <w:t xml:space="preserve"> Simple and other construction works and works defined by Ordinance on simple and other construction works and works (OG 112/17, 34/18, 36/19, 98/19,31/20). Works that can be performed: a) without location/building permit and without main design, b) without location / building permit, in accordance with the main design / standard design, c) in the event of construction damage when people and assets are directly in danger, without building permit construction can be restored to the original condition in line with the act according to which it was built or the by project of the existing condition (see </w:t>
      </w:r>
      <w:r w:rsidRPr="003E72D5">
        <w:rPr>
          <w:sz w:val="18"/>
          <w:szCs w:val="18"/>
          <w:lang w:val="en-GB"/>
        </w:rPr>
        <w:fldChar w:fldCharType="begin"/>
      </w:r>
      <w:r w:rsidRPr="003E72D5">
        <w:rPr>
          <w:sz w:val="18"/>
          <w:szCs w:val="18"/>
          <w:lang w:val="en-GB"/>
        </w:rPr>
        <w:instrText xml:space="preserve"> REF _Ref56949630 \h  \* MERGEFORMAT </w:instrText>
      </w:r>
      <w:r w:rsidRPr="003E72D5">
        <w:rPr>
          <w:sz w:val="18"/>
          <w:szCs w:val="18"/>
          <w:lang w:val="en-GB"/>
        </w:rPr>
      </w:r>
      <w:r w:rsidRPr="003E72D5">
        <w:rPr>
          <w:sz w:val="18"/>
          <w:szCs w:val="18"/>
          <w:lang w:val="en-GB"/>
        </w:rPr>
        <w:fldChar w:fldCharType="separate"/>
      </w:r>
      <w:r w:rsidRPr="007D1E1B">
        <w:rPr>
          <w:sz w:val="18"/>
          <w:szCs w:val="18"/>
        </w:rPr>
        <w:t xml:space="preserve">ANNEX </w:t>
      </w:r>
      <w:r w:rsidRPr="007D1E1B">
        <w:rPr>
          <w:noProof/>
          <w:sz w:val="18"/>
          <w:szCs w:val="18"/>
        </w:rPr>
        <w:t>VII</w:t>
      </w:r>
      <w:r w:rsidRPr="003E72D5">
        <w:rPr>
          <w:sz w:val="18"/>
          <w:szCs w:val="18"/>
          <w:lang w:val="en-GB"/>
        </w:rPr>
        <w:fldChar w:fldCharType="end"/>
      </w:r>
      <w:r w:rsidRPr="003E72D5">
        <w:rPr>
          <w:sz w:val="18"/>
          <w:szCs w:val="18"/>
          <w:lang w:val="en-GB"/>
        </w:rPr>
        <w:t xml:space="preserve"> of this ESMF)</w:t>
      </w:r>
    </w:p>
  </w:footnote>
  <w:footnote w:id="101">
    <w:p w14:paraId="07EC9091" w14:textId="77777777" w:rsidR="007D1E1B" w:rsidRPr="0004142B" w:rsidRDefault="007D1E1B" w:rsidP="003E72D5">
      <w:pPr>
        <w:pStyle w:val="FootnoteText"/>
        <w:spacing w:before="0"/>
        <w:rPr>
          <w:lang w:val="en-GB"/>
        </w:rPr>
      </w:pPr>
      <w:r w:rsidRPr="003E72D5">
        <w:rPr>
          <w:rStyle w:val="FootnoteReference"/>
          <w:sz w:val="18"/>
          <w:szCs w:val="18"/>
        </w:rPr>
        <w:footnoteRef/>
      </w:r>
      <w:r w:rsidRPr="003E72D5">
        <w:rPr>
          <w:sz w:val="18"/>
          <w:szCs w:val="18"/>
        </w:rPr>
        <w:t xml:space="preserve"> </w:t>
      </w:r>
      <w:r w:rsidRPr="003E72D5">
        <w:rPr>
          <w:sz w:val="18"/>
          <w:szCs w:val="18"/>
          <w:lang w:val="en-GB"/>
        </w:rPr>
        <w:t>Register of damages caused by natural disasters is a digital database of all damages caused by natural disasters in the Croatia. The content, form and submission of data in this Register is defined by the Ordinance on the Register of damages from natural disasters (OG 65/19)</w:t>
      </w:r>
    </w:p>
  </w:footnote>
  <w:footnote w:id="102">
    <w:p w14:paraId="10EF5C60" w14:textId="0E6D16BB" w:rsidR="007D1E1B" w:rsidRPr="00FB3F6C" w:rsidRDefault="007D1E1B" w:rsidP="003E72D5">
      <w:pPr>
        <w:pStyle w:val="FootnoteText"/>
        <w:spacing w:before="0"/>
        <w:rPr>
          <w:sz w:val="17"/>
          <w:szCs w:val="17"/>
          <w:lang w:val="en-GB"/>
        </w:rPr>
      </w:pPr>
      <w:r w:rsidRPr="003E72D5">
        <w:rPr>
          <w:rStyle w:val="FootnoteReference"/>
          <w:sz w:val="18"/>
          <w:szCs w:val="18"/>
        </w:rPr>
        <w:footnoteRef/>
      </w:r>
      <w:r w:rsidRPr="003E72D5">
        <w:rPr>
          <w:sz w:val="18"/>
          <w:szCs w:val="18"/>
        </w:rPr>
        <w:t xml:space="preserve"> (</w:t>
      </w:r>
      <w:r w:rsidRPr="003E72D5">
        <w:rPr>
          <w:sz w:val="18"/>
          <w:szCs w:val="18"/>
          <w:lang w:val="en-GB"/>
        </w:rPr>
        <w:t>a) Anticipate and avoid risks and impacts; (b) Where avoidance is not possible, minimize or reduce risks and impacts to acceptable levels; (c) Once risks and impacts have been minimized or reduced, mitigate; and (d) Where significant residual impacts remain, compensate for or offset them, where technically and financially feasible.</w:t>
      </w:r>
    </w:p>
  </w:footnote>
  <w:footnote w:id="103">
    <w:p w14:paraId="7F271D42" w14:textId="77777777" w:rsidR="007D1E1B" w:rsidRPr="00FB3F6C" w:rsidRDefault="007D1E1B" w:rsidP="003E72D5">
      <w:pPr>
        <w:pStyle w:val="FootnoteText"/>
        <w:spacing w:before="0"/>
        <w:rPr>
          <w:sz w:val="17"/>
          <w:szCs w:val="17"/>
          <w:lang w:val="en-GB"/>
        </w:rPr>
      </w:pPr>
      <w:r w:rsidRPr="003E72D5">
        <w:rPr>
          <w:rStyle w:val="FootnoteReference"/>
          <w:sz w:val="18"/>
          <w:szCs w:val="18"/>
        </w:rPr>
        <w:footnoteRef/>
      </w:r>
      <w:r w:rsidRPr="003E72D5">
        <w:rPr>
          <w:sz w:val="18"/>
          <w:szCs w:val="18"/>
        </w:rPr>
        <w:t xml:space="preserve"> </w:t>
      </w:r>
      <w:r w:rsidRPr="003E72D5">
        <w:rPr>
          <w:sz w:val="18"/>
          <w:szCs w:val="18"/>
          <w:lang w:val="en-GB"/>
        </w:rPr>
        <w:t>The term “pollution” is used to refer to both hazardous and non-hazardous chemical pollutants in the solid, liquid, or gaseous phases, and includes other components such as thermal discharge to water, emissions of short- and long-lived climate pollutants, nuisance odors, noise, vibration, radiation, electromagnetic energy, and the creation of potential visual impacts including light.</w:t>
      </w:r>
    </w:p>
  </w:footnote>
  <w:footnote w:id="104">
    <w:p w14:paraId="1A9A617E" w14:textId="77777777" w:rsidR="007D1E1B" w:rsidRPr="00845492" w:rsidRDefault="007D1E1B" w:rsidP="00845492">
      <w:pPr>
        <w:pStyle w:val="FootnoteText"/>
        <w:spacing w:before="0"/>
        <w:rPr>
          <w:sz w:val="18"/>
          <w:szCs w:val="18"/>
          <w:lang w:val="en-GB"/>
        </w:rPr>
      </w:pPr>
      <w:r w:rsidRPr="00845492">
        <w:rPr>
          <w:rStyle w:val="FootnoteReference"/>
          <w:sz w:val="18"/>
          <w:szCs w:val="18"/>
        </w:rPr>
        <w:footnoteRef/>
      </w:r>
      <w:r w:rsidRPr="00845492">
        <w:rPr>
          <w:sz w:val="18"/>
          <w:szCs w:val="18"/>
        </w:rPr>
        <w:t xml:space="preserve"> </w:t>
      </w:r>
      <w:r w:rsidRPr="00845492">
        <w:rPr>
          <w:sz w:val="18"/>
          <w:szCs w:val="18"/>
          <w:lang w:val="en-GB"/>
        </w:rPr>
        <w:t>The term ‘cultural heritage’ encompasses tangible and intangible heritage, which may be recognized and valued at a local, regional, national or global level, as follows:</w:t>
      </w:r>
    </w:p>
    <w:p w14:paraId="2F9AE3A2" w14:textId="77777777" w:rsidR="007D1E1B" w:rsidRPr="00845492" w:rsidRDefault="007D1E1B" w:rsidP="00845492">
      <w:pPr>
        <w:pStyle w:val="FootnoteText"/>
        <w:spacing w:before="0"/>
        <w:rPr>
          <w:sz w:val="18"/>
          <w:szCs w:val="18"/>
          <w:lang w:val="en-GB"/>
        </w:rPr>
      </w:pPr>
      <w:r w:rsidRPr="00845492">
        <w:rPr>
          <w:sz w:val="18"/>
          <w:szCs w:val="18"/>
          <w:lang w:val="en-GB"/>
        </w:rPr>
        <w:tab/>
        <w:t xml:space="preserve">Tangible cultural heritage, which includes movable or immovable objects, sites, structures, groups of structures, and natural features and landscapes that have archaeological, paleontological, historical, architectural, religious, aesthetic, or other cultural significance. Tangible cultural heritage may be located in urban or rural settings, and may be above or below land or under the water; </w:t>
      </w:r>
    </w:p>
    <w:p w14:paraId="641B94EB" w14:textId="77777777" w:rsidR="007D1E1B" w:rsidRPr="003F7580" w:rsidRDefault="007D1E1B" w:rsidP="00845492">
      <w:pPr>
        <w:pStyle w:val="FootnoteText"/>
        <w:spacing w:before="0"/>
        <w:rPr>
          <w:lang w:val="en-GB"/>
        </w:rPr>
      </w:pPr>
      <w:r w:rsidRPr="00845492">
        <w:rPr>
          <w:sz w:val="18"/>
          <w:szCs w:val="18"/>
          <w:lang w:val="en-GB"/>
        </w:rPr>
        <w:tab/>
        <w:t>Intangible cultural heritage, which includes practices, representations, expressions, knowledge, skills - as well as the instruments, objects, artifacts and cultural spaces associated therewith – that communities and groups recognize as part of their cultural heritage, as transmitted from generation to generation and constantly recreated by them in response to their environment, their interaction with nature and their history.</w:t>
      </w:r>
    </w:p>
  </w:footnote>
  <w:footnote w:id="105">
    <w:p w14:paraId="5BA06EA7" w14:textId="52C300EA" w:rsidR="007D1E1B" w:rsidRPr="00845492" w:rsidRDefault="007D1E1B" w:rsidP="00845492">
      <w:pPr>
        <w:pStyle w:val="FootnoteText"/>
        <w:spacing w:before="0"/>
        <w:rPr>
          <w:sz w:val="18"/>
          <w:szCs w:val="18"/>
          <w:lang w:val="en-GB"/>
        </w:rPr>
      </w:pPr>
      <w:r w:rsidRPr="00845492">
        <w:rPr>
          <w:rStyle w:val="FootnoteReference"/>
          <w:sz w:val="18"/>
          <w:szCs w:val="18"/>
        </w:rPr>
        <w:footnoteRef/>
      </w:r>
      <w:r w:rsidRPr="00845492">
        <w:rPr>
          <w:sz w:val="18"/>
          <w:szCs w:val="18"/>
        </w:rPr>
        <w:t xml:space="preserve"> </w:t>
      </w:r>
      <w:r w:rsidRPr="00845492">
        <w:rPr>
          <w:sz w:val="18"/>
          <w:szCs w:val="18"/>
          <w:lang w:val="en-GB"/>
        </w:rPr>
        <w:t>Persons,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p>
  </w:footnote>
  <w:footnote w:id="106">
    <w:p w14:paraId="4BC6A019" w14:textId="68F05899"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Individuals/groups/entities that may not experience direct impacts from the Project but who consider or perceive their interests as being affected by the project and/or who could affect the project and the process of its implementation in some way;</w:t>
      </w:r>
    </w:p>
  </w:footnote>
  <w:footnote w:id="107">
    <w:p w14:paraId="670AC13C" w14:textId="61302065"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3012 volunteers of the Croatian Red Cross are engaged in everyday fieldwork activities in response to COVID-19. All Red Cross volunteers are equipped with protective equipment for protection of their health and the health of people they are helping. In addition, they have undergone professional training in how to act properly in this crisis.</w:t>
      </w:r>
    </w:p>
  </w:footnote>
  <w:footnote w:id="108">
    <w:p w14:paraId="1E5D8B70" w14:textId="543666E5"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Persons who may be disproportionately impacted or further disadvantaged by the project(s) as compared with any other groups due to their vulnerable status4, and that may require special engagement efforts to ensure their equal representation in the consultation and decision making process associated with the project.</w:t>
      </w:r>
    </w:p>
  </w:footnote>
  <w:footnote w:id="109">
    <w:p w14:paraId="4A1F07C0" w14:textId="430DD84B"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In 2018, 20% of the total population in Croatia was 65 years of age and above. See https://data.worldbank.org</w:t>
      </w:r>
    </w:p>
  </w:footnote>
  <w:footnote w:id="110">
    <w:p w14:paraId="4FE743EF" w14:textId="37C24704"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People who are immune-suppressed, suffering from respiratory diseases, diabetes, specific cancers, metabolic disorders, heart disease, etc.</w:t>
      </w:r>
    </w:p>
  </w:footnote>
  <w:footnote w:id="111">
    <w:p w14:paraId="709FC01A" w14:textId="6783DD77" w:rsidR="007D1E1B" w:rsidRPr="00845492" w:rsidRDefault="007D1E1B" w:rsidP="00845492">
      <w:pPr>
        <w:pStyle w:val="FootnoteText"/>
        <w:spacing w:before="0"/>
        <w:rPr>
          <w:rFonts w:cstheme="minorHAnsi"/>
          <w:sz w:val="18"/>
          <w:szCs w:val="18"/>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In order to ensure the implementation of adequate measures, the Croatian Public Health Institute published recommendations for the conduct of the judicial police officers and Regulation Act for the Prevention and Suppression of the Coronavirus Epidemic (COVID-19) in the Prison System Bodies, and the Ministry of Justice had further elaborated certain measures (https://www.ombudsman.hr/en/it-is-necessary-to-provide-prevention-measures-within-the-prison-system/)</w:t>
      </w:r>
    </w:p>
  </w:footnote>
  <w:footnote w:id="112">
    <w:p w14:paraId="7A8C4AC5" w14:textId="384CC24A" w:rsidR="007D1E1B" w:rsidRPr="00024588" w:rsidRDefault="007D1E1B" w:rsidP="00845492">
      <w:pPr>
        <w:pStyle w:val="FootnoteText"/>
        <w:spacing w:before="0"/>
        <w:rPr>
          <w:lang w:val="en-GB"/>
        </w:rPr>
      </w:pPr>
      <w:r w:rsidRPr="00845492">
        <w:rPr>
          <w:rStyle w:val="FootnoteReference"/>
          <w:rFonts w:cstheme="minorHAnsi"/>
          <w:sz w:val="18"/>
          <w:szCs w:val="18"/>
          <w:lang w:val="en-GB"/>
        </w:rPr>
        <w:footnoteRef/>
      </w:r>
      <w:r w:rsidRPr="00845492">
        <w:rPr>
          <w:rFonts w:cstheme="minorHAnsi"/>
          <w:sz w:val="18"/>
          <w:szCs w:val="18"/>
          <w:lang w:val="en-GB"/>
        </w:rPr>
        <w:t xml:space="preserve"> According to the Croatian Network for the Homeless, there are more than 2,000 homeless people in Croatia, half of them located in Zagreb.</w:t>
      </w:r>
    </w:p>
  </w:footnote>
  <w:footnote w:id="113">
    <w:p w14:paraId="0F6E6D90" w14:textId="77777777" w:rsidR="007D1E1B" w:rsidRPr="00845492" w:rsidRDefault="007D1E1B" w:rsidP="005231A3">
      <w:pPr>
        <w:pStyle w:val="FootnoteText"/>
        <w:spacing w:before="0"/>
        <w:rPr>
          <w:sz w:val="18"/>
          <w:szCs w:val="18"/>
        </w:rPr>
      </w:pPr>
      <w:r w:rsidRPr="00845492">
        <w:rPr>
          <w:rStyle w:val="FootnoteReference"/>
          <w:sz w:val="18"/>
          <w:szCs w:val="18"/>
        </w:rPr>
        <w:footnoteRef/>
      </w:r>
      <w:r w:rsidRPr="00845492">
        <w:rPr>
          <w:sz w:val="18"/>
          <w:szCs w:val="18"/>
        </w:rPr>
        <w:t xml:space="preserve"> </w:t>
      </w:r>
      <w:r w:rsidRPr="00845492">
        <w:rPr>
          <w:rFonts w:ascii="Calibri" w:eastAsia="Arial Unicode MS" w:hAnsi="Calibri" w:cs="Calibri"/>
          <w:sz w:val="18"/>
          <w:szCs w:val="18"/>
          <w:bdr w:val="nil"/>
          <w:lang w:val="en-GB"/>
        </w:rPr>
        <w:t>Although the ESS8 standard for Cultural Heritage is not currently relevant for the project, as the buildings designated and protected as a cultural heritage are not eligible for financing the ESMF document includes chance finding procedures</w:t>
      </w:r>
    </w:p>
  </w:footnote>
  <w:footnote w:id="114">
    <w:p w14:paraId="5DE571A4" w14:textId="77777777" w:rsidR="007D1E1B" w:rsidRPr="00FB3F6C" w:rsidRDefault="007D1E1B" w:rsidP="0068671C">
      <w:pPr>
        <w:pStyle w:val="FootnoteText"/>
        <w:spacing w:before="0"/>
        <w:rPr>
          <w:sz w:val="17"/>
          <w:szCs w:val="17"/>
        </w:rPr>
      </w:pPr>
      <w:r w:rsidRPr="0068671C">
        <w:rPr>
          <w:rStyle w:val="FootnoteReference"/>
          <w:sz w:val="18"/>
          <w:szCs w:val="18"/>
        </w:rPr>
        <w:footnoteRef/>
      </w:r>
      <w:r w:rsidRPr="0068671C">
        <w:rPr>
          <w:sz w:val="18"/>
          <w:szCs w:val="18"/>
        </w:rPr>
        <w:t xml:space="preserve"> </w:t>
      </w:r>
      <w:r w:rsidRPr="0068671C">
        <w:rPr>
          <w:sz w:val="18"/>
          <w:szCs w:val="18"/>
          <w:lang w:val="en-GB"/>
        </w:rPr>
        <w:t>“Rehabilitation’” is structural strengthening of existing buildings to meet a higher seismic performance. “Reconstruction” is demolishment of existing buildings and subsequent construction of new buildings in replacement.</w:t>
      </w:r>
    </w:p>
  </w:footnote>
  <w:footnote w:id="115">
    <w:p w14:paraId="46458A87" w14:textId="77777777" w:rsidR="007D1E1B" w:rsidRPr="0068671C" w:rsidRDefault="007D1E1B" w:rsidP="004B3596">
      <w:pPr>
        <w:pStyle w:val="FootnoteText"/>
        <w:spacing w:before="0"/>
        <w:rPr>
          <w:sz w:val="18"/>
          <w:szCs w:val="18"/>
        </w:rPr>
      </w:pPr>
      <w:r w:rsidRPr="0068671C">
        <w:rPr>
          <w:rStyle w:val="FootnoteReference"/>
          <w:sz w:val="18"/>
          <w:szCs w:val="18"/>
        </w:rPr>
        <w:footnoteRef/>
      </w:r>
      <w:r w:rsidRPr="0068671C">
        <w:rPr>
          <w:sz w:val="18"/>
          <w:szCs w:val="18"/>
        </w:rPr>
        <w:t xml:space="preserve"> </w:t>
      </w:r>
      <w:hyperlink r:id="rId59" w:history="1">
        <w:r w:rsidRPr="0068671C">
          <w:rPr>
            <w:rStyle w:val="Hyperlink1"/>
            <w:sz w:val="18"/>
            <w:szCs w:val="18"/>
          </w:rPr>
          <w:t>https://www.who.int/emergencies/diseases/novel-coronavirus-2019/advice-for-public</w:t>
        </w:r>
      </w:hyperlink>
    </w:p>
  </w:footnote>
  <w:footnote w:id="116">
    <w:p w14:paraId="74E030BC" w14:textId="77777777" w:rsidR="007D1E1B" w:rsidRPr="0068671C" w:rsidRDefault="007D1E1B" w:rsidP="004B3596">
      <w:pPr>
        <w:pStyle w:val="FootnoteText"/>
        <w:spacing w:before="0"/>
        <w:rPr>
          <w:sz w:val="18"/>
          <w:szCs w:val="18"/>
        </w:rPr>
      </w:pPr>
      <w:r w:rsidRPr="0068671C">
        <w:rPr>
          <w:rStyle w:val="FootnoteReference"/>
          <w:sz w:val="18"/>
          <w:szCs w:val="18"/>
        </w:rPr>
        <w:footnoteRef/>
      </w:r>
      <w:r w:rsidRPr="0068671C">
        <w:rPr>
          <w:sz w:val="18"/>
          <w:szCs w:val="18"/>
        </w:rPr>
        <w:t xml:space="preserve"> </w:t>
      </w:r>
      <w:hyperlink r:id="rId60" w:history="1">
        <w:r w:rsidRPr="0068671C">
          <w:rPr>
            <w:rStyle w:val="Hyperlink1"/>
            <w:sz w:val="18"/>
            <w:szCs w:val="18"/>
          </w:rPr>
          <w:t>https://koronavirus.hr/en</w:t>
        </w:r>
      </w:hyperlink>
    </w:p>
  </w:footnote>
  <w:footnote w:id="117">
    <w:p w14:paraId="1A89016D" w14:textId="406F3CF5" w:rsidR="007D1E1B" w:rsidRPr="0068671C" w:rsidRDefault="007D1E1B" w:rsidP="004B3596">
      <w:pPr>
        <w:pStyle w:val="FootnoteText"/>
        <w:spacing w:before="0"/>
        <w:rPr>
          <w:sz w:val="18"/>
          <w:szCs w:val="18"/>
        </w:rPr>
      </w:pPr>
      <w:r w:rsidRPr="0068671C">
        <w:rPr>
          <w:rStyle w:val="FootnoteReference"/>
          <w:sz w:val="18"/>
          <w:szCs w:val="18"/>
        </w:rPr>
        <w:footnoteRef/>
      </w:r>
      <w:hyperlink r:id="rId61" w:history="1">
        <w:r w:rsidRPr="0068671C">
          <w:rPr>
            <w:rStyle w:val="Hyperlink"/>
            <w:rFonts w:cstheme="minorHAnsi"/>
            <w:sz w:val="18"/>
            <w:szCs w:val="18"/>
          </w:rPr>
          <w:t>Regulation on limit values of emissions of pollutants into the air from immovable sources (OG 87/17)</w:t>
        </w:r>
      </w:hyperlink>
    </w:p>
  </w:footnote>
  <w:footnote w:id="118">
    <w:p w14:paraId="12B7E803" w14:textId="612B80EB" w:rsidR="007D1E1B" w:rsidRDefault="007D1E1B" w:rsidP="004B3596">
      <w:pPr>
        <w:pStyle w:val="FootnoteText"/>
        <w:spacing w:before="0"/>
      </w:pPr>
      <w:r w:rsidRPr="0068671C">
        <w:rPr>
          <w:rStyle w:val="FootnoteReference"/>
          <w:sz w:val="18"/>
          <w:szCs w:val="18"/>
        </w:rPr>
        <w:footnoteRef/>
      </w:r>
      <w:r w:rsidRPr="0068671C">
        <w:rPr>
          <w:sz w:val="18"/>
          <w:szCs w:val="18"/>
        </w:rPr>
        <w:t xml:space="preserve"> </w:t>
      </w:r>
      <w:hyperlink r:id="rId62" w:history="1">
        <w:r w:rsidRPr="0068671C">
          <w:rPr>
            <w:rStyle w:val="Hyperlink"/>
            <w:rFonts w:cstheme="minorHAnsi"/>
            <w:sz w:val="18"/>
            <w:szCs w:val="18"/>
          </w:rPr>
          <w:t>Ordinance on limit values of wastewater emissions (OG 26/20)</w:t>
        </w:r>
      </w:hyperlink>
    </w:p>
  </w:footnote>
  <w:footnote w:id="119">
    <w:p w14:paraId="2BDB4AF9" w14:textId="671E874A" w:rsidR="007D1E1B" w:rsidRPr="0068671C" w:rsidRDefault="007D1E1B" w:rsidP="0068671C">
      <w:pPr>
        <w:pStyle w:val="FootnoteText"/>
        <w:spacing w:before="0"/>
        <w:rPr>
          <w:sz w:val="18"/>
          <w:szCs w:val="18"/>
          <w:lang w:val="en-GB"/>
        </w:rPr>
      </w:pPr>
      <w:r w:rsidRPr="0068671C">
        <w:rPr>
          <w:rStyle w:val="FootnoteReference"/>
          <w:sz w:val="18"/>
          <w:szCs w:val="18"/>
        </w:rPr>
        <w:footnoteRef/>
      </w:r>
      <w:r w:rsidRPr="0068671C">
        <w:rPr>
          <w:sz w:val="18"/>
          <w:szCs w:val="18"/>
        </w:rPr>
        <w:t xml:space="preserve"> </w:t>
      </w:r>
      <w:r w:rsidRPr="0068671C">
        <w:rPr>
          <w:sz w:val="18"/>
          <w:szCs w:val="18"/>
          <w:lang w:val="en-GB"/>
        </w:rPr>
        <w:t>National legislation, Safe management of wastes from health-care activities (WHO), National Health-Care Waste Management Plan -  Guidance Manual (WHO), https://www.who.int/news-room/fact-sheets/detail/health-care-waste</w:t>
      </w:r>
    </w:p>
  </w:footnote>
  <w:footnote w:id="120">
    <w:p w14:paraId="57BA9861" w14:textId="77777777" w:rsidR="007D1E1B" w:rsidRPr="0068671C" w:rsidRDefault="007D1E1B" w:rsidP="0068671C">
      <w:pPr>
        <w:pStyle w:val="FootnoteText"/>
        <w:spacing w:before="0"/>
        <w:rPr>
          <w:sz w:val="18"/>
          <w:szCs w:val="18"/>
          <w:lang w:val="en-GB"/>
        </w:rPr>
      </w:pPr>
      <w:r w:rsidRPr="0068671C">
        <w:rPr>
          <w:rStyle w:val="FootnoteReference"/>
          <w:sz w:val="18"/>
          <w:szCs w:val="18"/>
          <w:lang w:val="en-GB"/>
        </w:rPr>
        <w:footnoteRef/>
      </w:r>
      <w:r w:rsidRPr="0068671C">
        <w:rPr>
          <w:sz w:val="18"/>
          <w:szCs w:val="18"/>
          <w:lang w:val="en-GB"/>
        </w:rPr>
        <w:t xml:space="preserve"> Ordinance on the waste catalogue (OG 90/15)</w:t>
      </w:r>
    </w:p>
  </w:footnote>
  <w:footnote w:id="121">
    <w:p w14:paraId="2C749349" w14:textId="77777777" w:rsidR="007D1E1B" w:rsidRPr="00230B13" w:rsidRDefault="007D1E1B" w:rsidP="0068671C">
      <w:pPr>
        <w:pStyle w:val="FootnoteText"/>
        <w:spacing w:before="0"/>
        <w:rPr>
          <w:sz w:val="18"/>
          <w:szCs w:val="18"/>
          <w:lang w:val="en-GB"/>
        </w:rPr>
      </w:pPr>
      <w:r w:rsidRPr="0068671C">
        <w:rPr>
          <w:rStyle w:val="FootnoteReference"/>
          <w:sz w:val="18"/>
          <w:szCs w:val="18"/>
          <w:lang w:val="en-GB"/>
        </w:rPr>
        <w:footnoteRef/>
      </w:r>
      <w:r w:rsidRPr="0068671C">
        <w:rPr>
          <w:sz w:val="18"/>
          <w:szCs w:val="18"/>
          <w:lang w:val="en-GB"/>
        </w:rPr>
        <w:t xml:space="preserve"> OG 81/20</w:t>
      </w:r>
    </w:p>
  </w:footnote>
  <w:footnote w:id="122">
    <w:p w14:paraId="0F432D64" w14:textId="77777777" w:rsidR="007D1E1B" w:rsidRPr="0068671C" w:rsidRDefault="007D1E1B" w:rsidP="0068671C">
      <w:pPr>
        <w:pStyle w:val="FootnoteText"/>
        <w:spacing w:before="0"/>
        <w:rPr>
          <w:rFonts w:cstheme="minorHAnsi"/>
          <w:sz w:val="18"/>
          <w:szCs w:val="18"/>
          <w:lang w:val="en-GB"/>
        </w:rPr>
      </w:pPr>
      <w:r w:rsidRPr="0068671C">
        <w:rPr>
          <w:rStyle w:val="FootnoteReference"/>
          <w:sz w:val="18"/>
          <w:szCs w:val="18"/>
          <w:lang w:val="en-GB"/>
        </w:rPr>
        <w:footnoteRef/>
      </w:r>
      <w:r w:rsidRPr="0068671C">
        <w:rPr>
          <w:sz w:val="18"/>
          <w:szCs w:val="18"/>
          <w:lang w:val="en-GB"/>
        </w:rPr>
        <w:t xml:space="preserve"> </w:t>
      </w:r>
      <w:r w:rsidRPr="0068671C">
        <w:rPr>
          <w:rFonts w:cstheme="minorHAnsi"/>
          <w:sz w:val="18"/>
          <w:szCs w:val="18"/>
          <w:lang w:val="en-GB"/>
        </w:rPr>
        <w:t>Permanent storage facility that allows the disposal of hazardous waste (https://eur-lex.europa.eu/legal-content/EN/ALL/?uri=CELEX%3A32017R0852)</w:t>
      </w:r>
    </w:p>
  </w:footnote>
  <w:footnote w:id="123">
    <w:p w14:paraId="1F310EF3" w14:textId="77777777" w:rsidR="007D1E1B" w:rsidRPr="0068671C" w:rsidRDefault="007D1E1B" w:rsidP="0068671C">
      <w:pPr>
        <w:pStyle w:val="FootnoteText"/>
        <w:spacing w:before="0"/>
        <w:rPr>
          <w:rFonts w:cstheme="minorHAnsi"/>
          <w:sz w:val="18"/>
          <w:szCs w:val="18"/>
        </w:rPr>
      </w:pPr>
      <w:r w:rsidRPr="0068671C">
        <w:rPr>
          <w:rStyle w:val="FootnoteReference"/>
          <w:rFonts w:cstheme="minorHAnsi"/>
          <w:sz w:val="18"/>
          <w:szCs w:val="18"/>
        </w:rPr>
        <w:footnoteRef/>
      </w:r>
      <w:r w:rsidRPr="0068671C">
        <w:rPr>
          <w:rFonts w:cstheme="minorHAnsi"/>
          <w:sz w:val="18"/>
          <w:szCs w:val="18"/>
        </w:rPr>
        <w:t xml:space="preserve"> OG </w:t>
      </w:r>
      <w:r w:rsidRPr="0068671C">
        <w:rPr>
          <w:rFonts w:cstheme="minorHAnsi"/>
          <w:color w:val="231F20"/>
          <w:sz w:val="18"/>
          <w:szCs w:val="18"/>
          <w:shd w:val="clear" w:color="auto" w:fill="FFFFFF"/>
        </w:rPr>
        <w:t>141/13, 39/15, 130/17, 118/18</w:t>
      </w:r>
    </w:p>
  </w:footnote>
  <w:footnote w:id="124">
    <w:p w14:paraId="38174DE7" w14:textId="77777777" w:rsidR="007D1E1B" w:rsidRPr="0068671C" w:rsidRDefault="007D1E1B" w:rsidP="0068671C">
      <w:pPr>
        <w:pStyle w:val="FootnoteText"/>
        <w:spacing w:before="0"/>
        <w:rPr>
          <w:rFonts w:cstheme="minorHAnsi"/>
          <w:sz w:val="18"/>
          <w:szCs w:val="18"/>
        </w:rPr>
      </w:pPr>
      <w:r w:rsidRPr="0068671C">
        <w:rPr>
          <w:rStyle w:val="FootnoteReference"/>
          <w:rFonts w:cstheme="minorHAnsi"/>
          <w:sz w:val="18"/>
          <w:szCs w:val="18"/>
        </w:rPr>
        <w:footnoteRef/>
      </w:r>
      <w:r w:rsidRPr="0068671C">
        <w:rPr>
          <w:rFonts w:cstheme="minorHAnsi"/>
          <w:sz w:val="18"/>
          <w:szCs w:val="18"/>
        </w:rPr>
        <w:t xml:space="preserve"> http://www.nemis.hr/index.php/radioaktivni-otpad/upravljanje-nisko-i-srednje-radioaktivnim-otpadom.html</w:t>
      </w:r>
    </w:p>
  </w:footnote>
  <w:footnote w:id="125">
    <w:p w14:paraId="711477A6" w14:textId="77777777" w:rsidR="007D1E1B" w:rsidRPr="00BC021E" w:rsidRDefault="007D1E1B" w:rsidP="0068671C">
      <w:pPr>
        <w:pStyle w:val="FootnoteText"/>
        <w:spacing w:before="0"/>
        <w:rPr>
          <w:rFonts w:cstheme="minorHAnsi"/>
          <w:sz w:val="18"/>
          <w:szCs w:val="18"/>
        </w:rPr>
      </w:pPr>
      <w:r w:rsidRPr="0068671C">
        <w:rPr>
          <w:rStyle w:val="FootnoteReference"/>
          <w:rFonts w:cstheme="minorHAnsi"/>
          <w:sz w:val="18"/>
          <w:szCs w:val="18"/>
        </w:rPr>
        <w:footnoteRef/>
      </w:r>
      <w:r w:rsidRPr="0068671C">
        <w:rPr>
          <w:rFonts w:cstheme="minorHAnsi"/>
          <w:sz w:val="18"/>
          <w:szCs w:val="18"/>
        </w:rPr>
        <w:t xml:space="preserve"> Ordinance on disposal of radioactive waste and used sources (OG 12/18 ) (http://www.propisi.hr/print.php?id=7985)</w:t>
      </w:r>
    </w:p>
  </w:footnote>
  <w:footnote w:id="126">
    <w:p w14:paraId="393F0840" w14:textId="77777777" w:rsidR="007D1E1B" w:rsidRPr="00F14D60" w:rsidRDefault="007D1E1B" w:rsidP="0002353F">
      <w:pPr>
        <w:pStyle w:val="FootnoteText"/>
        <w:spacing w:before="0"/>
        <w:rPr>
          <w:rFonts w:cstheme="minorHAnsi"/>
          <w:sz w:val="18"/>
          <w:szCs w:val="18"/>
        </w:rPr>
      </w:pPr>
      <w:r w:rsidRPr="00F14D60">
        <w:rPr>
          <w:rStyle w:val="FootnoteReference"/>
          <w:rFonts w:cstheme="minorHAnsi"/>
          <w:sz w:val="18"/>
          <w:szCs w:val="18"/>
        </w:rPr>
        <w:footnoteRef/>
      </w:r>
      <w:r w:rsidRPr="00F14D60">
        <w:rPr>
          <w:rFonts w:cstheme="minorHAnsi"/>
          <w:sz w:val="18"/>
          <w:szCs w:val="18"/>
        </w:rPr>
        <w:t xml:space="preserve"> OG 81/20</w:t>
      </w:r>
    </w:p>
  </w:footnote>
  <w:footnote w:id="127">
    <w:p w14:paraId="422C5D49" w14:textId="77777777" w:rsidR="007D1E1B" w:rsidRPr="0068671C" w:rsidRDefault="007D1E1B" w:rsidP="0068671C">
      <w:pPr>
        <w:pStyle w:val="FootnoteText"/>
        <w:spacing w:before="0"/>
        <w:rPr>
          <w:rFonts w:cstheme="minorHAnsi"/>
          <w:sz w:val="18"/>
          <w:szCs w:val="18"/>
          <w:lang w:val="en-GB"/>
        </w:rPr>
      </w:pPr>
      <w:r w:rsidRPr="0068671C">
        <w:rPr>
          <w:rStyle w:val="FootnoteReference"/>
          <w:rFonts w:cstheme="minorHAnsi"/>
          <w:sz w:val="18"/>
          <w:szCs w:val="18"/>
          <w:lang w:val="en-GB"/>
        </w:rPr>
        <w:footnoteRef/>
      </w:r>
      <w:r w:rsidRPr="0068671C">
        <w:rPr>
          <w:rFonts w:cstheme="minorHAnsi"/>
          <w:sz w:val="18"/>
          <w:szCs w:val="18"/>
          <w:lang w:val="en-GB"/>
        </w:rPr>
        <w:t xml:space="preserve"> Physical methods of dry or steam sterilization. In the absence of a device, other methods can be used to achieve the removal of microorganisms</w:t>
      </w:r>
    </w:p>
  </w:footnote>
  <w:footnote w:id="128">
    <w:p w14:paraId="3B0391C9" w14:textId="77777777" w:rsidR="007D1E1B" w:rsidRPr="0068671C" w:rsidRDefault="007D1E1B" w:rsidP="0068671C">
      <w:pPr>
        <w:pStyle w:val="FootnoteText"/>
        <w:spacing w:before="0"/>
        <w:rPr>
          <w:rFonts w:cstheme="minorHAnsi"/>
          <w:sz w:val="18"/>
          <w:szCs w:val="18"/>
          <w:lang w:val="en-GB"/>
        </w:rPr>
      </w:pPr>
      <w:r w:rsidRPr="0068671C">
        <w:rPr>
          <w:rStyle w:val="FootnoteReference"/>
          <w:rFonts w:cstheme="minorHAnsi"/>
          <w:sz w:val="18"/>
          <w:szCs w:val="18"/>
          <w:lang w:val="en-GB"/>
        </w:rPr>
        <w:footnoteRef/>
      </w:r>
      <w:r w:rsidRPr="0068671C">
        <w:rPr>
          <w:rFonts w:cstheme="minorHAnsi"/>
          <w:sz w:val="18"/>
          <w:szCs w:val="18"/>
          <w:lang w:val="en-GB"/>
        </w:rPr>
        <w:t xml:space="preserve"> OG 94/13, 73/17, 14/19, 98/19</w:t>
      </w:r>
    </w:p>
  </w:footnote>
  <w:footnote w:id="129">
    <w:p w14:paraId="12FCA4D0" w14:textId="77777777" w:rsidR="007D1E1B" w:rsidRPr="0068671C" w:rsidRDefault="007D1E1B" w:rsidP="0068671C">
      <w:pPr>
        <w:pStyle w:val="FootnoteText"/>
        <w:spacing w:before="0"/>
        <w:rPr>
          <w:rFonts w:cstheme="minorHAnsi"/>
          <w:sz w:val="18"/>
          <w:szCs w:val="18"/>
          <w:lang w:val="en-GB"/>
        </w:rPr>
      </w:pPr>
      <w:r w:rsidRPr="0068671C">
        <w:rPr>
          <w:rStyle w:val="FootnoteReference"/>
          <w:rFonts w:cstheme="minorHAnsi"/>
          <w:sz w:val="18"/>
          <w:szCs w:val="18"/>
          <w:lang w:val="en-GB"/>
        </w:rPr>
        <w:footnoteRef/>
      </w:r>
      <w:r w:rsidRPr="0068671C">
        <w:rPr>
          <w:rFonts w:cstheme="minorHAnsi"/>
          <w:sz w:val="18"/>
          <w:szCs w:val="18"/>
          <w:lang w:val="en-GB"/>
        </w:rPr>
        <w:t xml:space="preserve"> Waste management shall be carried out in a manner which is not likely to pose a risk to</w:t>
      </w:r>
    </w:p>
    <w:p w14:paraId="014B7C69" w14:textId="77777777" w:rsidR="007D1E1B" w:rsidRPr="0068671C" w:rsidRDefault="007D1E1B" w:rsidP="0068671C">
      <w:pPr>
        <w:pStyle w:val="FootnoteText"/>
        <w:spacing w:before="0"/>
        <w:rPr>
          <w:sz w:val="18"/>
          <w:szCs w:val="18"/>
          <w:lang w:val="en-GB"/>
        </w:rPr>
      </w:pPr>
      <w:r w:rsidRPr="0068671C">
        <w:rPr>
          <w:sz w:val="18"/>
          <w:szCs w:val="18"/>
          <w:lang w:val="en-GB"/>
        </w:rPr>
        <w:t>human health or to have adverse environmental impacts, and in particular to avoid:</w:t>
      </w:r>
    </w:p>
    <w:p w14:paraId="47F06824" w14:textId="77777777" w:rsidR="007D1E1B" w:rsidRPr="0068671C" w:rsidRDefault="007D1E1B" w:rsidP="0068671C">
      <w:pPr>
        <w:pStyle w:val="FootnoteText"/>
        <w:spacing w:before="0"/>
        <w:rPr>
          <w:sz w:val="18"/>
          <w:szCs w:val="18"/>
          <w:lang w:val="en-GB"/>
        </w:rPr>
      </w:pPr>
      <w:r w:rsidRPr="0068671C">
        <w:rPr>
          <w:sz w:val="18"/>
          <w:szCs w:val="18"/>
          <w:lang w:val="en-GB"/>
        </w:rPr>
        <w:t>1. risks of sea, water, soil and air pollution, and risks to biodiversity,</w:t>
      </w:r>
    </w:p>
    <w:p w14:paraId="6CD7F60F" w14:textId="77777777" w:rsidR="007D1E1B" w:rsidRPr="0068671C" w:rsidRDefault="007D1E1B" w:rsidP="0068671C">
      <w:pPr>
        <w:pStyle w:val="FootnoteText"/>
        <w:spacing w:before="0"/>
        <w:rPr>
          <w:sz w:val="18"/>
          <w:szCs w:val="18"/>
          <w:lang w:val="en-GB"/>
        </w:rPr>
      </w:pPr>
      <w:r w:rsidRPr="0068671C">
        <w:rPr>
          <w:sz w:val="18"/>
          <w:szCs w:val="18"/>
          <w:lang w:val="en-GB"/>
        </w:rPr>
        <w:t>2. nuisance caused by noise and/or odours,</w:t>
      </w:r>
    </w:p>
    <w:p w14:paraId="34077F9B" w14:textId="77777777" w:rsidR="007D1E1B" w:rsidRPr="0068671C" w:rsidRDefault="007D1E1B" w:rsidP="0068671C">
      <w:pPr>
        <w:pStyle w:val="FootnoteText"/>
        <w:spacing w:before="0"/>
        <w:rPr>
          <w:sz w:val="18"/>
          <w:szCs w:val="18"/>
          <w:lang w:val="en-GB"/>
        </w:rPr>
      </w:pPr>
      <w:r w:rsidRPr="0068671C">
        <w:rPr>
          <w:sz w:val="18"/>
          <w:szCs w:val="18"/>
          <w:lang w:val="en-GB"/>
        </w:rPr>
        <w:t>3. adverse impacts in areas of cultural, historical, aesthetic and natural significance, or on</w:t>
      </w:r>
    </w:p>
    <w:p w14:paraId="1EB7355A" w14:textId="77777777" w:rsidR="007D1E1B" w:rsidRPr="0068671C" w:rsidRDefault="007D1E1B" w:rsidP="0068671C">
      <w:pPr>
        <w:pStyle w:val="FootnoteText"/>
        <w:spacing w:before="0"/>
        <w:rPr>
          <w:sz w:val="18"/>
          <w:szCs w:val="18"/>
          <w:lang w:val="en-GB"/>
        </w:rPr>
      </w:pPr>
      <w:r w:rsidRPr="0068671C">
        <w:rPr>
          <w:sz w:val="18"/>
          <w:szCs w:val="18"/>
          <w:lang w:val="en-GB"/>
        </w:rPr>
        <w:t>other assets of special interest,</w:t>
      </w:r>
    </w:p>
    <w:p w14:paraId="75868194" w14:textId="77777777" w:rsidR="007D1E1B" w:rsidRPr="00B86986" w:rsidRDefault="007D1E1B" w:rsidP="0068671C">
      <w:pPr>
        <w:pStyle w:val="FootnoteText"/>
        <w:spacing w:before="0"/>
        <w:rPr>
          <w:lang w:val="en-GB"/>
        </w:rPr>
      </w:pPr>
      <w:r w:rsidRPr="0068671C">
        <w:rPr>
          <w:sz w:val="18"/>
          <w:szCs w:val="18"/>
          <w:lang w:val="en-GB"/>
        </w:rPr>
        <w:t>4. explosions or fires.</w:t>
      </w:r>
    </w:p>
  </w:footnote>
  <w:footnote w:id="130">
    <w:p w14:paraId="5C2F9B79" w14:textId="77777777" w:rsidR="007D1E1B" w:rsidRPr="0068671C" w:rsidRDefault="007D1E1B" w:rsidP="00BE1870">
      <w:pPr>
        <w:pStyle w:val="FootnoteText"/>
        <w:spacing w:before="0"/>
        <w:rPr>
          <w:sz w:val="18"/>
          <w:szCs w:val="18"/>
          <w:lang w:val="en-GB"/>
        </w:rPr>
      </w:pPr>
      <w:r w:rsidRPr="0068671C">
        <w:rPr>
          <w:rStyle w:val="FootnoteReference"/>
          <w:sz w:val="18"/>
          <w:szCs w:val="18"/>
        </w:rPr>
        <w:footnoteRef/>
      </w:r>
      <w:r w:rsidRPr="0068671C">
        <w:rPr>
          <w:sz w:val="18"/>
          <w:szCs w:val="18"/>
        </w:rPr>
        <w:t xml:space="preserve"> </w:t>
      </w:r>
      <w:r w:rsidRPr="0068671C">
        <w:rPr>
          <w:sz w:val="18"/>
          <w:szCs w:val="18"/>
          <w:lang w:val="en-GB"/>
        </w:rPr>
        <w:t>Basel Convention on the Control of Transboundary Movements of Hazardous Wastes and Their Disposal (Basel 1989), Published in OG–IT No. 3/94, came into force with respect to the Republic of Croatia on 7 August 1994.</w:t>
      </w:r>
    </w:p>
    <w:p w14:paraId="3F1540E2" w14:textId="296C49C0" w:rsidR="007D1E1B" w:rsidRPr="00DB4244" w:rsidRDefault="007D1E1B" w:rsidP="00BE1870">
      <w:pPr>
        <w:pStyle w:val="FootnoteText"/>
        <w:spacing w:before="0"/>
        <w:rPr>
          <w:lang w:val="en-GB"/>
        </w:rPr>
      </w:pPr>
      <w:r w:rsidRPr="0068671C">
        <w:rPr>
          <w:sz w:val="18"/>
          <w:szCs w:val="18"/>
          <w:lang w:val="en-GB"/>
        </w:rPr>
        <w:t>Act on Ratification of Amendments to the Basel Convention on the Control of Transboundary Movements of Hazardous Wastes and Their Disposal OG-IT No. 7/19</w:t>
      </w:r>
    </w:p>
  </w:footnote>
  <w:footnote w:id="131">
    <w:p w14:paraId="3D82924A" w14:textId="67DDD837" w:rsidR="007D1E1B" w:rsidRPr="0068671C" w:rsidRDefault="007D1E1B" w:rsidP="0068671C">
      <w:pPr>
        <w:pStyle w:val="FootnoteText"/>
        <w:spacing w:before="0"/>
        <w:rPr>
          <w:sz w:val="18"/>
          <w:szCs w:val="18"/>
        </w:rPr>
      </w:pPr>
      <w:r w:rsidRPr="0068671C">
        <w:rPr>
          <w:rStyle w:val="FootnoteReference"/>
          <w:sz w:val="18"/>
          <w:szCs w:val="18"/>
        </w:rPr>
        <w:footnoteRef/>
      </w:r>
      <w:r w:rsidRPr="0068671C">
        <w:rPr>
          <w:sz w:val="18"/>
          <w:szCs w:val="18"/>
        </w:rPr>
        <w:t xml:space="preserve"> </w:t>
      </w:r>
      <w:hyperlink r:id="rId63" w:history="1">
        <w:r w:rsidRPr="0068671C">
          <w:rPr>
            <w:rStyle w:val="Hyperlink"/>
            <w:sz w:val="18"/>
            <w:szCs w:val="18"/>
          </w:rPr>
          <w:t>https://civilna-zastita.gov.hr/vijesti/preporuke-za-kucanstva-i-ostale-zatvorene-prostore/2289</w:t>
        </w:r>
      </w:hyperlink>
    </w:p>
  </w:footnote>
  <w:footnote w:id="132">
    <w:p w14:paraId="3A768850" w14:textId="65A7C181" w:rsidR="007D1E1B" w:rsidRPr="0068671C" w:rsidRDefault="007D1E1B" w:rsidP="00E1664B">
      <w:pPr>
        <w:pStyle w:val="FootnoteText"/>
        <w:spacing w:before="0"/>
        <w:rPr>
          <w:sz w:val="18"/>
          <w:szCs w:val="18"/>
        </w:rPr>
      </w:pPr>
      <w:r w:rsidRPr="0068671C">
        <w:rPr>
          <w:rStyle w:val="FootnoteReference"/>
          <w:sz w:val="18"/>
          <w:szCs w:val="18"/>
        </w:rPr>
        <w:footnoteRef/>
      </w:r>
      <w:r w:rsidRPr="0068671C">
        <w:rPr>
          <w:sz w:val="18"/>
          <w:szCs w:val="18"/>
        </w:rPr>
        <w:t xml:space="preserve"> </w:t>
      </w:r>
      <w:hyperlink r:id="rId64" w:history="1">
        <w:r w:rsidRPr="0068671C">
          <w:rPr>
            <w:rStyle w:val="Hyperlink"/>
            <w:sz w:val="18"/>
            <w:szCs w:val="18"/>
          </w:rPr>
          <w:t>http://uznr.mrms.hr/uputa-za-provedbu-mjera-sigurnosti-i-zastite-zdravlja-na-radu-prilikom-izvodenja-gradevinskih-radova-na-sanaciji-objekata/</w:t>
        </w:r>
      </w:hyperlink>
    </w:p>
    <w:p w14:paraId="25D8DF3D" w14:textId="46562D82" w:rsidR="007D1E1B" w:rsidRPr="0068671C" w:rsidRDefault="00C40C75" w:rsidP="00E1664B">
      <w:pPr>
        <w:pStyle w:val="FootnoteText"/>
        <w:spacing w:before="0"/>
        <w:rPr>
          <w:sz w:val="18"/>
          <w:szCs w:val="18"/>
          <w:lang w:val="en-GB"/>
        </w:rPr>
      </w:pPr>
      <w:hyperlink r:id="rId65" w:history="1">
        <w:r w:rsidR="007D1E1B" w:rsidRPr="0068671C">
          <w:rPr>
            <w:rStyle w:val="Hyperlink"/>
            <w:sz w:val="18"/>
            <w:szCs w:val="18"/>
            <w:lang w:val="en-GB"/>
          </w:rPr>
          <w:t>https://mrms.gov.hr/UserDocsImages/dokumenti/Uprava%20za%20rad/UPUTA%20ZA%20POSLODAVCE%20I%20RADNIKE_COVID%2019_letak-travanj_2020.pdf</w:t>
        </w:r>
      </w:hyperlink>
    </w:p>
    <w:p w14:paraId="7C68E143" w14:textId="77777777" w:rsidR="007D1E1B" w:rsidRPr="00486567" w:rsidRDefault="007D1E1B">
      <w:pPr>
        <w:pStyle w:val="FootnoteText"/>
        <w:rPr>
          <w:lang w:val="en-GB"/>
        </w:rPr>
      </w:pPr>
    </w:p>
  </w:footnote>
  <w:footnote w:id="133">
    <w:p w14:paraId="2ACE011E" w14:textId="3BA4B816" w:rsidR="007D1E1B" w:rsidRPr="0068671C" w:rsidRDefault="007D1E1B" w:rsidP="00FB6A47">
      <w:pPr>
        <w:pStyle w:val="FootnoteText"/>
        <w:spacing w:before="0"/>
        <w:rPr>
          <w:sz w:val="18"/>
          <w:szCs w:val="18"/>
          <w:lang w:val="en-GB"/>
        </w:rPr>
      </w:pPr>
      <w:r w:rsidRPr="0068671C">
        <w:rPr>
          <w:rStyle w:val="FootnoteReference"/>
          <w:sz w:val="18"/>
          <w:szCs w:val="18"/>
        </w:rPr>
        <w:footnoteRef/>
      </w:r>
      <w:r w:rsidRPr="0068671C">
        <w:rPr>
          <w:sz w:val="18"/>
          <w:szCs w:val="18"/>
        </w:rPr>
        <w:t xml:space="preserve"> </w:t>
      </w:r>
      <w:r w:rsidRPr="0068671C">
        <w:rPr>
          <w:sz w:val="18"/>
          <w:szCs w:val="18"/>
          <w:lang w:val="en-GB"/>
        </w:rPr>
        <w:t>This Act defines all necessary requirements and standards aimed to determine the correct procedures and methods for the safe and secure transport and/or transport related activities on the territory of the Republic of Croatia when dealing with dangerous goods.</w:t>
      </w:r>
    </w:p>
  </w:footnote>
  <w:footnote w:id="134">
    <w:p w14:paraId="6D179390" w14:textId="1CA912D2" w:rsidR="007D1E1B" w:rsidRPr="0068671C" w:rsidRDefault="007D1E1B" w:rsidP="00FB6A47">
      <w:pPr>
        <w:pStyle w:val="FootnoteText"/>
        <w:spacing w:before="0"/>
        <w:rPr>
          <w:sz w:val="18"/>
          <w:szCs w:val="18"/>
          <w:lang w:val="en-GB"/>
        </w:rPr>
      </w:pPr>
      <w:r w:rsidRPr="0068671C">
        <w:rPr>
          <w:rStyle w:val="FootnoteReference"/>
          <w:sz w:val="18"/>
          <w:szCs w:val="18"/>
          <w:lang w:val="en-GB"/>
        </w:rPr>
        <w:footnoteRef/>
      </w:r>
      <w:r w:rsidRPr="0068671C">
        <w:rPr>
          <w:sz w:val="18"/>
          <w:szCs w:val="18"/>
          <w:lang w:val="en-GB"/>
        </w:rPr>
        <w:t xml:space="preserve"> For interventions and research in the area of strict reserve, national park, special reserve and nature park permission is issued by MoESD,</w:t>
      </w:r>
    </w:p>
    <w:p w14:paraId="3C84FA9E" w14:textId="28283A7D" w:rsidR="007D1E1B" w:rsidRPr="0068671C" w:rsidRDefault="007D1E1B" w:rsidP="00FB6A47">
      <w:pPr>
        <w:pStyle w:val="FootnoteText"/>
        <w:spacing w:before="0"/>
        <w:rPr>
          <w:sz w:val="18"/>
          <w:szCs w:val="18"/>
          <w:lang w:val="en-GB"/>
        </w:rPr>
      </w:pPr>
      <w:r w:rsidRPr="0068671C">
        <w:rPr>
          <w:sz w:val="18"/>
          <w:szCs w:val="18"/>
          <w:lang w:val="en-GB"/>
        </w:rPr>
        <w:t>For interventions and research in the area of natural monuments, regional parks, significant landscapes, forest parks and monuments of park architecture permission is issued by administrative body (county and City of Zagreb)</w:t>
      </w:r>
    </w:p>
  </w:footnote>
  <w:footnote w:id="135">
    <w:p w14:paraId="34746A43" w14:textId="7B011B60" w:rsidR="007D1E1B" w:rsidRDefault="007D1E1B" w:rsidP="00077EE2">
      <w:pPr>
        <w:pStyle w:val="FootnoteText"/>
        <w:spacing w:before="0"/>
      </w:pPr>
      <w:r w:rsidRPr="0068671C">
        <w:rPr>
          <w:rStyle w:val="FootnoteReference"/>
          <w:sz w:val="18"/>
          <w:szCs w:val="18"/>
        </w:rPr>
        <w:footnoteRef/>
      </w:r>
      <w:r w:rsidRPr="0068671C">
        <w:rPr>
          <w:sz w:val="18"/>
          <w:szCs w:val="18"/>
        </w:rPr>
        <w:t xml:space="preserve"> http://www.haop.hr/sites/default/files/uploads/publications/2017-12/PRIRUCNIK%20ZA%20OPEM.pdf</w:t>
      </w:r>
    </w:p>
  </w:footnote>
  <w:footnote w:id="136">
    <w:p w14:paraId="1DC88AA9" w14:textId="77777777" w:rsidR="007D1E1B" w:rsidRPr="00924F42" w:rsidRDefault="007D1E1B" w:rsidP="0068671C">
      <w:pPr>
        <w:pStyle w:val="FootnoteText"/>
        <w:spacing w:before="0"/>
        <w:rPr>
          <w:sz w:val="17"/>
          <w:szCs w:val="17"/>
          <w:lang w:val="en-GB"/>
        </w:rPr>
      </w:pPr>
      <w:r w:rsidRPr="0068671C">
        <w:rPr>
          <w:rStyle w:val="FootnoteReference"/>
          <w:sz w:val="18"/>
          <w:szCs w:val="18"/>
        </w:rPr>
        <w:footnoteRef/>
      </w:r>
      <w:r w:rsidRPr="0068671C">
        <w:rPr>
          <w:sz w:val="18"/>
          <w:szCs w:val="18"/>
        </w:rPr>
        <w:t xml:space="preserve"> The project of reconstruction of the building structure designs the repair of the structure, reinforcement of the structure and / or complete reconstruction of the structure and, if necessary, repair of non-structural elements.</w:t>
      </w:r>
    </w:p>
  </w:footnote>
  <w:footnote w:id="137">
    <w:p w14:paraId="65CAD6F8" w14:textId="5A97E4EB" w:rsidR="007D1E1B" w:rsidRPr="00290D59" w:rsidRDefault="007D1E1B" w:rsidP="00290D59">
      <w:pPr>
        <w:pStyle w:val="FootnoteText"/>
        <w:spacing w:before="0"/>
        <w:rPr>
          <w:sz w:val="18"/>
          <w:szCs w:val="18"/>
          <w:lang w:val="en-GB"/>
        </w:rPr>
      </w:pPr>
      <w:r w:rsidRPr="00290D59">
        <w:rPr>
          <w:rStyle w:val="FootnoteReference"/>
          <w:sz w:val="18"/>
          <w:szCs w:val="18"/>
          <w:lang w:val="en-GB"/>
        </w:rPr>
        <w:footnoteRef/>
      </w:r>
      <w:r w:rsidRPr="00290D59">
        <w:rPr>
          <w:sz w:val="18"/>
          <w:szCs w:val="18"/>
          <w:lang w:val="en-GB"/>
        </w:rPr>
        <w:t xml:space="preserve"> The Croatian Red Cross opened a free hotline for psychosocial support +385 800 1188 for all citizens who are self-isolated or quarantined, and anyone who is concerned about the situation with the coronavirus epidemic and who needs psychosocial assistance.</w:t>
      </w:r>
    </w:p>
  </w:footnote>
  <w:footnote w:id="138">
    <w:p w14:paraId="6DA10485" w14:textId="4080B3E3" w:rsidR="007D1E1B" w:rsidRPr="00290D59" w:rsidRDefault="007D1E1B" w:rsidP="00290D59">
      <w:pPr>
        <w:pStyle w:val="FootnoteText"/>
        <w:spacing w:before="0"/>
        <w:rPr>
          <w:sz w:val="18"/>
          <w:szCs w:val="18"/>
          <w:lang w:val="en-GB"/>
        </w:rPr>
      </w:pPr>
      <w:r w:rsidRPr="00290D59">
        <w:rPr>
          <w:rStyle w:val="FootnoteReference"/>
          <w:sz w:val="18"/>
          <w:szCs w:val="18"/>
        </w:rPr>
        <w:footnoteRef/>
      </w:r>
      <w:r w:rsidRPr="00290D59">
        <w:rPr>
          <w:sz w:val="18"/>
          <w:szCs w:val="18"/>
        </w:rPr>
        <w:t xml:space="preserve"> See here for the list of phone numbers: </w:t>
      </w:r>
      <w:hyperlink r:id="rId66" w:history="1">
        <w:r w:rsidRPr="00290D59">
          <w:rPr>
            <w:rStyle w:val="Hyperlink"/>
            <w:sz w:val="18"/>
            <w:szCs w:val="18"/>
          </w:rPr>
          <w:t>https://koronavirus.hr/important-phone-numbers/152</w:t>
        </w:r>
      </w:hyperlink>
    </w:p>
  </w:footnote>
  <w:footnote w:id="139">
    <w:p w14:paraId="5E68A308" w14:textId="62C74F00" w:rsidR="007D1E1B" w:rsidRPr="009B782E" w:rsidRDefault="007D1E1B" w:rsidP="00290D59">
      <w:pPr>
        <w:pStyle w:val="FootnoteText"/>
        <w:spacing w:before="0"/>
        <w:rPr>
          <w:lang w:val="en-GB"/>
        </w:rPr>
      </w:pPr>
      <w:r w:rsidRPr="00290D59">
        <w:rPr>
          <w:rStyle w:val="FootnoteReference"/>
          <w:sz w:val="18"/>
          <w:szCs w:val="18"/>
          <w:lang w:val="en-GB"/>
        </w:rPr>
        <w:footnoteRef/>
      </w:r>
      <w:r w:rsidRPr="00290D59">
        <w:rPr>
          <w:sz w:val="18"/>
          <w:szCs w:val="18"/>
          <w:lang w:val="en-GB"/>
        </w:rPr>
        <w:t xml:space="preserve"> A possible typology of complaints could for example include: grievances linked to building eligibility; choice of technical design; quality of works; waste/debris disposal by the contractor</w:t>
      </w:r>
    </w:p>
  </w:footnote>
  <w:footnote w:id="140">
    <w:p w14:paraId="521F0058" w14:textId="77777777" w:rsidR="007D1E1B" w:rsidRPr="00290D59" w:rsidRDefault="007D1E1B" w:rsidP="00290D59">
      <w:pPr>
        <w:pStyle w:val="FootnoteText"/>
        <w:spacing w:before="0"/>
        <w:rPr>
          <w:sz w:val="18"/>
          <w:szCs w:val="18"/>
        </w:rPr>
      </w:pPr>
      <w:r w:rsidRPr="00290D59">
        <w:rPr>
          <w:rStyle w:val="FootnoteReference"/>
          <w:sz w:val="18"/>
          <w:szCs w:val="18"/>
        </w:rPr>
        <w:footnoteRef/>
      </w:r>
      <w:r w:rsidRPr="00290D59">
        <w:rPr>
          <w:sz w:val="18"/>
          <w:szCs w:val="18"/>
        </w:rPr>
        <w:t xml:space="preserve"> Ordinance on operations in an area which are not considered construction, for which the location permit is issued (OG 105/2017)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B0692" w14:textId="0BF601E7" w:rsidR="007D1E1B" w:rsidRPr="00610FC4" w:rsidRDefault="007D1E1B" w:rsidP="00610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D20"/>
    <w:multiLevelType w:val="multilevel"/>
    <w:tmpl w:val="90EE7DF6"/>
    <w:lvl w:ilvl="0">
      <w:numFmt w:val="bullet"/>
      <w:lvlText w:val="-"/>
      <w:lvlJc w:val="left"/>
      <w:pPr>
        <w:ind w:left="1816" w:hanging="360"/>
      </w:pPr>
      <w:rPr>
        <w:rFonts w:ascii="Times New Roman" w:eastAsia="Times New Roman" w:hAnsi="Times New Roman" w:cs="Times New Roman"/>
      </w:rPr>
    </w:lvl>
    <w:lvl w:ilvl="1">
      <w:numFmt w:val="bullet"/>
      <w:lvlText w:val="o"/>
      <w:lvlJc w:val="left"/>
      <w:pPr>
        <w:ind w:left="2536" w:hanging="360"/>
      </w:pPr>
      <w:rPr>
        <w:rFonts w:ascii="Courier New" w:hAnsi="Courier New" w:cs="Courier New"/>
      </w:rPr>
    </w:lvl>
    <w:lvl w:ilvl="2">
      <w:numFmt w:val="bullet"/>
      <w:lvlText w:val=""/>
      <w:lvlJc w:val="left"/>
      <w:pPr>
        <w:ind w:left="3256" w:hanging="360"/>
      </w:pPr>
      <w:rPr>
        <w:rFonts w:ascii="Wingdings" w:hAnsi="Wingdings"/>
      </w:rPr>
    </w:lvl>
    <w:lvl w:ilvl="3">
      <w:numFmt w:val="bullet"/>
      <w:lvlText w:val=""/>
      <w:lvlJc w:val="left"/>
      <w:pPr>
        <w:ind w:left="3976" w:hanging="360"/>
      </w:pPr>
      <w:rPr>
        <w:rFonts w:ascii="Symbol" w:hAnsi="Symbol"/>
      </w:rPr>
    </w:lvl>
    <w:lvl w:ilvl="4">
      <w:numFmt w:val="bullet"/>
      <w:lvlText w:val="o"/>
      <w:lvlJc w:val="left"/>
      <w:pPr>
        <w:ind w:left="4696" w:hanging="360"/>
      </w:pPr>
      <w:rPr>
        <w:rFonts w:ascii="Courier New" w:hAnsi="Courier New" w:cs="Courier New"/>
      </w:rPr>
    </w:lvl>
    <w:lvl w:ilvl="5">
      <w:numFmt w:val="bullet"/>
      <w:lvlText w:val=""/>
      <w:lvlJc w:val="left"/>
      <w:pPr>
        <w:ind w:left="5416" w:hanging="360"/>
      </w:pPr>
      <w:rPr>
        <w:rFonts w:ascii="Wingdings" w:hAnsi="Wingdings"/>
      </w:rPr>
    </w:lvl>
    <w:lvl w:ilvl="6">
      <w:numFmt w:val="bullet"/>
      <w:lvlText w:val=""/>
      <w:lvlJc w:val="left"/>
      <w:pPr>
        <w:ind w:left="6136" w:hanging="360"/>
      </w:pPr>
      <w:rPr>
        <w:rFonts w:ascii="Symbol" w:hAnsi="Symbol"/>
      </w:rPr>
    </w:lvl>
    <w:lvl w:ilvl="7">
      <w:numFmt w:val="bullet"/>
      <w:lvlText w:val="o"/>
      <w:lvlJc w:val="left"/>
      <w:pPr>
        <w:ind w:left="6856" w:hanging="360"/>
      </w:pPr>
      <w:rPr>
        <w:rFonts w:ascii="Courier New" w:hAnsi="Courier New" w:cs="Courier New"/>
      </w:rPr>
    </w:lvl>
    <w:lvl w:ilvl="8">
      <w:numFmt w:val="bullet"/>
      <w:lvlText w:val=""/>
      <w:lvlJc w:val="left"/>
      <w:pPr>
        <w:ind w:left="7576" w:hanging="360"/>
      </w:pPr>
      <w:rPr>
        <w:rFonts w:ascii="Wingdings" w:hAnsi="Wingdings"/>
      </w:rPr>
    </w:lvl>
  </w:abstractNum>
  <w:abstractNum w:abstractNumId="1" w15:restartNumberingAfterBreak="0">
    <w:nsid w:val="02F8155C"/>
    <w:multiLevelType w:val="multilevel"/>
    <w:tmpl w:val="5726D76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C35A38"/>
    <w:multiLevelType w:val="hybridMultilevel"/>
    <w:tmpl w:val="CDA00F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5C87A01"/>
    <w:multiLevelType w:val="hybridMultilevel"/>
    <w:tmpl w:val="07BE4B6E"/>
    <w:lvl w:ilvl="0" w:tplc="0BE830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FF3EC4"/>
    <w:multiLevelType w:val="hybridMultilevel"/>
    <w:tmpl w:val="32A8C8FE"/>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3847FC"/>
    <w:multiLevelType w:val="multilevel"/>
    <w:tmpl w:val="AED6D0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86B1F3E"/>
    <w:multiLevelType w:val="hybridMultilevel"/>
    <w:tmpl w:val="20EC709C"/>
    <w:lvl w:ilvl="0" w:tplc="E7C06C02">
      <w:numFmt w:val="bullet"/>
      <w:lvlText w:val="-"/>
      <w:lvlJc w:val="left"/>
      <w:pPr>
        <w:ind w:left="720" w:hanging="360"/>
      </w:pPr>
      <w:rPr>
        <w:rFonts w:ascii="Minion Pro" w:eastAsia="Times New Roman" w:hAnsi="Minion Pro"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770BA0"/>
    <w:multiLevelType w:val="multilevel"/>
    <w:tmpl w:val="4BCC2D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C052E0"/>
    <w:multiLevelType w:val="hybridMultilevel"/>
    <w:tmpl w:val="5460517C"/>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CF84563"/>
    <w:multiLevelType w:val="hybridMultilevel"/>
    <w:tmpl w:val="4774B4AE"/>
    <w:lvl w:ilvl="0" w:tplc="0BE830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EE1B33"/>
    <w:multiLevelType w:val="hybridMultilevel"/>
    <w:tmpl w:val="4432AD4E"/>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FDF7EB3"/>
    <w:multiLevelType w:val="hybridMultilevel"/>
    <w:tmpl w:val="B614C6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7F12D5"/>
    <w:multiLevelType w:val="hybridMultilevel"/>
    <w:tmpl w:val="328EE52E"/>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2A73B13"/>
    <w:multiLevelType w:val="multilevel"/>
    <w:tmpl w:val="FD229F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3C05A9E"/>
    <w:multiLevelType w:val="hybridMultilevel"/>
    <w:tmpl w:val="A77A667E"/>
    <w:lvl w:ilvl="0" w:tplc="51E667BA">
      <w:start w:val="1"/>
      <w:numFmt w:val="decimal"/>
      <w:lvlText w:val="%1."/>
      <w:lvlJc w:val="left"/>
      <w:pPr>
        <w:ind w:left="720" w:hanging="493"/>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4D26DB8"/>
    <w:multiLevelType w:val="hybridMultilevel"/>
    <w:tmpl w:val="B9EE7B8A"/>
    <w:lvl w:ilvl="0" w:tplc="30DCB560">
      <w:start w:val="1"/>
      <w:numFmt w:val="decimal"/>
      <w:lvlText w:val="%1."/>
      <w:lvlJc w:val="left"/>
      <w:pPr>
        <w:ind w:left="720" w:hanging="607"/>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51C165F"/>
    <w:multiLevelType w:val="multilevel"/>
    <w:tmpl w:val="E024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5B0481C"/>
    <w:multiLevelType w:val="hybridMultilevel"/>
    <w:tmpl w:val="5F6E9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A326EA"/>
    <w:multiLevelType w:val="hybridMultilevel"/>
    <w:tmpl w:val="19BA5C6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73909BF"/>
    <w:multiLevelType w:val="hybridMultilevel"/>
    <w:tmpl w:val="431A9B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20" w15:restartNumberingAfterBreak="0">
    <w:nsid w:val="1AE3205A"/>
    <w:multiLevelType w:val="hybridMultilevel"/>
    <w:tmpl w:val="CABAB5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C34235B"/>
    <w:multiLevelType w:val="hybridMultilevel"/>
    <w:tmpl w:val="2C2E2B4A"/>
    <w:lvl w:ilvl="0" w:tplc="04D25010">
      <w:numFmt w:val="bullet"/>
      <w:lvlText w:val="-"/>
      <w:lvlJc w:val="left"/>
      <w:pPr>
        <w:ind w:left="1552" w:hanging="360"/>
      </w:pPr>
      <w:rPr>
        <w:rFonts w:ascii="Times New Roman" w:eastAsia="Times New Roman" w:hAnsi="Times New Roman" w:cs="Times New Roman" w:hint="default"/>
        <w:spacing w:val="-20"/>
        <w:w w:val="99"/>
        <w:sz w:val="24"/>
        <w:szCs w:val="24"/>
        <w:lang w:val="en-US" w:eastAsia="en-US" w:bidi="ar-SA"/>
      </w:rPr>
    </w:lvl>
    <w:lvl w:ilvl="1" w:tplc="03DA25A2">
      <w:numFmt w:val="bullet"/>
      <w:lvlText w:val="•"/>
      <w:lvlJc w:val="left"/>
      <w:pPr>
        <w:ind w:left="2352" w:hanging="360"/>
      </w:pPr>
      <w:rPr>
        <w:rFonts w:hint="default"/>
        <w:lang w:val="en-US" w:eastAsia="en-US" w:bidi="ar-SA"/>
      </w:rPr>
    </w:lvl>
    <w:lvl w:ilvl="2" w:tplc="449A5B16">
      <w:numFmt w:val="bullet"/>
      <w:lvlText w:val="•"/>
      <w:lvlJc w:val="left"/>
      <w:pPr>
        <w:ind w:left="3144" w:hanging="360"/>
      </w:pPr>
      <w:rPr>
        <w:rFonts w:hint="default"/>
        <w:lang w:val="en-US" w:eastAsia="en-US" w:bidi="ar-SA"/>
      </w:rPr>
    </w:lvl>
    <w:lvl w:ilvl="3" w:tplc="C860A9C4">
      <w:numFmt w:val="bullet"/>
      <w:lvlText w:val="•"/>
      <w:lvlJc w:val="left"/>
      <w:pPr>
        <w:ind w:left="3936" w:hanging="360"/>
      </w:pPr>
      <w:rPr>
        <w:rFonts w:hint="default"/>
        <w:lang w:val="en-US" w:eastAsia="en-US" w:bidi="ar-SA"/>
      </w:rPr>
    </w:lvl>
    <w:lvl w:ilvl="4" w:tplc="4FAA8C78">
      <w:numFmt w:val="bullet"/>
      <w:lvlText w:val="•"/>
      <w:lvlJc w:val="left"/>
      <w:pPr>
        <w:ind w:left="4728" w:hanging="360"/>
      </w:pPr>
      <w:rPr>
        <w:rFonts w:hint="default"/>
        <w:lang w:val="en-US" w:eastAsia="en-US" w:bidi="ar-SA"/>
      </w:rPr>
    </w:lvl>
    <w:lvl w:ilvl="5" w:tplc="69E63384">
      <w:numFmt w:val="bullet"/>
      <w:lvlText w:val="•"/>
      <w:lvlJc w:val="left"/>
      <w:pPr>
        <w:ind w:left="5520" w:hanging="360"/>
      </w:pPr>
      <w:rPr>
        <w:rFonts w:hint="default"/>
        <w:lang w:val="en-US" w:eastAsia="en-US" w:bidi="ar-SA"/>
      </w:rPr>
    </w:lvl>
    <w:lvl w:ilvl="6" w:tplc="BD9A6BEE">
      <w:numFmt w:val="bullet"/>
      <w:lvlText w:val="•"/>
      <w:lvlJc w:val="left"/>
      <w:pPr>
        <w:ind w:left="6312" w:hanging="360"/>
      </w:pPr>
      <w:rPr>
        <w:rFonts w:hint="default"/>
        <w:lang w:val="en-US" w:eastAsia="en-US" w:bidi="ar-SA"/>
      </w:rPr>
    </w:lvl>
    <w:lvl w:ilvl="7" w:tplc="2A266490">
      <w:numFmt w:val="bullet"/>
      <w:lvlText w:val="•"/>
      <w:lvlJc w:val="left"/>
      <w:pPr>
        <w:ind w:left="7104" w:hanging="360"/>
      </w:pPr>
      <w:rPr>
        <w:rFonts w:hint="default"/>
        <w:lang w:val="en-US" w:eastAsia="en-US" w:bidi="ar-SA"/>
      </w:rPr>
    </w:lvl>
    <w:lvl w:ilvl="8" w:tplc="47C822C2">
      <w:numFmt w:val="bullet"/>
      <w:lvlText w:val="•"/>
      <w:lvlJc w:val="left"/>
      <w:pPr>
        <w:ind w:left="7896" w:hanging="360"/>
      </w:pPr>
      <w:rPr>
        <w:rFonts w:hint="default"/>
        <w:lang w:val="en-US" w:eastAsia="en-US" w:bidi="ar-SA"/>
      </w:rPr>
    </w:lvl>
  </w:abstractNum>
  <w:abstractNum w:abstractNumId="22" w15:restartNumberingAfterBreak="0">
    <w:nsid w:val="1DBC7DB6"/>
    <w:multiLevelType w:val="hybridMultilevel"/>
    <w:tmpl w:val="FFDE8DC4"/>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1E067E8E"/>
    <w:multiLevelType w:val="hybridMultilevel"/>
    <w:tmpl w:val="A702689A"/>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EC06746"/>
    <w:multiLevelType w:val="hybridMultilevel"/>
    <w:tmpl w:val="23A604F8"/>
    <w:lvl w:ilvl="0" w:tplc="3B28BE3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FE95DE4"/>
    <w:multiLevelType w:val="hybridMultilevel"/>
    <w:tmpl w:val="61D8117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07150C7"/>
    <w:multiLevelType w:val="hybridMultilevel"/>
    <w:tmpl w:val="5F221B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34A000D"/>
    <w:multiLevelType w:val="multilevel"/>
    <w:tmpl w:val="42A899F2"/>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392525D"/>
    <w:multiLevelType w:val="multilevel"/>
    <w:tmpl w:val="00D4317C"/>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24B85AFD"/>
    <w:multiLevelType w:val="hybridMultilevel"/>
    <w:tmpl w:val="E6EEF2A4"/>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6350106"/>
    <w:multiLevelType w:val="multilevel"/>
    <w:tmpl w:val="9BACA4DC"/>
    <w:lvl w:ilvl="0">
      <w:start w:val="1"/>
      <w:numFmt w:val="decimal"/>
      <w:pStyle w:val="Heading1"/>
      <w:lvlText w:val="%1"/>
      <w:lvlJc w:val="left"/>
      <w:pPr>
        <w:ind w:left="432" w:hanging="432"/>
      </w:pPr>
      <w:rPr>
        <w:rFonts w:hint="default"/>
        <w:b w:val="0"/>
        <w:bCs/>
      </w:rPr>
    </w:lvl>
    <w:lvl w:ilvl="1">
      <w:start w:val="1"/>
      <w:numFmt w:val="decimal"/>
      <w:pStyle w:val="Heading2"/>
      <w:lvlText w:val="%1.%2"/>
      <w:lvlJc w:val="left"/>
      <w:pPr>
        <w:ind w:left="576" w:hanging="576"/>
      </w:pPr>
      <w:rPr>
        <w:rFonts w:hint="default"/>
        <w:b w:val="0"/>
        <w:bCs/>
      </w:rPr>
    </w:lvl>
    <w:lvl w:ilvl="2">
      <w:start w:val="1"/>
      <w:numFmt w:val="decimal"/>
      <w:pStyle w:val="Heading3"/>
      <w:lvlText w:val="%1.%2.%3"/>
      <w:lvlJc w:val="left"/>
      <w:pPr>
        <w:ind w:left="851" w:hanging="624"/>
      </w:pPr>
      <w:rPr>
        <w:rFonts w:hint="default"/>
        <w:b w:val="0"/>
        <w:bCs/>
        <w:color w:val="1A495D" w:themeColor="accent1" w:themeShade="80"/>
      </w:rPr>
    </w:lvl>
    <w:lvl w:ilvl="3">
      <w:start w:val="1"/>
      <w:numFmt w:val="decimal"/>
      <w:pStyle w:val="Heading4"/>
      <w:lvlText w:val="%1.%2.%3.%4"/>
      <w:lvlJc w:val="left"/>
      <w:pPr>
        <w:ind w:left="975" w:hanging="635"/>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278E2B00"/>
    <w:multiLevelType w:val="multilevel"/>
    <w:tmpl w:val="A8FC6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7F47E77"/>
    <w:multiLevelType w:val="hybridMultilevel"/>
    <w:tmpl w:val="FF7CEC36"/>
    <w:lvl w:ilvl="0" w:tplc="0BE830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6264A2"/>
    <w:multiLevelType w:val="hybridMultilevel"/>
    <w:tmpl w:val="D856E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BD25D20"/>
    <w:multiLevelType w:val="hybridMultilevel"/>
    <w:tmpl w:val="B5C85266"/>
    <w:lvl w:ilvl="0" w:tplc="7CE842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CC25CF3"/>
    <w:multiLevelType w:val="multilevel"/>
    <w:tmpl w:val="5EBE00CA"/>
    <w:lvl w:ilvl="0">
      <w:numFmt w:val="bullet"/>
      <w:lvlText w:val="-"/>
      <w:lvlJc w:val="left"/>
      <w:pPr>
        <w:ind w:left="720" w:hanging="360"/>
      </w:pPr>
      <w:rPr>
        <w:rFonts w:ascii="Calibri" w:eastAsia="Times New Roman" w:hAnsi="Calibri" w:cs="Helvetic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2DEE3F61"/>
    <w:multiLevelType w:val="hybridMultilevel"/>
    <w:tmpl w:val="3B220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F4B10D5"/>
    <w:multiLevelType w:val="multilevel"/>
    <w:tmpl w:val="8188D898"/>
    <w:lvl w:ilvl="0">
      <w:start w:val="1"/>
      <w:numFmt w:val="lowerLetter"/>
      <w:lvlText w:val="%1)"/>
      <w:lvlJc w:val="left"/>
      <w:pPr>
        <w:ind w:left="720" w:hanging="360"/>
      </w:pPr>
      <w:rPr>
        <w:strike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0A97D98"/>
    <w:multiLevelType w:val="multilevel"/>
    <w:tmpl w:val="49C475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1DD15CF"/>
    <w:multiLevelType w:val="hybridMultilevel"/>
    <w:tmpl w:val="20665320"/>
    <w:lvl w:ilvl="0" w:tplc="1D72EF54">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20E0361"/>
    <w:multiLevelType w:val="hybridMultilevel"/>
    <w:tmpl w:val="93E080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679086A"/>
    <w:multiLevelType w:val="hybridMultilevel"/>
    <w:tmpl w:val="D12288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81E1F88"/>
    <w:multiLevelType w:val="hybridMultilevel"/>
    <w:tmpl w:val="AD04F062"/>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9DC7781"/>
    <w:multiLevelType w:val="hybridMultilevel"/>
    <w:tmpl w:val="E76CAA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A9E7B03"/>
    <w:multiLevelType w:val="multilevel"/>
    <w:tmpl w:val="F0A48D9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3ABC0273"/>
    <w:multiLevelType w:val="hybridMultilevel"/>
    <w:tmpl w:val="397E2566"/>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C6D5C3E"/>
    <w:multiLevelType w:val="hybridMultilevel"/>
    <w:tmpl w:val="FBB603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DF809F2"/>
    <w:multiLevelType w:val="hybridMultilevel"/>
    <w:tmpl w:val="86E45E8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E5E6FD3"/>
    <w:multiLevelType w:val="hybridMultilevel"/>
    <w:tmpl w:val="7E8AD830"/>
    <w:lvl w:ilvl="0" w:tplc="6E10E0A4">
      <w:start w:val="1"/>
      <w:numFmt w:val="lowerLetter"/>
      <w:lvlText w:val="%1)"/>
      <w:lvlJc w:val="left"/>
      <w:pPr>
        <w:ind w:left="720" w:hanging="360"/>
      </w:pPr>
      <w:rPr>
        <w:rFonts w:asciiTheme="minorHAnsi" w:eastAsia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3047FA"/>
    <w:multiLevelType w:val="hybridMultilevel"/>
    <w:tmpl w:val="30327F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36A0769"/>
    <w:multiLevelType w:val="hybridMultilevel"/>
    <w:tmpl w:val="CA8007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2" w15:restartNumberingAfterBreak="0">
    <w:nsid w:val="48070AA3"/>
    <w:multiLevelType w:val="hybridMultilevel"/>
    <w:tmpl w:val="5E08E3C4"/>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B792A2B"/>
    <w:multiLevelType w:val="hybridMultilevel"/>
    <w:tmpl w:val="BDE8F3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BAC46C7"/>
    <w:multiLevelType w:val="hybridMultilevel"/>
    <w:tmpl w:val="00702BA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4BEF51B9"/>
    <w:multiLevelType w:val="hybridMultilevel"/>
    <w:tmpl w:val="DA0C9D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E816230"/>
    <w:multiLevelType w:val="hybridMultilevel"/>
    <w:tmpl w:val="5ED47966"/>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57" w15:restartNumberingAfterBreak="0">
    <w:nsid w:val="4EAB2D2A"/>
    <w:multiLevelType w:val="hybridMultilevel"/>
    <w:tmpl w:val="A448ED1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583F3333"/>
    <w:multiLevelType w:val="hybridMultilevel"/>
    <w:tmpl w:val="DAF2F868"/>
    <w:lvl w:ilvl="0" w:tplc="B0C03D80">
      <w:start w:val="2"/>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98766A0"/>
    <w:multiLevelType w:val="hybridMultilevel"/>
    <w:tmpl w:val="B990642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5A467BCE"/>
    <w:multiLevelType w:val="hybridMultilevel"/>
    <w:tmpl w:val="BC8CEBA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5BCE2612"/>
    <w:multiLevelType w:val="hybridMultilevel"/>
    <w:tmpl w:val="6AB06340"/>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C1E3A76"/>
    <w:multiLevelType w:val="hybridMultilevel"/>
    <w:tmpl w:val="5B66A9E6"/>
    <w:lvl w:ilvl="0" w:tplc="1D72EF54">
      <w:start w:val="1"/>
      <w:numFmt w:val="bullet"/>
      <w:lvlText w:val="-"/>
      <w:lvlJc w:val="left"/>
      <w:pPr>
        <w:ind w:left="720" w:hanging="360"/>
      </w:pPr>
      <w:rPr>
        <w:rFonts w:ascii="Calibri" w:eastAsia="Calibri" w:hAnsi="Calibri" w:cs="Calibri" w:hint="default"/>
      </w:rPr>
    </w:lvl>
    <w:lvl w:ilvl="1" w:tplc="4D7CF666">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D1252AD"/>
    <w:multiLevelType w:val="hybridMultilevel"/>
    <w:tmpl w:val="829C30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5D432E28"/>
    <w:multiLevelType w:val="multilevel"/>
    <w:tmpl w:val="03A06092"/>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5F5E7277"/>
    <w:multiLevelType w:val="hybridMultilevel"/>
    <w:tmpl w:val="E77E5F2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0C822F2"/>
    <w:multiLevelType w:val="hybridMultilevel"/>
    <w:tmpl w:val="B7142136"/>
    <w:lvl w:ilvl="0" w:tplc="041A0017">
      <w:start w:val="1"/>
      <w:numFmt w:val="lowerLetter"/>
      <w:lvlText w:val="%1)"/>
      <w:lvlJc w:val="left"/>
      <w:pPr>
        <w:ind w:left="720" w:hanging="360"/>
      </w:pPr>
    </w:lvl>
    <w:lvl w:ilvl="1" w:tplc="041A0019">
      <w:start w:val="1"/>
      <w:numFmt w:val="lowerLetter"/>
      <w:lvlText w:val="%2."/>
      <w:lvlJc w:val="left"/>
      <w:pPr>
        <w:ind w:left="2912"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62F17660"/>
    <w:multiLevelType w:val="hybridMultilevel"/>
    <w:tmpl w:val="1458B30C"/>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15:restartNumberingAfterBreak="0">
    <w:nsid w:val="648353F2"/>
    <w:multiLevelType w:val="hybridMultilevel"/>
    <w:tmpl w:val="40EABE1A"/>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5007737"/>
    <w:multiLevelType w:val="hybridMultilevel"/>
    <w:tmpl w:val="B6B83F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66F030F"/>
    <w:multiLevelType w:val="hybridMultilevel"/>
    <w:tmpl w:val="EE92F9A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67364211"/>
    <w:multiLevelType w:val="multilevel"/>
    <w:tmpl w:val="A8FC6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7450119"/>
    <w:multiLevelType w:val="hybridMultilevel"/>
    <w:tmpl w:val="5E704BFC"/>
    <w:lvl w:ilvl="0" w:tplc="40FA21B6">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76F60CA"/>
    <w:multiLevelType w:val="hybridMultilevel"/>
    <w:tmpl w:val="03483C10"/>
    <w:lvl w:ilvl="0" w:tplc="A082110C">
      <w:start w:val="1"/>
      <w:numFmt w:val="bullet"/>
      <w:lvlText w:val=""/>
      <w:lvlJc w:val="left"/>
      <w:pPr>
        <w:ind w:left="1008" w:hanging="360"/>
      </w:pPr>
      <w:rPr>
        <w:rFonts w:ascii="Symbol" w:hAnsi="Symbol" w:hint="default"/>
      </w:rPr>
    </w:lvl>
    <w:lvl w:ilvl="1" w:tplc="041A0003" w:tentative="1">
      <w:start w:val="1"/>
      <w:numFmt w:val="bullet"/>
      <w:lvlText w:val="o"/>
      <w:lvlJc w:val="left"/>
      <w:pPr>
        <w:ind w:left="1728" w:hanging="360"/>
      </w:pPr>
      <w:rPr>
        <w:rFonts w:ascii="Courier New" w:hAnsi="Courier New" w:cs="Courier New" w:hint="default"/>
      </w:rPr>
    </w:lvl>
    <w:lvl w:ilvl="2" w:tplc="041A0005" w:tentative="1">
      <w:start w:val="1"/>
      <w:numFmt w:val="bullet"/>
      <w:lvlText w:val=""/>
      <w:lvlJc w:val="left"/>
      <w:pPr>
        <w:ind w:left="2448" w:hanging="360"/>
      </w:pPr>
      <w:rPr>
        <w:rFonts w:ascii="Wingdings" w:hAnsi="Wingdings" w:hint="default"/>
      </w:rPr>
    </w:lvl>
    <w:lvl w:ilvl="3" w:tplc="041A0001" w:tentative="1">
      <w:start w:val="1"/>
      <w:numFmt w:val="bullet"/>
      <w:lvlText w:val=""/>
      <w:lvlJc w:val="left"/>
      <w:pPr>
        <w:ind w:left="3168" w:hanging="360"/>
      </w:pPr>
      <w:rPr>
        <w:rFonts w:ascii="Symbol" w:hAnsi="Symbol" w:hint="default"/>
      </w:rPr>
    </w:lvl>
    <w:lvl w:ilvl="4" w:tplc="041A0003" w:tentative="1">
      <w:start w:val="1"/>
      <w:numFmt w:val="bullet"/>
      <w:lvlText w:val="o"/>
      <w:lvlJc w:val="left"/>
      <w:pPr>
        <w:ind w:left="3888" w:hanging="360"/>
      </w:pPr>
      <w:rPr>
        <w:rFonts w:ascii="Courier New" w:hAnsi="Courier New" w:cs="Courier New" w:hint="default"/>
      </w:rPr>
    </w:lvl>
    <w:lvl w:ilvl="5" w:tplc="041A0005" w:tentative="1">
      <w:start w:val="1"/>
      <w:numFmt w:val="bullet"/>
      <w:lvlText w:val=""/>
      <w:lvlJc w:val="left"/>
      <w:pPr>
        <w:ind w:left="4608" w:hanging="360"/>
      </w:pPr>
      <w:rPr>
        <w:rFonts w:ascii="Wingdings" w:hAnsi="Wingdings" w:hint="default"/>
      </w:rPr>
    </w:lvl>
    <w:lvl w:ilvl="6" w:tplc="041A0001" w:tentative="1">
      <w:start w:val="1"/>
      <w:numFmt w:val="bullet"/>
      <w:lvlText w:val=""/>
      <w:lvlJc w:val="left"/>
      <w:pPr>
        <w:ind w:left="5328" w:hanging="360"/>
      </w:pPr>
      <w:rPr>
        <w:rFonts w:ascii="Symbol" w:hAnsi="Symbol" w:hint="default"/>
      </w:rPr>
    </w:lvl>
    <w:lvl w:ilvl="7" w:tplc="041A0003" w:tentative="1">
      <w:start w:val="1"/>
      <w:numFmt w:val="bullet"/>
      <w:lvlText w:val="o"/>
      <w:lvlJc w:val="left"/>
      <w:pPr>
        <w:ind w:left="6048" w:hanging="360"/>
      </w:pPr>
      <w:rPr>
        <w:rFonts w:ascii="Courier New" w:hAnsi="Courier New" w:cs="Courier New" w:hint="default"/>
      </w:rPr>
    </w:lvl>
    <w:lvl w:ilvl="8" w:tplc="041A0005" w:tentative="1">
      <w:start w:val="1"/>
      <w:numFmt w:val="bullet"/>
      <w:lvlText w:val=""/>
      <w:lvlJc w:val="left"/>
      <w:pPr>
        <w:ind w:left="6768" w:hanging="360"/>
      </w:pPr>
      <w:rPr>
        <w:rFonts w:ascii="Wingdings" w:hAnsi="Wingdings" w:hint="default"/>
      </w:rPr>
    </w:lvl>
  </w:abstractNum>
  <w:abstractNum w:abstractNumId="75" w15:restartNumberingAfterBreak="0">
    <w:nsid w:val="6A047AF5"/>
    <w:multiLevelType w:val="hybridMultilevel"/>
    <w:tmpl w:val="C918500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6B7541DC"/>
    <w:multiLevelType w:val="hybridMultilevel"/>
    <w:tmpl w:val="9CC25F3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08A2705"/>
    <w:multiLevelType w:val="hybridMultilevel"/>
    <w:tmpl w:val="6870E934"/>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71BA43F8"/>
    <w:multiLevelType w:val="hybridMultilevel"/>
    <w:tmpl w:val="8B1ADBA4"/>
    <w:lvl w:ilvl="0" w:tplc="0BE8305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71F45DE0"/>
    <w:multiLevelType w:val="multilevel"/>
    <w:tmpl w:val="550621BE"/>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34028F2"/>
    <w:multiLevelType w:val="hybridMultilevel"/>
    <w:tmpl w:val="48FC7264"/>
    <w:lvl w:ilvl="0" w:tplc="0BE8305A">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1" w15:restartNumberingAfterBreak="0">
    <w:nsid w:val="73444672"/>
    <w:multiLevelType w:val="hybridMultilevel"/>
    <w:tmpl w:val="6B924A00"/>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40775A6"/>
    <w:multiLevelType w:val="hybridMultilevel"/>
    <w:tmpl w:val="676C2B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4DD1FB3"/>
    <w:multiLevelType w:val="hybridMultilevel"/>
    <w:tmpl w:val="B734B6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571306B"/>
    <w:multiLevelType w:val="hybridMultilevel"/>
    <w:tmpl w:val="5F522DA2"/>
    <w:lvl w:ilvl="0" w:tplc="40FA21B6">
      <w:start w:val="4"/>
      <w:numFmt w:val="bullet"/>
      <w:lvlText w:val="-"/>
      <w:lvlJc w:val="left"/>
      <w:pPr>
        <w:ind w:left="794" w:hanging="360"/>
      </w:pPr>
      <w:rPr>
        <w:rFonts w:ascii="Times New Roman" w:eastAsia="Calibri" w:hAnsi="Times New Roman" w:cs="Times New Roman" w:hint="default"/>
      </w:rPr>
    </w:lvl>
    <w:lvl w:ilvl="1" w:tplc="04090001">
      <w:start w:val="1"/>
      <w:numFmt w:val="bullet"/>
      <w:lvlText w:val=""/>
      <w:lvlJc w:val="left"/>
      <w:pPr>
        <w:ind w:left="1514" w:hanging="360"/>
      </w:pPr>
      <w:rPr>
        <w:rFonts w:ascii="Symbol" w:hAnsi="Symbol"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5" w15:restartNumberingAfterBreak="0">
    <w:nsid w:val="763B02FF"/>
    <w:multiLevelType w:val="multilevel"/>
    <w:tmpl w:val="552017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6CD6D90"/>
    <w:multiLevelType w:val="hybridMultilevel"/>
    <w:tmpl w:val="11868B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78464F3"/>
    <w:multiLevelType w:val="hybridMultilevel"/>
    <w:tmpl w:val="3A46EE9A"/>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851183E"/>
    <w:multiLevelType w:val="hybridMultilevel"/>
    <w:tmpl w:val="5A562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8A47A01"/>
    <w:multiLevelType w:val="hybridMultilevel"/>
    <w:tmpl w:val="2A545354"/>
    <w:lvl w:ilvl="0" w:tplc="0BE8305A">
      <w:start w:val="1"/>
      <w:numFmt w:val="bullet"/>
      <w:lvlText w:val=""/>
      <w:lvlJc w:val="left"/>
      <w:pPr>
        <w:ind w:left="720" w:hanging="360"/>
      </w:pPr>
      <w:rPr>
        <w:rFonts w:ascii="Symbol" w:hAnsi="Symbol" w:hint="default"/>
      </w:rPr>
    </w:lvl>
    <w:lvl w:ilvl="1" w:tplc="0BE8305A">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9200C07"/>
    <w:multiLevelType w:val="hybridMultilevel"/>
    <w:tmpl w:val="3E640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963238F"/>
    <w:multiLevelType w:val="multilevel"/>
    <w:tmpl w:val="9D86C8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79840EB1"/>
    <w:multiLevelType w:val="hybridMultilevel"/>
    <w:tmpl w:val="3CB43A20"/>
    <w:lvl w:ilvl="0" w:tplc="734476F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BB63DE9"/>
    <w:multiLevelType w:val="multilevel"/>
    <w:tmpl w:val="A8FC62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C593200"/>
    <w:multiLevelType w:val="hybridMultilevel"/>
    <w:tmpl w:val="DB583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D0A4759"/>
    <w:multiLevelType w:val="multilevel"/>
    <w:tmpl w:val="B8FE86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15:restartNumberingAfterBreak="0">
    <w:nsid w:val="7D9639EF"/>
    <w:multiLevelType w:val="multilevel"/>
    <w:tmpl w:val="9EAA91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7EB41AAD"/>
    <w:multiLevelType w:val="hybridMultilevel"/>
    <w:tmpl w:val="45EE21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96"/>
  </w:num>
  <w:num w:numId="2">
    <w:abstractNumId w:val="79"/>
  </w:num>
  <w:num w:numId="3">
    <w:abstractNumId w:val="95"/>
  </w:num>
  <w:num w:numId="4">
    <w:abstractNumId w:val="5"/>
  </w:num>
  <w:num w:numId="5">
    <w:abstractNumId w:val="44"/>
  </w:num>
  <w:num w:numId="6">
    <w:abstractNumId w:val="91"/>
  </w:num>
  <w:num w:numId="7">
    <w:abstractNumId w:val="13"/>
  </w:num>
  <w:num w:numId="8">
    <w:abstractNumId w:val="16"/>
  </w:num>
  <w:num w:numId="9">
    <w:abstractNumId w:val="7"/>
  </w:num>
  <w:num w:numId="10">
    <w:abstractNumId w:val="27"/>
  </w:num>
  <w:num w:numId="11">
    <w:abstractNumId w:val="37"/>
  </w:num>
  <w:num w:numId="12">
    <w:abstractNumId w:val="65"/>
  </w:num>
  <w:num w:numId="13">
    <w:abstractNumId w:val="93"/>
  </w:num>
  <w:num w:numId="14">
    <w:abstractNumId w:val="35"/>
  </w:num>
  <w:num w:numId="15">
    <w:abstractNumId w:val="0"/>
  </w:num>
  <w:num w:numId="16">
    <w:abstractNumId w:val="30"/>
  </w:num>
  <w:num w:numId="17">
    <w:abstractNumId w:val="38"/>
  </w:num>
  <w:num w:numId="18">
    <w:abstractNumId w:val="28"/>
  </w:num>
  <w:num w:numId="19">
    <w:abstractNumId w:val="80"/>
  </w:num>
  <w:num w:numId="20">
    <w:abstractNumId w:val="46"/>
  </w:num>
  <w:num w:numId="21">
    <w:abstractNumId w:val="40"/>
  </w:num>
  <w:num w:numId="22">
    <w:abstractNumId w:val="63"/>
  </w:num>
  <w:num w:numId="23">
    <w:abstractNumId w:val="72"/>
  </w:num>
  <w:num w:numId="24">
    <w:abstractNumId w:val="92"/>
  </w:num>
  <w:num w:numId="25">
    <w:abstractNumId w:val="31"/>
  </w:num>
  <w:num w:numId="26">
    <w:abstractNumId w:val="22"/>
  </w:num>
  <w:num w:numId="27">
    <w:abstractNumId w:val="77"/>
  </w:num>
  <w:num w:numId="28">
    <w:abstractNumId w:val="8"/>
  </w:num>
  <w:num w:numId="29">
    <w:abstractNumId w:val="42"/>
  </w:num>
  <w:num w:numId="30">
    <w:abstractNumId w:val="81"/>
  </w:num>
  <w:num w:numId="31">
    <w:abstractNumId w:val="59"/>
  </w:num>
  <w:num w:numId="32">
    <w:abstractNumId w:val="48"/>
  </w:num>
  <w:num w:numId="33">
    <w:abstractNumId w:val="3"/>
  </w:num>
  <w:num w:numId="34">
    <w:abstractNumId w:val="60"/>
  </w:num>
  <w:num w:numId="35">
    <w:abstractNumId w:val="71"/>
  </w:num>
  <w:num w:numId="36">
    <w:abstractNumId w:val="94"/>
  </w:num>
  <w:num w:numId="37">
    <w:abstractNumId w:val="17"/>
  </w:num>
  <w:num w:numId="38">
    <w:abstractNumId w:val="90"/>
  </w:num>
  <w:num w:numId="39">
    <w:abstractNumId w:val="34"/>
  </w:num>
  <w:num w:numId="40">
    <w:abstractNumId w:val="52"/>
  </w:num>
  <w:num w:numId="41">
    <w:abstractNumId w:val="45"/>
  </w:num>
  <w:num w:numId="42">
    <w:abstractNumId w:val="57"/>
  </w:num>
  <w:num w:numId="43">
    <w:abstractNumId w:val="51"/>
  </w:num>
  <w:num w:numId="44">
    <w:abstractNumId w:val="32"/>
  </w:num>
  <w:num w:numId="45">
    <w:abstractNumId w:val="85"/>
  </w:num>
  <w:num w:numId="46">
    <w:abstractNumId w:val="78"/>
  </w:num>
  <w:num w:numId="47">
    <w:abstractNumId w:val="9"/>
  </w:num>
  <w:num w:numId="48">
    <w:abstractNumId w:val="21"/>
  </w:num>
  <w:num w:numId="49">
    <w:abstractNumId w:val="87"/>
  </w:num>
  <w:num w:numId="50">
    <w:abstractNumId w:val="10"/>
  </w:num>
  <w:num w:numId="51">
    <w:abstractNumId w:val="12"/>
  </w:num>
  <w:num w:numId="52">
    <w:abstractNumId w:val="47"/>
  </w:num>
  <w:num w:numId="53">
    <w:abstractNumId w:val="69"/>
  </w:num>
  <w:num w:numId="54">
    <w:abstractNumId w:val="39"/>
  </w:num>
  <w:num w:numId="55">
    <w:abstractNumId w:val="25"/>
  </w:num>
  <w:num w:numId="56">
    <w:abstractNumId w:val="36"/>
  </w:num>
  <w:num w:numId="57">
    <w:abstractNumId w:val="26"/>
  </w:num>
  <w:num w:numId="58">
    <w:abstractNumId w:val="75"/>
  </w:num>
  <w:num w:numId="59">
    <w:abstractNumId w:val="54"/>
  </w:num>
  <w:num w:numId="60">
    <w:abstractNumId w:val="82"/>
  </w:num>
  <w:num w:numId="61">
    <w:abstractNumId w:val="58"/>
  </w:num>
  <w:num w:numId="62">
    <w:abstractNumId w:val="73"/>
  </w:num>
  <w:num w:numId="63">
    <w:abstractNumId w:val="84"/>
  </w:num>
  <w:num w:numId="64">
    <w:abstractNumId w:val="1"/>
  </w:num>
  <w:num w:numId="65">
    <w:abstractNumId w:val="4"/>
  </w:num>
  <w:num w:numId="66">
    <w:abstractNumId w:val="61"/>
  </w:num>
  <w:num w:numId="67">
    <w:abstractNumId w:val="68"/>
  </w:num>
  <w:num w:numId="68">
    <w:abstractNumId w:val="29"/>
  </w:num>
  <w:num w:numId="69">
    <w:abstractNumId w:val="23"/>
  </w:num>
  <w:num w:numId="70">
    <w:abstractNumId w:val="24"/>
  </w:num>
  <w:num w:numId="71">
    <w:abstractNumId w:val="2"/>
  </w:num>
  <w:num w:numId="72">
    <w:abstractNumId w:val="14"/>
  </w:num>
  <w:num w:numId="73">
    <w:abstractNumId w:val="6"/>
  </w:num>
  <w:num w:numId="74">
    <w:abstractNumId w:val="66"/>
  </w:num>
  <w:num w:numId="75">
    <w:abstractNumId w:val="49"/>
  </w:num>
  <w:num w:numId="76">
    <w:abstractNumId w:val="55"/>
  </w:num>
  <w:num w:numId="77">
    <w:abstractNumId w:val="33"/>
  </w:num>
  <w:num w:numId="78">
    <w:abstractNumId w:val="53"/>
  </w:num>
  <w:num w:numId="79">
    <w:abstractNumId w:val="19"/>
  </w:num>
  <w:num w:numId="80">
    <w:abstractNumId w:val="50"/>
  </w:num>
  <w:num w:numId="81">
    <w:abstractNumId w:val="11"/>
  </w:num>
  <w:num w:numId="82">
    <w:abstractNumId w:val="97"/>
  </w:num>
  <w:num w:numId="83">
    <w:abstractNumId w:val="70"/>
  </w:num>
  <w:num w:numId="84">
    <w:abstractNumId w:val="41"/>
  </w:num>
  <w:num w:numId="85">
    <w:abstractNumId w:val="86"/>
  </w:num>
  <w:num w:numId="86">
    <w:abstractNumId w:val="83"/>
  </w:num>
  <w:num w:numId="87">
    <w:abstractNumId w:val="20"/>
  </w:num>
  <w:num w:numId="88">
    <w:abstractNumId w:val="88"/>
  </w:num>
  <w:num w:numId="89">
    <w:abstractNumId w:val="43"/>
  </w:num>
  <w:num w:numId="90">
    <w:abstractNumId w:val="15"/>
  </w:num>
  <w:num w:numId="91">
    <w:abstractNumId w:val="74"/>
  </w:num>
  <w:num w:numId="92">
    <w:abstractNumId w:val="89"/>
  </w:num>
  <w:num w:numId="93">
    <w:abstractNumId w:val="64"/>
  </w:num>
  <w:num w:numId="94">
    <w:abstractNumId w:val="18"/>
  </w:num>
  <w:num w:numId="95">
    <w:abstractNumId w:val="56"/>
  </w:num>
  <w:num w:numId="96">
    <w:abstractNumId w:val="67"/>
  </w:num>
  <w:num w:numId="97">
    <w:abstractNumId w:val="76"/>
  </w:num>
  <w:num w:numId="98">
    <w:abstractNumId w:val="30"/>
  </w:num>
  <w:num w:numId="99">
    <w:abstractNumId w:val="30"/>
  </w:num>
  <w:num w:numId="100">
    <w:abstractNumId w:val="6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2A8"/>
    <w:rsid w:val="000013C4"/>
    <w:rsid w:val="000015D9"/>
    <w:rsid w:val="00001C65"/>
    <w:rsid w:val="00002627"/>
    <w:rsid w:val="00002C0A"/>
    <w:rsid w:val="00002EFD"/>
    <w:rsid w:val="00002F0C"/>
    <w:rsid w:val="0000477A"/>
    <w:rsid w:val="00004C83"/>
    <w:rsid w:val="00005527"/>
    <w:rsid w:val="000057A1"/>
    <w:rsid w:val="00006565"/>
    <w:rsid w:val="00007122"/>
    <w:rsid w:val="000101C4"/>
    <w:rsid w:val="00010222"/>
    <w:rsid w:val="000106AB"/>
    <w:rsid w:val="00011C71"/>
    <w:rsid w:val="00011EC0"/>
    <w:rsid w:val="0001439C"/>
    <w:rsid w:val="000161B3"/>
    <w:rsid w:val="000200AE"/>
    <w:rsid w:val="00020A00"/>
    <w:rsid w:val="0002192A"/>
    <w:rsid w:val="000228E8"/>
    <w:rsid w:val="00023492"/>
    <w:rsid w:val="0002353F"/>
    <w:rsid w:val="0002452B"/>
    <w:rsid w:val="00024588"/>
    <w:rsid w:val="00025653"/>
    <w:rsid w:val="00025BC7"/>
    <w:rsid w:val="00025CF1"/>
    <w:rsid w:val="00026468"/>
    <w:rsid w:val="00026545"/>
    <w:rsid w:val="00026746"/>
    <w:rsid w:val="00027126"/>
    <w:rsid w:val="00030690"/>
    <w:rsid w:val="00031FD5"/>
    <w:rsid w:val="00032306"/>
    <w:rsid w:val="00032AC0"/>
    <w:rsid w:val="00032CED"/>
    <w:rsid w:val="00033758"/>
    <w:rsid w:val="00033BEB"/>
    <w:rsid w:val="00035887"/>
    <w:rsid w:val="00037CDC"/>
    <w:rsid w:val="00037F4A"/>
    <w:rsid w:val="000404F5"/>
    <w:rsid w:val="00040E49"/>
    <w:rsid w:val="000412BF"/>
    <w:rsid w:val="000414D1"/>
    <w:rsid w:val="00041EFF"/>
    <w:rsid w:val="00042417"/>
    <w:rsid w:val="000424ED"/>
    <w:rsid w:val="000428FA"/>
    <w:rsid w:val="000429A5"/>
    <w:rsid w:val="00042C09"/>
    <w:rsid w:val="0004375C"/>
    <w:rsid w:val="00043EFB"/>
    <w:rsid w:val="00045776"/>
    <w:rsid w:val="000467D7"/>
    <w:rsid w:val="000467E8"/>
    <w:rsid w:val="00050044"/>
    <w:rsid w:val="0005216C"/>
    <w:rsid w:val="0005247F"/>
    <w:rsid w:val="00052B1A"/>
    <w:rsid w:val="000554DF"/>
    <w:rsid w:val="00056121"/>
    <w:rsid w:val="000604A8"/>
    <w:rsid w:val="00060828"/>
    <w:rsid w:val="000611D7"/>
    <w:rsid w:val="000612F2"/>
    <w:rsid w:val="00061D50"/>
    <w:rsid w:val="00061DBE"/>
    <w:rsid w:val="000630F9"/>
    <w:rsid w:val="00064CFF"/>
    <w:rsid w:val="0006563E"/>
    <w:rsid w:val="0006596B"/>
    <w:rsid w:val="00066CA2"/>
    <w:rsid w:val="00071CB1"/>
    <w:rsid w:val="00071D9D"/>
    <w:rsid w:val="00072AA1"/>
    <w:rsid w:val="00072AB6"/>
    <w:rsid w:val="00074288"/>
    <w:rsid w:val="00075A6F"/>
    <w:rsid w:val="00075C17"/>
    <w:rsid w:val="000767A5"/>
    <w:rsid w:val="000768F4"/>
    <w:rsid w:val="00077EE2"/>
    <w:rsid w:val="000800AB"/>
    <w:rsid w:val="0008023B"/>
    <w:rsid w:val="00080338"/>
    <w:rsid w:val="00080364"/>
    <w:rsid w:val="0008092E"/>
    <w:rsid w:val="00080E39"/>
    <w:rsid w:val="00080ED4"/>
    <w:rsid w:val="00081006"/>
    <w:rsid w:val="00082086"/>
    <w:rsid w:val="00084E01"/>
    <w:rsid w:val="000855B7"/>
    <w:rsid w:val="00085C48"/>
    <w:rsid w:val="00086797"/>
    <w:rsid w:val="00090593"/>
    <w:rsid w:val="00090982"/>
    <w:rsid w:val="00091F31"/>
    <w:rsid w:val="0009236E"/>
    <w:rsid w:val="000925AC"/>
    <w:rsid w:val="000929E7"/>
    <w:rsid w:val="000932FB"/>
    <w:rsid w:val="0009353A"/>
    <w:rsid w:val="0009425F"/>
    <w:rsid w:val="0009428A"/>
    <w:rsid w:val="000951F4"/>
    <w:rsid w:val="00095734"/>
    <w:rsid w:val="00096E40"/>
    <w:rsid w:val="0009772B"/>
    <w:rsid w:val="00097B18"/>
    <w:rsid w:val="00097F1A"/>
    <w:rsid w:val="000A023A"/>
    <w:rsid w:val="000A2D89"/>
    <w:rsid w:val="000A387C"/>
    <w:rsid w:val="000A4F2C"/>
    <w:rsid w:val="000A50AD"/>
    <w:rsid w:val="000A5AE2"/>
    <w:rsid w:val="000A5CAA"/>
    <w:rsid w:val="000A6382"/>
    <w:rsid w:val="000A66C4"/>
    <w:rsid w:val="000A68A0"/>
    <w:rsid w:val="000A6CDF"/>
    <w:rsid w:val="000A744B"/>
    <w:rsid w:val="000B040F"/>
    <w:rsid w:val="000B0714"/>
    <w:rsid w:val="000B194D"/>
    <w:rsid w:val="000B21F5"/>
    <w:rsid w:val="000B2B6A"/>
    <w:rsid w:val="000B2BF7"/>
    <w:rsid w:val="000B4C94"/>
    <w:rsid w:val="000B64BC"/>
    <w:rsid w:val="000B6514"/>
    <w:rsid w:val="000C0005"/>
    <w:rsid w:val="000C043B"/>
    <w:rsid w:val="000C0749"/>
    <w:rsid w:val="000C269F"/>
    <w:rsid w:val="000C2AC2"/>
    <w:rsid w:val="000C3099"/>
    <w:rsid w:val="000C35A0"/>
    <w:rsid w:val="000C4649"/>
    <w:rsid w:val="000C4FF6"/>
    <w:rsid w:val="000C52EA"/>
    <w:rsid w:val="000C556E"/>
    <w:rsid w:val="000C56C9"/>
    <w:rsid w:val="000C57DF"/>
    <w:rsid w:val="000C6651"/>
    <w:rsid w:val="000C667A"/>
    <w:rsid w:val="000C7882"/>
    <w:rsid w:val="000C7922"/>
    <w:rsid w:val="000C7AF5"/>
    <w:rsid w:val="000D007B"/>
    <w:rsid w:val="000D0557"/>
    <w:rsid w:val="000D0A13"/>
    <w:rsid w:val="000D0CF5"/>
    <w:rsid w:val="000D1018"/>
    <w:rsid w:val="000D136F"/>
    <w:rsid w:val="000D1837"/>
    <w:rsid w:val="000D1A7D"/>
    <w:rsid w:val="000D1F83"/>
    <w:rsid w:val="000D22A9"/>
    <w:rsid w:val="000D28E2"/>
    <w:rsid w:val="000D36DA"/>
    <w:rsid w:val="000D3814"/>
    <w:rsid w:val="000D3950"/>
    <w:rsid w:val="000D3BF3"/>
    <w:rsid w:val="000D4283"/>
    <w:rsid w:val="000D44E4"/>
    <w:rsid w:val="000D4F5C"/>
    <w:rsid w:val="000D4FD6"/>
    <w:rsid w:val="000D5030"/>
    <w:rsid w:val="000D5137"/>
    <w:rsid w:val="000D554B"/>
    <w:rsid w:val="000D696F"/>
    <w:rsid w:val="000D6D2A"/>
    <w:rsid w:val="000E00A6"/>
    <w:rsid w:val="000E0469"/>
    <w:rsid w:val="000E0604"/>
    <w:rsid w:val="000E09D4"/>
    <w:rsid w:val="000E0EF7"/>
    <w:rsid w:val="000E20CF"/>
    <w:rsid w:val="000E27C2"/>
    <w:rsid w:val="000E2D70"/>
    <w:rsid w:val="000E3C0D"/>
    <w:rsid w:val="000E3DE7"/>
    <w:rsid w:val="000E4B70"/>
    <w:rsid w:val="000E5979"/>
    <w:rsid w:val="000E67E4"/>
    <w:rsid w:val="000E6B7A"/>
    <w:rsid w:val="000E6D3F"/>
    <w:rsid w:val="000E7343"/>
    <w:rsid w:val="000E756F"/>
    <w:rsid w:val="000E799E"/>
    <w:rsid w:val="000E7C8E"/>
    <w:rsid w:val="000F0B14"/>
    <w:rsid w:val="000F1420"/>
    <w:rsid w:val="000F28A0"/>
    <w:rsid w:val="000F2E8C"/>
    <w:rsid w:val="000F30B6"/>
    <w:rsid w:val="000F3FC0"/>
    <w:rsid w:val="000F4002"/>
    <w:rsid w:val="000F469E"/>
    <w:rsid w:val="000F5996"/>
    <w:rsid w:val="000F5E75"/>
    <w:rsid w:val="000F6360"/>
    <w:rsid w:val="000F6A22"/>
    <w:rsid w:val="000F6D9D"/>
    <w:rsid w:val="00100CCE"/>
    <w:rsid w:val="00100F88"/>
    <w:rsid w:val="001010D6"/>
    <w:rsid w:val="00103049"/>
    <w:rsid w:val="001037F7"/>
    <w:rsid w:val="00103EE1"/>
    <w:rsid w:val="0010413C"/>
    <w:rsid w:val="00104943"/>
    <w:rsid w:val="001054D9"/>
    <w:rsid w:val="0010581A"/>
    <w:rsid w:val="00105D3C"/>
    <w:rsid w:val="0010608B"/>
    <w:rsid w:val="0010611E"/>
    <w:rsid w:val="0010612D"/>
    <w:rsid w:val="001064A9"/>
    <w:rsid w:val="00107828"/>
    <w:rsid w:val="00107A28"/>
    <w:rsid w:val="00110CB9"/>
    <w:rsid w:val="00111B6C"/>
    <w:rsid w:val="00111EB0"/>
    <w:rsid w:val="00113C2C"/>
    <w:rsid w:val="001144E7"/>
    <w:rsid w:val="001158C2"/>
    <w:rsid w:val="00115BA3"/>
    <w:rsid w:val="001167C4"/>
    <w:rsid w:val="001204C4"/>
    <w:rsid w:val="0012294B"/>
    <w:rsid w:val="00122EE6"/>
    <w:rsid w:val="0012347B"/>
    <w:rsid w:val="00123AD0"/>
    <w:rsid w:val="0012405A"/>
    <w:rsid w:val="00124C41"/>
    <w:rsid w:val="0012543E"/>
    <w:rsid w:val="001258EB"/>
    <w:rsid w:val="00125CE2"/>
    <w:rsid w:val="001274D5"/>
    <w:rsid w:val="00130CA9"/>
    <w:rsid w:val="00131057"/>
    <w:rsid w:val="00131B51"/>
    <w:rsid w:val="001336B0"/>
    <w:rsid w:val="001337CE"/>
    <w:rsid w:val="001337DB"/>
    <w:rsid w:val="00133BF0"/>
    <w:rsid w:val="00133F2E"/>
    <w:rsid w:val="00135298"/>
    <w:rsid w:val="00135432"/>
    <w:rsid w:val="0013608A"/>
    <w:rsid w:val="001365E3"/>
    <w:rsid w:val="00136E96"/>
    <w:rsid w:val="00137E42"/>
    <w:rsid w:val="00137F8A"/>
    <w:rsid w:val="001404BA"/>
    <w:rsid w:val="00140853"/>
    <w:rsid w:val="0014088E"/>
    <w:rsid w:val="0014094A"/>
    <w:rsid w:val="00141F00"/>
    <w:rsid w:val="00142391"/>
    <w:rsid w:val="001426CD"/>
    <w:rsid w:val="00142A1B"/>
    <w:rsid w:val="00142E00"/>
    <w:rsid w:val="00143CF9"/>
    <w:rsid w:val="00144021"/>
    <w:rsid w:val="00144148"/>
    <w:rsid w:val="001447F8"/>
    <w:rsid w:val="0014504D"/>
    <w:rsid w:val="00145DB1"/>
    <w:rsid w:val="00146655"/>
    <w:rsid w:val="00147477"/>
    <w:rsid w:val="00147A44"/>
    <w:rsid w:val="00147F89"/>
    <w:rsid w:val="0015023C"/>
    <w:rsid w:val="001509DF"/>
    <w:rsid w:val="001515EB"/>
    <w:rsid w:val="00152532"/>
    <w:rsid w:val="001527B1"/>
    <w:rsid w:val="0015455F"/>
    <w:rsid w:val="00154EC7"/>
    <w:rsid w:val="00155968"/>
    <w:rsid w:val="00156B9D"/>
    <w:rsid w:val="0016059F"/>
    <w:rsid w:val="00160BD9"/>
    <w:rsid w:val="001611DE"/>
    <w:rsid w:val="001616C6"/>
    <w:rsid w:val="00161835"/>
    <w:rsid w:val="00161838"/>
    <w:rsid w:val="00162042"/>
    <w:rsid w:val="001622C0"/>
    <w:rsid w:val="001631A8"/>
    <w:rsid w:val="00163434"/>
    <w:rsid w:val="001636E5"/>
    <w:rsid w:val="00163BA6"/>
    <w:rsid w:val="00165B4F"/>
    <w:rsid w:val="001667FF"/>
    <w:rsid w:val="00166BC7"/>
    <w:rsid w:val="001670BD"/>
    <w:rsid w:val="001670C9"/>
    <w:rsid w:val="00167D81"/>
    <w:rsid w:val="001701C1"/>
    <w:rsid w:val="001707AD"/>
    <w:rsid w:val="0017080E"/>
    <w:rsid w:val="00172116"/>
    <w:rsid w:val="00172B27"/>
    <w:rsid w:val="00172BE3"/>
    <w:rsid w:val="0017301D"/>
    <w:rsid w:val="001742A0"/>
    <w:rsid w:val="00174CEB"/>
    <w:rsid w:val="00176A10"/>
    <w:rsid w:val="00176A4B"/>
    <w:rsid w:val="0017732B"/>
    <w:rsid w:val="00177E12"/>
    <w:rsid w:val="00181A98"/>
    <w:rsid w:val="00181CA9"/>
    <w:rsid w:val="00182A5B"/>
    <w:rsid w:val="0018335D"/>
    <w:rsid w:val="00183A3E"/>
    <w:rsid w:val="00184C81"/>
    <w:rsid w:val="00184DF0"/>
    <w:rsid w:val="001850B1"/>
    <w:rsid w:val="00185333"/>
    <w:rsid w:val="00185954"/>
    <w:rsid w:val="001874D9"/>
    <w:rsid w:val="0018772D"/>
    <w:rsid w:val="00187820"/>
    <w:rsid w:val="00187891"/>
    <w:rsid w:val="00187B06"/>
    <w:rsid w:val="00191112"/>
    <w:rsid w:val="00191ABA"/>
    <w:rsid w:val="001925C9"/>
    <w:rsid w:val="00192E1D"/>
    <w:rsid w:val="00193C98"/>
    <w:rsid w:val="00194031"/>
    <w:rsid w:val="001940CC"/>
    <w:rsid w:val="00194CC2"/>
    <w:rsid w:val="001954AF"/>
    <w:rsid w:val="001954EF"/>
    <w:rsid w:val="00195946"/>
    <w:rsid w:val="00196BF6"/>
    <w:rsid w:val="00196F66"/>
    <w:rsid w:val="00197506"/>
    <w:rsid w:val="001A00EF"/>
    <w:rsid w:val="001A0EBD"/>
    <w:rsid w:val="001A1708"/>
    <w:rsid w:val="001A18C3"/>
    <w:rsid w:val="001A1B54"/>
    <w:rsid w:val="001A1BF6"/>
    <w:rsid w:val="001A2C55"/>
    <w:rsid w:val="001A3B88"/>
    <w:rsid w:val="001A3F68"/>
    <w:rsid w:val="001A4282"/>
    <w:rsid w:val="001A4E86"/>
    <w:rsid w:val="001A5010"/>
    <w:rsid w:val="001A6F5F"/>
    <w:rsid w:val="001B03EB"/>
    <w:rsid w:val="001B0567"/>
    <w:rsid w:val="001B0EDD"/>
    <w:rsid w:val="001B1288"/>
    <w:rsid w:val="001B1345"/>
    <w:rsid w:val="001B1D20"/>
    <w:rsid w:val="001B3488"/>
    <w:rsid w:val="001B3DD2"/>
    <w:rsid w:val="001B41D6"/>
    <w:rsid w:val="001B4461"/>
    <w:rsid w:val="001B4BAD"/>
    <w:rsid w:val="001B524E"/>
    <w:rsid w:val="001B588A"/>
    <w:rsid w:val="001B6BB0"/>
    <w:rsid w:val="001B730B"/>
    <w:rsid w:val="001B7618"/>
    <w:rsid w:val="001C061C"/>
    <w:rsid w:val="001C0E3C"/>
    <w:rsid w:val="001C17B2"/>
    <w:rsid w:val="001C3159"/>
    <w:rsid w:val="001C3665"/>
    <w:rsid w:val="001C367B"/>
    <w:rsid w:val="001C39C3"/>
    <w:rsid w:val="001C428D"/>
    <w:rsid w:val="001C4801"/>
    <w:rsid w:val="001C4963"/>
    <w:rsid w:val="001C4CB1"/>
    <w:rsid w:val="001C5ABF"/>
    <w:rsid w:val="001C650B"/>
    <w:rsid w:val="001C669F"/>
    <w:rsid w:val="001D00FE"/>
    <w:rsid w:val="001D127A"/>
    <w:rsid w:val="001D1DAB"/>
    <w:rsid w:val="001D33F5"/>
    <w:rsid w:val="001D3FF5"/>
    <w:rsid w:val="001D47D2"/>
    <w:rsid w:val="001D4DCA"/>
    <w:rsid w:val="001D54BA"/>
    <w:rsid w:val="001D5D5C"/>
    <w:rsid w:val="001D6710"/>
    <w:rsid w:val="001E0174"/>
    <w:rsid w:val="001E1515"/>
    <w:rsid w:val="001E161C"/>
    <w:rsid w:val="001E1B66"/>
    <w:rsid w:val="001E1DEB"/>
    <w:rsid w:val="001E2BC2"/>
    <w:rsid w:val="001E2DEC"/>
    <w:rsid w:val="001E3E9C"/>
    <w:rsid w:val="001E6292"/>
    <w:rsid w:val="001E64DA"/>
    <w:rsid w:val="001E64E6"/>
    <w:rsid w:val="001E6AAA"/>
    <w:rsid w:val="001E6F2F"/>
    <w:rsid w:val="001E7C4D"/>
    <w:rsid w:val="001F0273"/>
    <w:rsid w:val="001F0986"/>
    <w:rsid w:val="001F0CCC"/>
    <w:rsid w:val="001F1115"/>
    <w:rsid w:val="001F193A"/>
    <w:rsid w:val="001F1A77"/>
    <w:rsid w:val="001F1D71"/>
    <w:rsid w:val="001F1FE4"/>
    <w:rsid w:val="001F33E1"/>
    <w:rsid w:val="001F3700"/>
    <w:rsid w:val="001F4403"/>
    <w:rsid w:val="001F4ACA"/>
    <w:rsid w:val="001F5DD8"/>
    <w:rsid w:val="001F6071"/>
    <w:rsid w:val="001F6601"/>
    <w:rsid w:val="001F6779"/>
    <w:rsid w:val="001F6CF8"/>
    <w:rsid w:val="001F6F06"/>
    <w:rsid w:val="001F72E4"/>
    <w:rsid w:val="001F79AA"/>
    <w:rsid w:val="001F7B66"/>
    <w:rsid w:val="001F7DCB"/>
    <w:rsid w:val="001F7F32"/>
    <w:rsid w:val="00200325"/>
    <w:rsid w:val="002011CB"/>
    <w:rsid w:val="002016D8"/>
    <w:rsid w:val="00201842"/>
    <w:rsid w:val="00201E90"/>
    <w:rsid w:val="0020233C"/>
    <w:rsid w:val="0020238E"/>
    <w:rsid w:val="002033A7"/>
    <w:rsid w:val="00203B7B"/>
    <w:rsid w:val="00204032"/>
    <w:rsid w:val="00204B0E"/>
    <w:rsid w:val="0020506D"/>
    <w:rsid w:val="002052F4"/>
    <w:rsid w:val="00205B56"/>
    <w:rsid w:val="0020630D"/>
    <w:rsid w:val="0020638D"/>
    <w:rsid w:val="0020689E"/>
    <w:rsid w:val="002076A9"/>
    <w:rsid w:val="00207AC2"/>
    <w:rsid w:val="00207F01"/>
    <w:rsid w:val="0021069A"/>
    <w:rsid w:val="002115FE"/>
    <w:rsid w:val="00211E2E"/>
    <w:rsid w:val="00212171"/>
    <w:rsid w:val="002127BB"/>
    <w:rsid w:val="00212E6D"/>
    <w:rsid w:val="00213DED"/>
    <w:rsid w:val="00215C19"/>
    <w:rsid w:val="00215D20"/>
    <w:rsid w:val="00216F91"/>
    <w:rsid w:val="002177CD"/>
    <w:rsid w:val="00217C5B"/>
    <w:rsid w:val="002204D1"/>
    <w:rsid w:val="002216CC"/>
    <w:rsid w:val="002217DC"/>
    <w:rsid w:val="00221E01"/>
    <w:rsid w:val="002223C2"/>
    <w:rsid w:val="00222ADB"/>
    <w:rsid w:val="0022371E"/>
    <w:rsid w:val="00223D3C"/>
    <w:rsid w:val="0022450D"/>
    <w:rsid w:val="002253C9"/>
    <w:rsid w:val="00225514"/>
    <w:rsid w:val="002258EF"/>
    <w:rsid w:val="0022599E"/>
    <w:rsid w:val="00225AF0"/>
    <w:rsid w:val="00226460"/>
    <w:rsid w:val="00226498"/>
    <w:rsid w:val="00226C9D"/>
    <w:rsid w:val="002307F8"/>
    <w:rsid w:val="00230B13"/>
    <w:rsid w:val="00231170"/>
    <w:rsid w:val="002324E1"/>
    <w:rsid w:val="0023274B"/>
    <w:rsid w:val="00232AF5"/>
    <w:rsid w:val="00232E3A"/>
    <w:rsid w:val="002340E2"/>
    <w:rsid w:val="0023479D"/>
    <w:rsid w:val="002349F1"/>
    <w:rsid w:val="002368CC"/>
    <w:rsid w:val="00236BCE"/>
    <w:rsid w:val="00236DEC"/>
    <w:rsid w:val="002374A9"/>
    <w:rsid w:val="00237878"/>
    <w:rsid w:val="00240044"/>
    <w:rsid w:val="002405F3"/>
    <w:rsid w:val="00240E5F"/>
    <w:rsid w:val="00241038"/>
    <w:rsid w:val="00241465"/>
    <w:rsid w:val="002420AD"/>
    <w:rsid w:val="0024239E"/>
    <w:rsid w:val="00242B36"/>
    <w:rsid w:val="00242B78"/>
    <w:rsid w:val="00243C5B"/>
    <w:rsid w:val="00243C67"/>
    <w:rsid w:val="00245CEF"/>
    <w:rsid w:val="0024773C"/>
    <w:rsid w:val="002518AD"/>
    <w:rsid w:val="00252A4B"/>
    <w:rsid w:val="00252C25"/>
    <w:rsid w:val="00252D77"/>
    <w:rsid w:val="002534CC"/>
    <w:rsid w:val="00253CC6"/>
    <w:rsid w:val="00254304"/>
    <w:rsid w:val="002545F3"/>
    <w:rsid w:val="00254942"/>
    <w:rsid w:val="00255630"/>
    <w:rsid w:val="00255E2A"/>
    <w:rsid w:val="002562DF"/>
    <w:rsid w:val="002578B6"/>
    <w:rsid w:val="0025791B"/>
    <w:rsid w:val="002601D1"/>
    <w:rsid w:val="00260B52"/>
    <w:rsid w:val="00261FF6"/>
    <w:rsid w:val="00263145"/>
    <w:rsid w:val="00263194"/>
    <w:rsid w:val="002632EF"/>
    <w:rsid w:val="00263AB3"/>
    <w:rsid w:val="002640E5"/>
    <w:rsid w:val="00264944"/>
    <w:rsid w:val="00264A5B"/>
    <w:rsid w:val="002657F1"/>
    <w:rsid w:val="0026656D"/>
    <w:rsid w:val="0026697B"/>
    <w:rsid w:val="00266F4C"/>
    <w:rsid w:val="0026742A"/>
    <w:rsid w:val="0027089B"/>
    <w:rsid w:val="00271573"/>
    <w:rsid w:val="00271CB6"/>
    <w:rsid w:val="0027248C"/>
    <w:rsid w:val="00277471"/>
    <w:rsid w:val="00280258"/>
    <w:rsid w:val="00280936"/>
    <w:rsid w:val="002813D0"/>
    <w:rsid w:val="002833D5"/>
    <w:rsid w:val="0028352F"/>
    <w:rsid w:val="002848B6"/>
    <w:rsid w:val="0028510F"/>
    <w:rsid w:val="002854CC"/>
    <w:rsid w:val="00285B51"/>
    <w:rsid w:val="0028689A"/>
    <w:rsid w:val="002868A3"/>
    <w:rsid w:val="00286C62"/>
    <w:rsid w:val="00290410"/>
    <w:rsid w:val="00290D59"/>
    <w:rsid w:val="0029338B"/>
    <w:rsid w:val="002935C1"/>
    <w:rsid w:val="002936D1"/>
    <w:rsid w:val="002944A0"/>
    <w:rsid w:val="00294573"/>
    <w:rsid w:val="00294E7F"/>
    <w:rsid w:val="002953F3"/>
    <w:rsid w:val="0029553C"/>
    <w:rsid w:val="00296C20"/>
    <w:rsid w:val="002A28FA"/>
    <w:rsid w:val="002A383F"/>
    <w:rsid w:val="002A4473"/>
    <w:rsid w:val="002A5411"/>
    <w:rsid w:val="002A580E"/>
    <w:rsid w:val="002A5F49"/>
    <w:rsid w:val="002A6BA0"/>
    <w:rsid w:val="002A76FE"/>
    <w:rsid w:val="002B04C4"/>
    <w:rsid w:val="002B1545"/>
    <w:rsid w:val="002B1657"/>
    <w:rsid w:val="002B19AA"/>
    <w:rsid w:val="002B1A87"/>
    <w:rsid w:val="002B2D09"/>
    <w:rsid w:val="002B2F2B"/>
    <w:rsid w:val="002B41B3"/>
    <w:rsid w:val="002B43BC"/>
    <w:rsid w:val="002B4916"/>
    <w:rsid w:val="002B602F"/>
    <w:rsid w:val="002B7CEB"/>
    <w:rsid w:val="002C0903"/>
    <w:rsid w:val="002C09A7"/>
    <w:rsid w:val="002C2349"/>
    <w:rsid w:val="002C2604"/>
    <w:rsid w:val="002C2B86"/>
    <w:rsid w:val="002C383C"/>
    <w:rsid w:val="002C3ACE"/>
    <w:rsid w:val="002C424F"/>
    <w:rsid w:val="002C4F7E"/>
    <w:rsid w:val="002C5588"/>
    <w:rsid w:val="002C5D1D"/>
    <w:rsid w:val="002C65F2"/>
    <w:rsid w:val="002C70F4"/>
    <w:rsid w:val="002C7367"/>
    <w:rsid w:val="002C7CE8"/>
    <w:rsid w:val="002D0509"/>
    <w:rsid w:val="002D0A0E"/>
    <w:rsid w:val="002D0C56"/>
    <w:rsid w:val="002D0D3A"/>
    <w:rsid w:val="002D2988"/>
    <w:rsid w:val="002D2CB5"/>
    <w:rsid w:val="002D6796"/>
    <w:rsid w:val="002D76EF"/>
    <w:rsid w:val="002E0B41"/>
    <w:rsid w:val="002E0CE0"/>
    <w:rsid w:val="002E1249"/>
    <w:rsid w:val="002E1AF0"/>
    <w:rsid w:val="002E2650"/>
    <w:rsid w:val="002E2953"/>
    <w:rsid w:val="002E3ABB"/>
    <w:rsid w:val="002E41D2"/>
    <w:rsid w:val="002E486F"/>
    <w:rsid w:val="002E5AF0"/>
    <w:rsid w:val="002E5DCC"/>
    <w:rsid w:val="002E6238"/>
    <w:rsid w:val="002E7131"/>
    <w:rsid w:val="002E724A"/>
    <w:rsid w:val="002E7597"/>
    <w:rsid w:val="002E7D01"/>
    <w:rsid w:val="002F12C7"/>
    <w:rsid w:val="002F1E25"/>
    <w:rsid w:val="002F210A"/>
    <w:rsid w:val="002F2CE1"/>
    <w:rsid w:val="002F3169"/>
    <w:rsid w:val="002F3A66"/>
    <w:rsid w:val="002F41C7"/>
    <w:rsid w:val="002F4F6B"/>
    <w:rsid w:val="002F59F5"/>
    <w:rsid w:val="002F65FE"/>
    <w:rsid w:val="003002AF"/>
    <w:rsid w:val="00301636"/>
    <w:rsid w:val="00302FE0"/>
    <w:rsid w:val="00303E86"/>
    <w:rsid w:val="0030438C"/>
    <w:rsid w:val="00304C35"/>
    <w:rsid w:val="003054D4"/>
    <w:rsid w:val="00305D7A"/>
    <w:rsid w:val="00306668"/>
    <w:rsid w:val="0030688C"/>
    <w:rsid w:val="003072E1"/>
    <w:rsid w:val="00307CB2"/>
    <w:rsid w:val="0031022B"/>
    <w:rsid w:val="003103B5"/>
    <w:rsid w:val="003105B1"/>
    <w:rsid w:val="0031079D"/>
    <w:rsid w:val="00310AAA"/>
    <w:rsid w:val="00310CE6"/>
    <w:rsid w:val="00310D4B"/>
    <w:rsid w:val="00311DA3"/>
    <w:rsid w:val="00311E60"/>
    <w:rsid w:val="00312D7C"/>
    <w:rsid w:val="00312EEA"/>
    <w:rsid w:val="003141BA"/>
    <w:rsid w:val="00314A35"/>
    <w:rsid w:val="003165E1"/>
    <w:rsid w:val="003174D2"/>
    <w:rsid w:val="00320627"/>
    <w:rsid w:val="00320C4D"/>
    <w:rsid w:val="003226E7"/>
    <w:rsid w:val="0032289C"/>
    <w:rsid w:val="003252B6"/>
    <w:rsid w:val="003268C2"/>
    <w:rsid w:val="00327348"/>
    <w:rsid w:val="00327658"/>
    <w:rsid w:val="00330477"/>
    <w:rsid w:val="00330B7A"/>
    <w:rsid w:val="0033124E"/>
    <w:rsid w:val="00332DD9"/>
    <w:rsid w:val="0033302D"/>
    <w:rsid w:val="00333DF9"/>
    <w:rsid w:val="00333FED"/>
    <w:rsid w:val="00334566"/>
    <w:rsid w:val="00334CF9"/>
    <w:rsid w:val="003353F2"/>
    <w:rsid w:val="003369B0"/>
    <w:rsid w:val="0033736B"/>
    <w:rsid w:val="003375CB"/>
    <w:rsid w:val="00337F1F"/>
    <w:rsid w:val="003407A1"/>
    <w:rsid w:val="00340B39"/>
    <w:rsid w:val="003410B2"/>
    <w:rsid w:val="00342235"/>
    <w:rsid w:val="00343291"/>
    <w:rsid w:val="003437F9"/>
    <w:rsid w:val="00343C8C"/>
    <w:rsid w:val="00343F93"/>
    <w:rsid w:val="00345198"/>
    <w:rsid w:val="0034555D"/>
    <w:rsid w:val="003455AE"/>
    <w:rsid w:val="003469B2"/>
    <w:rsid w:val="00347400"/>
    <w:rsid w:val="0034789D"/>
    <w:rsid w:val="003479B9"/>
    <w:rsid w:val="00347D45"/>
    <w:rsid w:val="00347F62"/>
    <w:rsid w:val="00347FBC"/>
    <w:rsid w:val="00350BE8"/>
    <w:rsid w:val="003527EA"/>
    <w:rsid w:val="0035290D"/>
    <w:rsid w:val="00352DEA"/>
    <w:rsid w:val="00352ED9"/>
    <w:rsid w:val="00353DCB"/>
    <w:rsid w:val="00353E5D"/>
    <w:rsid w:val="00354CF0"/>
    <w:rsid w:val="003555B9"/>
    <w:rsid w:val="003578BE"/>
    <w:rsid w:val="00361426"/>
    <w:rsid w:val="0036205A"/>
    <w:rsid w:val="003621A4"/>
    <w:rsid w:val="00362F61"/>
    <w:rsid w:val="003636C0"/>
    <w:rsid w:val="00363D90"/>
    <w:rsid w:val="00363FC6"/>
    <w:rsid w:val="00364263"/>
    <w:rsid w:val="003650D0"/>
    <w:rsid w:val="00365AFF"/>
    <w:rsid w:val="00365B32"/>
    <w:rsid w:val="00365C51"/>
    <w:rsid w:val="003662AF"/>
    <w:rsid w:val="00366303"/>
    <w:rsid w:val="00366ED2"/>
    <w:rsid w:val="00367266"/>
    <w:rsid w:val="0036787E"/>
    <w:rsid w:val="0037074D"/>
    <w:rsid w:val="00370812"/>
    <w:rsid w:val="00370AE1"/>
    <w:rsid w:val="0037112D"/>
    <w:rsid w:val="0037176F"/>
    <w:rsid w:val="00371DFD"/>
    <w:rsid w:val="00371F31"/>
    <w:rsid w:val="0037288C"/>
    <w:rsid w:val="003737A5"/>
    <w:rsid w:val="00373AB5"/>
    <w:rsid w:val="00373E15"/>
    <w:rsid w:val="003742B7"/>
    <w:rsid w:val="00374E14"/>
    <w:rsid w:val="0037529A"/>
    <w:rsid w:val="00375C19"/>
    <w:rsid w:val="00375DC1"/>
    <w:rsid w:val="00375FD0"/>
    <w:rsid w:val="003761C4"/>
    <w:rsid w:val="003765AB"/>
    <w:rsid w:val="003766EB"/>
    <w:rsid w:val="00376739"/>
    <w:rsid w:val="00376D4F"/>
    <w:rsid w:val="00377457"/>
    <w:rsid w:val="00377AF0"/>
    <w:rsid w:val="00377E81"/>
    <w:rsid w:val="003807A4"/>
    <w:rsid w:val="00380D5C"/>
    <w:rsid w:val="00380E11"/>
    <w:rsid w:val="00381530"/>
    <w:rsid w:val="00381C3B"/>
    <w:rsid w:val="00382560"/>
    <w:rsid w:val="003826D8"/>
    <w:rsid w:val="00382D5D"/>
    <w:rsid w:val="0038437A"/>
    <w:rsid w:val="003847F1"/>
    <w:rsid w:val="00386E48"/>
    <w:rsid w:val="0039000E"/>
    <w:rsid w:val="00390ACF"/>
    <w:rsid w:val="00390BBE"/>
    <w:rsid w:val="00390FFE"/>
    <w:rsid w:val="00391AEF"/>
    <w:rsid w:val="00392F55"/>
    <w:rsid w:val="00393852"/>
    <w:rsid w:val="00395C0C"/>
    <w:rsid w:val="00395E09"/>
    <w:rsid w:val="0039682E"/>
    <w:rsid w:val="003A0774"/>
    <w:rsid w:val="003A0A28"/>
    <w:rsid w:val="003A0B59"/>
    <w:rsid w:val="003A1387"/>
    <w:rsid w:val="003A1424"/>
    <w:rsid w:val="003A15D2"/>
    <w:rsid w:val="003A16BF"/>
    <w:rsid w:val="003A1820"/>
    <w:rsid w:val="003A2550"/>
    <w:rsid w:val="003A28DB"/>
    <w:rsid w:val="003A31A8"/>
    <w:rsid w:val="003A429C"/>
    <w:rsid w:val="003A4D32"/>
    <w:rsid w:val="003A5980"/>
    <w:rsid w:val="003A5FF1"/>
    <w:rsid w:val="003A6073"/>
    <w:rsid w:val="003A6305"/>
    <w:rsid w:val="003A7038"/>
    <w:rsid w:val="003A77D3"/>
    <w:rsid w:val="003B15D7"/>
    <w:rsid w:val="003B1F39"/>
    <w:rsid w:val="003B2A85"/>
    <w:rsid w:val="003B2C97"/>
    <w:rsid w:val="003B3980"/>
    <w:rsid w:val="003B3CC6"/>
    <w:rsid w:val="003B4020"/>
    <w:rsid w:val="003B49BD"/>
    <w:rsid w:val="003B4F40"/>
    <w:rsid w:val="003B4FED"/>
    <w:rsid w:val="003B50AD"/>
    <w:rsid w:val="003B535E"/>
    <w:rsid w:val="003B6160"/>
    <w:rsid w:val="003B6FB8"/>
    <w:rsid w:val="003B73F5"/>
    <w:rsid w:val="003B77C7"/>
    <w:rsid w:val="003B7B7E"/>
    <w:rsid w:val="003C0A75"/>
    <w:rsid w:val="003C0BEC"/>
    <w:rsid w:val="003C1F9D"/>
    <w:rsid w:val="003C20A8"/>
    <w:rsid w:val="003C227D"/>
    <w:rsid w:val="003C29D3"/>
    <w:rsid w:val="003C323E"/>
    <w:rsid w:val="003C33A2"/>
    <w:rsid w:val="003C43F4"/>
    <w:rsid w:val="003C4D7C"/>
    <w:rsid w:val="003C5604"/>
    <w:rsid w:val="003C7665"/>
    <w:rsid w:val="003D0003"/>
    <w:rsid w:val="003D0858"/>
    <w:rsid w:val="003D13E2"/>
    <w:rsid w:val="003D15BA"/>
    <w:rsid w:val="003D19DA"/>
    <w:rsid w:val="003D21F2"/>
    <w:rsid w:val="003D22CA"/>
    <w:rsid w:val="003D252F"/>
    <w:rsid w:val="003D2B8C"/>
    <w:rsid w:val="003D2DA9"/>
    <w:rsid w:val="003D2DB2"/>
    <w:rsid w:val="003D3818"/>
    <w:rsid w:val="003D4736"/>
    <w:rsid w:val="003D517B"/>
    <w:rsid w:val="003D59CD"/>
    <w:rsid w:val="003D5EE3"/>
    <w:rsid w:val="003D6080"/>
    <w:rsid w:val="003E094A"/>
    <w:rsid w:val="003E0EA5"/>
    <w:rsid w:val="003E1A79"/>
    <w:rsid w:val="003E2F6B"/>
    <w:rsid w:val="003E371F"/>
    <w:rsid w:val="003E5F14"/>
    <w:rsid w:val="003E5FD6"/>
    <w:rsid w:val="003E6A28"/>
    <w:rsid w:val="003E72D5"/>
    <w:rsid w:val="003E7571"/>
    <w:rsid w:val="003E7631"/>
    <w:rsid w:val="003F1B45"/>
    <w:rsid w:val="003F23A5"/>
    <w:rsid w:val="003F3128"/>
    <w:rsid w:val="003F3EC0"/>
    <w:rsid w:val="003F4467"/>
    <w:rsid w:val="003F5F7F"/>
    <w:rsid w:val="003F6940"/>
    <w:rsid w:val="003F69E1"/>
    <w:rsid w:val="003F73D1"/>
    <w:rsid w:val="003F7580"/>
    <w:rsid w:val="003F75A9"/>
    <w:rsid w:val="003F7E02"/>
    <w:rsid w:val="00400469"/>
    <w:rsid w:val="00402099"/>
    <w:rsid w:val="00402865"/>
    <w:rsid w:val="00403FA4"/>
    <w:rsid w:val="004050F7"/>
    <w:rsid w:val="0040564F"/>
    <w:rsid w:val="00407154"/>
    <w:rsid w:val="0041101E"/>
    <w:rsid w:val="0041193A"/>
    <w:rsid w:val="00411E75"/>
    <w:rsid w:val="00412559"/>
    <w:rsid w:val="00412CD3"/>
    <w:rsid w:val="00414261"/>
    <w:rsid w:val="00414286"/>
    <w:rsid w:val="00415BA0"/>
    <w:rsid w:val="004206BA"/>
    <w:rsid w:val="00420D20"/>
    <w:rsid w:val="00420F90"/>
    <w:rsid w:val="00421D98"/>
    <w:rsid w:val="00421E14"/>
    <w:rsid w:val="00422E01"/>
    <w:rsid w:val="00423087"/>
    <w:rsid w:val="00423196"/>
    <w:rsid w:val="004234FC"/>
    <w:rsid w:val="004255F7"/>
    <w:rsid w:val="00425A67"/>
    <w:rsid w:val="00426661"/>
    <w:rsid w:val="00427C95"/>
    <w:rsid w:val="00430335"/>
    <w:rsid w:val="00431C65"/>
    <w:rsid w:val="0043239F"/>
    <w:rsid w:val="004330DA"/>
    <w:rsid w:val="00433783"/>
    <w:rsid w:val="00433799"/>
    <w:rsid w:val="004338DF"/>
    <w:rsid w:val="00433C9B"/>
    <w:rsid w:val="00433DDA"/>
    <w:rsid w:val="004340D9"/>
    <w:rsid w:val="00435818"/>
    <w:rsid w:val="00435D9B"/>
    <w:rsid w:val="004372BA"/>
    <w:rsid w:val="00440B98"/>
    <w:rsid w:val="00440CC2"/>
    <w:rsid w:val="00441563"/>
    <w:rsid w:val="00442630"/>
    <w:rsid w:val="0044289F"/>
    <w:rsid w:val="004428D5"/>
    <w:rsid w:val="00442C02"/>
    <w:rsid w:val="004431EC"/>
    <w:rsid w:val="004439E2"/>
    <w:rsid w:val="00444F34"/>
    <w:rsid w:val="00444F59"/>
    <w:rsid w:val="004450B3"/>
    <w:rsid w:val="00445B59"/>
    <w:rsid w:val="0044753A"/>
    <w:rsid w:val="004505F7"/>
    <w:rsid w:val="0045079A"/>
    <w:rsid w:val="004511D4"/>
    <w:rsid w:val="0045168E"/>
    <w:rsid w:val="004516C3"/>
    <w:rsid w:val="00451A68"/>
    <w:rsid w:val="00451B2F"/>
    <w:rsid w:val="00452420"/>
    <w:rsid w:val="0045245E"/>
    <w:rsid w:val="0045299B"/>
    <w:rsid w:val="004531C6"/>
    <w:rsid w:val="00453B59"/>
    <w:rsid w:val="00453CC2"/>
    <w:rsid w:val="00453D99"/>
    <w:rsid w:val="00453EAF"/>
    <w:rsid w:val="00454995"/>
    <w:rsid w:val="00455D27"/>
    <w:rsid w:val="00456408"/>
    <w:rsid w:val="00456BFF"/>
    <w:rsid w:val="00457108"/>
    <w:rsid w:val="00457B8C"/>
    <w:rsid w:val="00460259"/>
    <w:rsid w:val="00462200"/>
    <w:rsid w:val="0046268D"/>
    <w:rsid w:val="00462AFA"/>
    <w:rsid w:val="004631FE"/>
    <w:rsid w:val="0046332B"/>
    <w:rsid w:val="00463642"/>
    <w:rsid w:val="00463738"/>
    <w:rsid w:val="00464ADE"/>
    <w:rsid w:val="00467196"/>
    <w:rsid w:val="004674B8"/>
    <w:rsid w:val="00467E6B"/>
    <w:rsid w:val="00470D08"/>
    <w:rsid w:val="00470E78"/>
    <w:rsid w:val="0047126E"/>
    <w:rsid w:val="004712BA"/>
    <w:rsid w:val="00471E34"/>
    <w:rsid w:val="00472502"/>
    <w:rsid w:val="00472CEA"/>
    <w:rsid w:val="004749CE"/>
    <w:rsid w:val="00474D3A"/>
    <w:rsid w:val="00475D24"/>
    <w:rsid w:val="00475EDF"/>
    <w:rsid w:val="00476CF8"/>
    <w:rsid w:val="00476EDC"/>
    <w:rsid w:val="004777DB"/>
    <w:rsid w:val="00482511"/>
    <w:rsid w:val="0048257E"/>
    <w:rsid w:val="00483B4B"/>
    <w:rsid w:val="004840DC"/>
    <w:rsid w:val="00484369"/>
    <w:rsid w:val="00484A70"/>
    <w:rsid w:val="004858CC"/>
    <w:rsid w:val="00486567"/>
    <w:rsid w:val="00487061"/>
    <w:rsid w:val="004875D3"/>
    <w:rsid w:val="00487644"/>
    <w:rsid w:val="0049017F"/>
    <w:rsid w:val="00490533"/>
    <w:rsid w:val="00491CCA"/>
    <w:rsid w:val="00491E5E"/>
    <w:rsid w:val="00492B29"/>
    <w:rsid w:val="00492C0A"/>
    <w:rsid w:val="00492DF4"/>
    <w:rsid w:val="00494089"/>
    <w:rsid w:val="004944A0"/>
    <w:rsid w:val="0049495E"/>
    <w:rsid w:val="00494C8A"/>
    <w:rsid w:val="00495100"/>
    <w:rsid w:val="004976A3"/>
    <w:rsid w:val="004A086E"/>
    <w:rsid w:val="004A0F7D"/>
    <w:rsid w:val="004A10E3"/>
    <w:rsid w:val="004A160D"/>
    <w:rsid w:val="004A17F8"/>
    <w:rsid w:val="004A2DA2"/>
    <w:rsid w:val="004A3048"/>
    <w:rsid w:val="004A38EC"/>
    <w:rsid w:val="004A47DF"/>
    <w:rsid w:val="004A48C9"/>
    <w:rsid w:val="004A49E1"/>
    <w:rsid w:val="004A5019"/>
    <w:rsid w:val="004A54AE"/>
    <w:rsid w:val="004A5D14"/>
    <w:rsid w:val="004A5F46"/>
    <w:rsid w:val="004A635A"/>
    <w:rsid w:val="004A669E"/>
    <w:rsid w:val="004A7B18"/>
    <w:rsid w:val="004A7C2E"/>
    <w:rsid w:val="004B00B1"/>
    <w:rsid w:val="004B0105"/>
    <w:rsid w:val="004B059E"/>
    <w:rsid w:val="004B0F82"/>
    <w:rsid w:val="004B2B09"/>
    <w:rsid w:val="004B2C77"/>
    <w:rsid w:val="004B2EFB"/>
    <w:rsid w:val="004B3596"/>
    <w:rsid w:val="004B3CF7"/>
    <w:rsid w:val="004B40E5"/>
    <w:rsid w:val="004B5B36"/>
    <w:rsid w:val="004B5B94"/>
    <w:rsid w:val="004B6B73"/>
    <w:rsid w:val="004B6F00"/>
    <w:rsid w:val="004B7A4E"/>
    <w:rsid w:val="004C0039"/>
    <w:rsid w:val="004C00B3"/>
    <w:rsid w:val="004C0F77"/>
    <w:rsid w:val="004C1235"/>
    <w:rsid w:val="004C15C4"/>
    <w:rsid w:val="004C2899"/>
    <w:rsid w:val="004C2F5D"/>
    <w:rsid w:val="004C3905"/>
    <w:rsid w:val="004C3921"/>
    <w:rsid w:val="004C4C25"/>
    <w:rsid w:val="004C4DE7"/>
    <w:rsid w:val="004C5677"/>
    <w:rsid w:val="004C60D7"/>
    <w:rsid w:val="004C628A"/>
    <w:rsid w:val="004C643F"/>
    <w:rsid w:val="004C649E"/>
    <w:rsid w:val="004C66CE"/>
    <w:rsid w:val="004C72E9"/>
    <w:rsid w:val="004D087A"/>
    <w:rsid w:val="004D3050"/>
    <w:rsid w:val="004D6A29"/>
    <w:rsid w:val="004D6FD4"/>
    <w:rsid w:val="004D7470"/>
    <w:rsid w:val="004D7CFC"/>
    <w:rsid w:val="004E099C"/>
    <w:rsid w:val="004E4090"/>
    <w:rsid w:val="004E4A80"/>
    <w:rsid w:val="004E4D82"/>
    <w:rsid w:val="004E62BC"/>
    <w:rsid w:val="004F067C"/>
    <w:rsid w:val="004F16AE"/>
    <w:rsid w:val="004F185F"/>
    <w:rsid w:val="004F1BA0"/>
    <w:rsid w:val="004F1F2D"/>
    <w:rsid w:val="004F394F"/>
    <w:rsid w:val="004F39B4"/>
    <w:rsid w:val="004F40B1"/>
    <w:rsid w:val="004F4377"/>
    <w:rsid w:val="004F54AC"/>
    <w:rsid w:val="004F583A"/>
    <w:rsid w:val="004F66BB"/>
    <w:rsid w:val="004F75A4"/>
    <w:rsid w:val="00500636"/>
    <w:rsid w:val="00500B2C"/>
    <w:rsid w:val="00500EF2"/>
    <w:rsid w:val="00501224"/>
    <w:rsid w:val="00501547"/>
    <w:rsid w:val="00501D1E"/>
    <w:rsid w:val="00502555"/>
    <w:rsid w:val="00502948"/>
    <w:rsid w:val="005029FE"/>
    <w:rsid w:val="0050401B"/>
    <w:rsid w:val="0050440E"/>
    <w:rsid w:val="00507753"/>
    <w:rsid w:val="00510799"/>
    <w:rsid w:val="00511136"/>
    <w:rsid w:val="00511B66"/>
    <w:rsid w:val="00511EEA"/>
    <w:rsid w:val="00513029"/>
    <w:rsid w:val="00515068"/>
    <w:rsid w:val="00515DA4"/>
    <w:rsid w:val="00517296"/>
    <w:rsid w:val="00517412"/>
    <w:rsid w:val="0051763F"/>
    <w:rsid w:val="005206B5"/>
    <w:rsid w:val="005208F5"/>
    <w:rsid w:val="00520E00"/>
    <w:rsid w:val="00520FEB"/>
    <w:rsid w:val="0052241C"/>
    <w:rsid w:val="005225CB"/>
    <w:rsid w:val="00522778"/>
    <w:rsid w:val="005231A3"/>
    <w:rsid w:val="00523BCC"/>
    <w:rsid w:val="005242B2"/>
    <w:rsid w:val="00524543"/>
    <w:rsid w:val="0052473B"/>
    <w:rsid w:val="005255FC"/>
    <w:rsid w:val="00526111"/>
    <w:rsid w:val="005268AE"/>
    <w:rsid w:val="00526A29"/>
    <w:rsid w:val="00527CD4"/>
    <w:rsid w:val="00530720"/>
    <w:rsid w:val="00530FE9"/>
    <w:rsid w:val="00532A5F"/>
    <w:rsid w:val="005340C4"/>
    <w:rsid w:val="00534294"/>
    <w:rsid w:val="005345D8"/>
    <w:rsid w:val="00534B30"/>
    <w:rsid w:val="005363C6"/>
    <w:rsid w:val="00536521"/>
    <w:rsid w:val="005371B3"/>
    <w:rsid w:val="0053748C"/>
    <w:rsid w:val="00537CDB"/>
    <w:rsid w:val="00540936"/>
    <w:rsid w:val="00541097"/>
    <w:rsid w:val="005411C5"/>
    <w:rsid w:val="00541ABA"/>
    <w:rsid w:val="00541E87"/>
    <w:rsid w:val="005420C8"/>
    <w:rsid w:val="00543179"/>
    <w:rsid w:val="005436CB"/>
    <w:rsid w:val="00544AFA"/>
    <w:rsid w:val="00544B70"/>
    <w:rsid w:val="00544F8C"/>
    <w:rsid w:val="005468B3"/>
    <w:rsid w:val="00546A58"/>
    <w:rsid w:val="00547B57"/>
    <w:rsid w:val="00547E72"/>
    <w:rsid w:val="0055044A"/>
    <w:rsid w:val="0055079F"/>
    <w:rsid w:val="0055205B"/>
    <w:rsid w:val="00552621"/>
    <w:rsid w:val="00552C0C"/>
    <w:rsid w:val="005552DE"/>
    <w:rsid w:val="005556C1"/>
    <w:rsid w:val="00555ABC"/>
    <w:rsid w:val="0055607E"/>
    <w:rsid w:val="00556430"/>
    <w:rsid w:val="005576AD"/>
    <w:rsid w:val="00557A58"/>
    <w:rsid w:val="00557D11"/>
    <w:rsid w:val="0056187D"/>
    <w:rsid w:val="005618A7"/>
    <w:rsid w:val="0056392D"/>
    <w:rsid w:val="00564B2F"/>
    <w:rsid w:val="00565D9F"/>
    <w:rsid w:val="00566D32"/>
    <w:rsid w:val="00566DD4"/>
    <w:rsid w:val="00566E92"/>
    <w:rsid w:val="00566EAD"/>
    <w:rsid w:val="00567158"/>
    <w:rsid w:val="0056747E"/>
    <w:rsid w:val="00567A02"/>
    <w:rsid w:val="00567B4D"/>
    <w:rsid w:val="00567EA7"/>
    <w:rsid w:val="005718B0"/>
    <w:rsid w:val="0057223E"/>
    <w:rsid w:val="0057337B"/>
    <w:rsid w:val="005738AB"/>
    <w:rsid w:val="00573F60"/>
    <w:rsid w:val="00574123"/>
    <w:rsid w:val="005766F8"/>
    <w:rsid w:val="00577CF7"/>
    <w:rsid w:val="00580573"/>
    <w:rsid w:val="00580C38"/>
    <w:rsid w:val="00581357"/>
    <w:rsid w:val="00581DD8"/>
    <w:rsid w:val="00581E6F"/>
    <w:rsid w:val="005825C6"/>
    <w:rsid w:val="005837B1"/>
    <w:rsid w:val="00583DD3"/>
    <w:rsid w:val="00584129"/>
    <w:rsid w:val="0058412E"/>
    <w:rsid w:val="00584B8E"/>
    <w:rsid w:val="0058568C"/>
    <w:rsid w:val="00586281"/>
    <w:rsid w:val="00586BC0"/>
    <w:rsid w:val="00587176"/>
    <w:rsid w:val="00587B43"/>
    <w:rsid w:val="00590007"/>
    <w:rsid w:val="00590415"/>
    <w:rsid w:val="005915CE"/>
    <w:rsid w:val="00593757"/>
    <w:rsid w:val="00593CDA"/>
    <w:rsid w:val="005942BC"/>
    <w:rsid w:val="00594CF7"/>
    <w:rsid w:val="005953F0"/>
    <w:rsid w:val="00597480"/>
    <w:rsid w:val="00597A3F"/>
    <w:rsid w:val="00597D86"/>
    <w:rsid w:val="005A045C"/>
    <w:rsid w:val="005A0E12"/>
    <w:rsid w:val="005A15A5"/>
    <w:rsid w:val="005A181C"/>
    <w:rsid w:val="005A1832"/>
    <w:rsid w:val="005A1D9E"/>
    <w:rsid w:val="005A2C67"/>
    <w:rsid w:val="005A2F7C"/>
    <w:rsid w:val="005A563A"/>
    <w:rsid w:val="005A56FC"/>
    <w:rsid w:val="005A6D2C"/>
    <w:rsid w:val="005A7218"/>
    <w:rsid w:val="005A747A"/>
    <w:rsid w:val="005A7660"/>
    <w:rsid w:val="005A7EA1"/>
    <w:rsid w:val="005A7F93"/>
    <w:rsid w:val="005B0F76"/>
    <w:rsid w:val="005B1127"/>
    <w:rsid w:val="005B1808"/>
    <w:rsid w:val="005B205B"/>
    <w:rsid w:val="005B237D"/>
    <w:rsid w:val="005B2CF0"/>
    <w:rsid w:val="005B4CC2"/>
    <w:rsid w:val="005B4D18"/>
    <w:rsid w:val="005B4F76"/>
    <w:rsid w:val="005B52DE"/>
    <w:rsid w:val="005C1407"/>
    <w:rsid w:val="005C1712"/>
    <w:rsid w:val="005C24C4"/>
    <w:rsid w:val="005C2B6C"/>
    <w:rsid w:val="005C36BA"/>
    <w:rsid w:val="005C41B1"/>
    <w:rsid w:val="005C44D3"/>
    <w:rsid w:val="005C4F0B"/>
    <w:rsid w:val="005C55B6"/>
    <w:rsid w:val="005C584D"/>
    <w:rsid w:val="005C5E15"/>
    <w:rsid w:val="005C664B"/>
    <w:rsid w:val="005C6787"/>
    <w:rsid w:val="005C7B0F"/>
    <w:rsid w:val="005D0C32"/>
    <w:rsid w:val="005D0F33"/>
    <w:rsid w:val="005D140A"/>
    <w:rsid w:val="005D1CA0"/>
    <w:rsid w:val="005D3AA3"/>
    <w:rsid w:val="005D4024"/>
    <w:rsid w:val="005D4417"/>
    <w:rsid w:val="005D5588"/>
    <w:rsid w:val="005D5BDF"/>
    <w:rsid w:val="005D5CB6"/>
    <w:rsid w:val="005D5D60"/>
    <w:rsid w:val="005D5DD0"/>
    <w:rsid w:val="005D6BF9"/>
    <w:rsid w:val="005D6CD7"/>
    <w:rsid w:val="005D751D"/>
    <w:rsid w:val="005E1E9D"/>
    <w:rsid w:val="005E2037"/>
    <w:rsid w:val="005E2138"/>
    <w:rsid w:val="005E2E9E"/>
    <w:rsid w:val="005E38D0"/>
    <w:rsid w:val="005E53EF"/>
    <w:rsid w:val="005E633B"/>
    <w:rsid w:val="005E784E"/>
    <w:rsid w:val="005F06B3"/>
    <w:rsid w:val="005F139A"/>
    <w:rsid w:val="005F21BE"/>
    <w:rsid w:val="005F25FE"/>
    <w:rsid w:val="005F2FD9"/>
    <w:rsid w:val="005F35F6"/>
    <w:rsid w:val="005F367C"/>
    <w:rsid w:val="005F4369"/>
    <w:rsid w:val="005F51BE"/>
    <w:rsid w:val="005F60A4"/>
    <w:rsid w:val="005F69C7"/>
    <w:rsid w:val="005F7824"/>
    <w:rsid w:val="005F7D97"/>
    <w:rsid w:val="005F7DF5"/>
    <w:rsid w:val="005F7EA0"/>
    <w:rsid w:val="00601A1D"/>
    <w:rsid w:val="00602A51"/>
    <w:rsid w:val="006042A2"/>
    <w:rsid w:val="00604642"/>
    <w:rsid w:val="006066CA"/>
    <w:rsid w:val="0060715C"/>
    <w:rsid w:val="00610D5E"/>
    <w:rsid w:val="00610F8D"/>
    <w:rsid w:val="00610FC4"/>
    <w:rsid w:val="0061123B"/>
    <w:rsid w:val="00611B95"/>
    <w:rsid w:val="00611B9E"/>
    <w:rsid w:val="00611E86"/>
    <w:rsid w:val="00612C17"/>
    <w:rsid w:val="00613638"/>
    <w:rsid w:val="00613742"/>
    <w:rsid w:val="00613FE8"/>
    <w:rsid w:val="0061671C"/>
    <w:rsid w:val="00616AEA"/>
    <w:rsid w:val="0061792B"/>
    <w:rsid w:val="006213C6"/>
    <w:rsid w:val="00621D09"/>
    <w:rsid w:val="00621DBA"/>
    <w:rsid w:val="00621F1D"/>
    <w:rsid w:val="00622B75"/>
    <w:rsid w:val="006255B1"/>
    <w:rsid w:val="0062577E"/>
    <w:rsid w:val="00625AB2"/>
    <w:rsid w:val="00625BA4"/>
    <w:rsid w:val="006262A5"/>
    <w:rsid w:val="00626A2F"/>
    <w:rsid w:val="00627AAA"/>
    <w:rsid w:val="00630863"/>
    <w:rsid w:val="0063159E"/>
    <w:rsid w:val="006319A1"/>
    <w:rsid w:val="0063356E"/>
    <w:rsid w:val="0063386C"/>
    <w:rsid w:val="00633DD9"/>
    <w:rsid w:val="00635376"/>
    <w:rsid w:val="00635CDF"/>
    <w:rsid w:val="00636043"/>
    <w:rsid w:val="00636113"/>
    <w:rsid w:val="0063738C"/>
    <w:rsid w:val="006376AF"/>
    <w:rsid w:val="00637C9E"/>
    <w:rsid w:val="00637F76"/>
    <w:rsid w:val="00640CE0"/>
    <w:rsid w:val="00640FD1"/>
    <w:rsid w:val="00641A78"/>
    <w:rsid w:val="0064221F"/>
    <w:rsid w:val="00643202"/>
    <w:rsid w:val="00644903"/>
    <w:rsid w:val="00644D30"/>
    <w:rsid w:val="00645919"/>
    <w:rsid w:val="00646066"/>
    <w:rsid w:val="006467F6"/>
    <w:rsid w:val="00646D6F"/>
    <w:rsid w:val="0064753D"/>
    <w:rsid w:val="00647788"/>
    <w:rsid w:val="00647DC3"/>
    <w:rsid w:val="006508C6"/>
    <w:rsid w:val="0065092E"/>
    <w:rsid w:val="00650E6B"/>
    <w:rsid w:val="00650F31"/>
    <w:rsid w:val="006515C7"/>
    <w:rsid w:val="006516DB"/>
    <w:rsid w:val="006525A8"/>
    <w:rsid w:val="00653886"/>
    <w:rsid w:val="00653D1E"/>
    <w:rsid w:val="00653D38"/>
    <w:rsid w:val="006544A8"/>
    <w:rsid w:val="00656081"/>
    <w:rsid w:val="006560FD"/>
    <w:rsid w:val="006571A0"/>
    <w:rsid w:val="006603D9"/>
    <w:rsid w:val="006607AD"/>
    <w:rsid w:val="00660C5B"/>
    <w:rsid w:val="00660E2C"/>
    <w:rsid w:val="00661198"/>
    <w:rsid w:val="0066385B"/>
    <w:rsid w:val="00663E68"/>
    <w:rsid w:val="00664596"/>
    <w:rsid w:val="006646CC"/>
    <w:rsid w:val="0066485E"/>
    <w:rsid w:val="006674D0"/>
    <w:rsid w:val="00670637"/>
    <w:rsid w:val="0067203C"/>
    <w:rsid w:val="00673973"/>
    <w:rsid w:val="00674F73"/>
    <w:rsid w:val="006757CE"/>
    <w:rsid w:val="00675B62"/>
    <w:rsid w:val="00676746"/>
    <w:rsid w:val="00676E0B"/>
    <w:rsid w:val="0067701F"/>
    <w:rsid w:val="00677C2E"/>
    <w:rsid w:val="00681177"/>
    <w:rsid w:val="006824F1"/>
    <w:rsid w:val="00682ABE"/>
    <w:rsid w:val="00682B04"/>
    <w:rsid w:val="0068331C"/>
    <w:rsid w:val="006834CA"/>
    <w:rsid w:val="00683CCC"/>
    <w:rsid w:val="00684EF4"/>
    <w:rsid w:val="00684F7F"/>
    <w:rsid w:val="006856C7"/>
    <w:rsid w:val="00686528"/>
    <w:rsid w:val="0068671C"/>
    <w:rsid w:val="00686CD0"/>
    <w:rsid w:val="0068779C"/>
    <w:rsid w:val="00687CBB"/>
    <w:rsid w:val="006900B2"/>
    <w:rsid w:val="00690938"/>
    <w:rsid w:val="00690C38"/>
    <w:rsid w:val="006923BC"/>
    <w:rsid w:val="006943DA"/>
    <w:rsid w:val="006948C4"/>
    <w:rsid w:val="00695355"/>
    <w:rsid w:val="0069684E"/>
    <w:rsid w:val="00696ED2"/>
    <w:rsid w:val="00696F96"/>
    <w:rsid w:val="00697958"/>
    <w:rsid w:val="006A0263"/>
    <w:rsid w:val="006A13D1"/>
    <w:rsid w:val="006A143D"/>
    <w:rsid w:val="006A2402"/>
    <w:rsid w:val="006A2848"/>
    <w:rsid w:val="006A2972"/>
    <w:rsid w:val="006A298E"/>
    <w:rsid w:val="006A3099"/>
    <w:rsid w:val="006A3A7C"/>
    <w:rsid w:val="006A3BB1"/>
    <w:rsid w:val="006A42B5"/>
    <w:rsid w:val="006A5233"/>
    <w:rsid w:val="006A5826"/>
    <w:rsid w:val="006A5D65"/>
    <w:rsid w:val="006A61EB"/>
    <w:rsid w:val="006A772B"/>
    <w:rsid w:val="006A78A1"/>
    <w:rsid w:val="006A7F50"/>
    <w:rsid w:val="006B05FB"/>
    <w:rsid w:val="006B06EA"/>
    <w:rsid w:val="006B114B"/>
    <w:rsid w:val="006B1964"/>
    <w:rsid w:val="006B196C"/>
    <w:rsid w:val="006B2058"/>
    <w:rsid w:val="006B27C3"/>
    <w:rsid w:val="006B2E4C"/>
    <w:rsid w:val="006B3B3C"/>
    <w:rsid w:val="006B4F50"/>
    <w:rsid w:val="006B4FAE"/>
    <w:rsid w:val="006B53A1"/>
    <w:rsid w:val="006B56FD"/>
    <w:rsid w:val="006B69F2"/>
    <w:rsid w:val="006B6F4C"/>
    <w:rsid w:val="006C0ECF"/>
    <w:rsid w:val="006C1487"/>
    <w:rsid w:val="006C1DC2"/>
    <w:rsid w:val="006C25BB"/>
    <w:rsid w:val="006C2F8B"/>
    <w:rsid w:val="006C3644"/>
    <w:rsid w:val="006C3BCA"/>
    <w:rsid w:val="006C4CE6"/>
    <w:rsid w:val="006C5012"/>
    <w:rsid w:val="006C76FD"/>
    <w:rsid w:val="006C76FF"/>
    <w:rsid w:val="006C7903"/>
    <w:rsid w:val="006C7F86"/>
    <w:rsid w:val="006D08C1"/>
    <w:rsid w:val="006D1455"/>
    <w:rsid w:val="006D2016"/>
    <w:rsid w:val="006D34AB"/>
    <w:rsid w:val="006D4112"/>
    <w:rsid w:val="006D4323"/>
    <w:rsid w:val="006D54D7"/>
    <w:rsid w:val="006D5A6E"/>
    <w:rsid w:val="006D5C15"/>
    <w:rsid w:val="006D7894"/>
    <w:rsid w:val="006D78D2"/>
    <w:rsid w:val="006E0253"/>
    <w:rsid w:val="006E0B75"/>
    <w:rsid w:val="006E24C2"/>
    <w:rsid w:val="006E2905"/>
    <w:rsid w:val="006E3107"/>
    <w:rsid w:val="006E36DB"/>
    <w:rsid w:val="006E386E"/>
    <w:rsid w:val="006E6284"/>
    <w:rsid w:val="006E6556"/>
    <w:rsid w:val="006E66E6"/>
    <w:rsid w:val="006E684C"/>
    <w:rsid w:val="006E74E6"/>
    <w:rsid w:val="006E7EE9"/>
    <w:rsid w:val="006F0357"/>
    <w:rsid w:val="006F0B36"/>
    <w:rsid w:val="006F0FED"/>
    <w:rsid w:val="006F19D3"/>
    <w:rsid w:val="006F24E8"/>
    <w:rsid w:val="006F280E"/>
    <w:rsid w:val="006F35AC"/>
    <w:rsid w:val="006F48A3"/>
    <w:rsid w:val="006F513B"/>
    <w:rsid w:val="006F69E8"/>
    <w:rsid w:val="00700FA3"/>
    <w:rsid w:val="00701595"/>
    <w:rsid w:val="00701DC5"/>
    <w:rsid w:val="0070293A"/>
    <w:rsid w:val="00702B9B"/>
    <w:rsid w:val="00703968"/>
    <w:rsid w:val="0070397D"/>
    <w:rsid w:val="007048EA"/>
    <w:rsid w:val="00704D50"/>
    <w:rsid w:val="007058CE"/>
    <w:rsid w:val="00705C5C"/>
    <w:rsid w:val="00705CBF"/>
    <w:rsid w:val="00706423"/>
    <w:rsid w:val="00706829"/>
    <w:rsid w:val="00707294"/>
    <w:rsid w:val="00707520"/>
    <w:rsid w:val="007076B5"/>
    <w:rsid w:val="00710260"/>
    <w:rsid w:val="00710790"/>
    <w:rsid w:val="00710C5D"/>
    <w:rsid w:val="00711B64"/>
    <w:rsid w:val="007124F6"/>
    <w:rsid w:val="00713ADC"/>
    <w:rsid w:val="00714318"/>
    <w:rsid w:val="00714800"/>
    <w:rsid w:val="00715F9C"/>
    <w:rsid w:val="007168BA"/>
    <w:rsid w:val="00716E16"/>
    <w:rsid w:val="00716E2A"/>
    <w:rsid w:val="00716E3A"/>
    <w:rsid w:val="007177E9"/>
    <w:rsid w:val="0071795B"/>
    <w:rsid w:val="00720181"/>
    <w:rsid w:val="007204CF"/>
    <w:rsid w:val="0072212B"/>
    <w:rsid w:val="00722A42"/>
    <w:rsid w:val="007232A2"/>
    <w:rsid w:val="007233F5"/>
    <w:rsid w:val="00724256"/>
    <w:rsid w:val="00724DBA"/>
    <w:rsid w:val="007261ED"/>
    <w:rsid w:val="0072688A"/>
    <w:rsid w:val="0072707E"/>
    <w:rsid w:val="00727369"/>
    <w:rsid w:val="007307F1"/>
    <w:rsid w:val="007308C9"/>
    <w:rsid w:val="00732CDF"/>
    <w:rsid w:val="007338F3"/>
    <w:rsid w:val="00734451"/>
    <w:rsid w:val="00735506"/>
    <w:rsid w:val="007378B3"/>
    <w:rsid w:val="007378E2"/>
    <w:rsid w:val="00740656"/>
    <w:rsid w:val="00740A8E"/>
    <w:rsid w:val="007411E4"/>
    <w:rsid w:val="00741619"/>
    <w:rsid w:val="00741F92"/>
    <w:rsid w:val="007423E6"/>
    <w:rsid w:val="00742FF2"/>
    <w:rsid w:val="00743073"/>
    <w:rsid w:val="007432BC"/>
    <w:rsid w:val="00743E57"/>
    <w:rsid w:val="007443B7"/>
    <w:rsid w:val="007447E9"/>
    <w:rsid w:val="0074481D"/>
    <w:rsid w:val="007453B4"/>
    <w:rsid w:val="00746D0C"/>
    <w:rsid w:val="00750169"/>
    <w:rsid w:val="00750BFC"/>
    <w:rsid w:val="00751120"/>
    <w:rsid w:val="0075148E"/>
    <w:rsid w:val="00752055"/>
    <w:rsid w:val="00752743"/>
    <w:rsid w:val="00753A6B"/>
    <w:rsid w:val="00753D3B"/>
    <w:rsid w:val="00754BED"/>
    <w:rsid w:val="00756C23"/>
    <w:rsid w:val="00756ED3"/>
    <w:rsid w:val="00756F46"/>
    <w:rsid w:val="00760AF8"/>
    <w:rsid w:val="007617AF"/>
    <w:rsid w:val="00761845"/>
    <w:rsid w:val="00761BEC"/>
    <w:rsid w:val="007627E8"/>
    <w:rsid w:val="00763696"/>
    <w:rsid w:val="00763BA9"/>
    <w:rsid w:val="00763F49"/>
    <w:rsid w:val="00764EA8"/>
    <w:rsid w:val="007653F4"/>
    <w:rsid w:val="0076586E"/>
    <w:rsid w:val="00765E6C"/>
    <w:rsid w:val="0076659C"/>
    <w:rsid w:val="007675F8"/>
    <w:rsid w:val="00767766"/>
    <w:rsid w:val="00767AB8"/>
    <w:rsid w:val="00770FA4"/>
    <w:rsid w:val="00771479"/>
    <w:rsid w:val="007721EB"/>
    <w:rsid w:val="00772A06"/>
    <w:rsid w:val="00772E39"/>
    <w:rsid w:val="00772F92"/>
    <w:rsid w:val="0077393D"/>
    <w:rsid w:val="00773A0C"/>
    <w:rsid w:val="00774AE6"/>
    <w:rsid w:val="00775AAB"/>
    <w:rsid w:val="00775F8F"/>
    <w:rsid w:val="0077637D"/>
    <w:rsid w:val="007763E8"/>
    <w:rsid w:val="00776529"/>
    <w:rsid w:val="00777C66"/>
    <w:rsid w:val="00780BAF"/>
    <w:rsid w:val="00781640"/>
    <w:rsid w:val="007817C1"/>
    <w:rsid w:val="00781FCC"/>
    <w:rsid w:val="0078214A"/>
    <w:rsid w:val="007829FA"/>
    <w:rsid w:val="00782BFB"/>
    <w:rsid w:val="00782FDD"/>
    <w:rsid w:val="007830DD"/>
    <w:rsid w:val="0078374B"/>
    <w:rsid w:val="00784007"/>
    <w:rsid w:val="00784090"/>
    <w:rsid w:val="00784EE3"/>
    <w:rsid w:val="00784F27"/>
    <w:rsid w:val="00784FF4"/>
    <w:rsid w:val="00786043"/>
    <w:rsid w:val="00787165"/>
    <w:rsid w:val="00787285"/>
    <w:rsid w:val="00787314"/>
    <w:rsid w:val="00787732"/>
    <w:rsid w:val="00790470"/>
    <w:rsid w:val="007917B3"/>
    <w:rsid w:val="00791828"/>
    <w:rsid w:val="00791BC3"/>
    <w:rsid w:val="007920FE"/>
    <w:rsid w:val="00794247"/>
    <w:rsid w:val="00794B41"/>
    <w:rsid w:val="007973BE"/>
    <w:rsid w:val="007979FE"/>
    <w:rsid w:val="007A0CF4"/>
    <w:rsid w:val="007A0F86"/>
    <w:rsid w:val="007A22F9"/>
    <w:rsid w:val="007A3423"/>
    <w:rsid w:val="007A35C6"/>
    <w:rsid w:val="007A45B6"/>
    <w:rsid w:val="007A5801"/>
    <w:rsid w:val="007A5AD7"/>
    <w:rsid w:val="007A5EA7"/>
    <w:rsid w:val="007A61C3"/>
    <w:rsid w:val="007A6B4F"/>
    <w:rsid w:val="007A7636"/>
    <w:rsid w:val="007A764B"/>
    <w:rsid w:val="007B0AB2"/>
    <w:rsid w:val="007B2212"/>
    <w:rsid w:val="007B392F"/>
    <w:rsid w:val="007B3B0D"/>
    <w:rsid w:val="007B45B7"/>
    <w:rsid w:val="007B5CCE"/>
    <w:rsid w:val="007C04A9"/>
    <w:rsid w:val="007C2007"/>
    <w:rsid w:val="007C2123"/>
    <w:rsid w:val="007C4DE4"/>
    <w:rsid w:val="007C5310"/>
    <w:rsid w:val="007C5DB7"/>
    <w:rsid w:val="007C6425"/>
    <w:rsid w:val="007C680A"/>
    <w:rsid w:val="007C6CA1"/>
    <w:rsid w:val="007D10CA"/>
    <w:rsid w:val="007D1332"/>
    <w:rsid w:val="007D1649"/>
    <w:rsid w:val="007D1B76"/>
    <w:rsid w:val="007D1B95"/>
    <w:rsid w:val="007D1E1B"/>
    <w:rsid w:val="007D2F3C"/>
    <w:rsid w:val="007D32FE"/>
    <w:rsid w:val="007D429A"/>
    <w:rsid w:val="007D4464"/>
    <w:rsid w:val="007D4531"/>
    <w:rsid w:val="007D4FEA"/>
    <w:rsid w:val="007D6776"/>
    <w:rsid w:val="007D6B17"/>
    <w:rsid w:val="007E0374"/>
    <w:rsid w:val="007E04D6"/>
    <w:rsid w:val="007E063F"/>
    <w:rsid w:val="007E069B"/>
    <w:rsid w:val="007E06FE"/>
    <w:rsid w:val="007E0741"/>
    <w:rsid w:val="007E1693"/>
    <w:rsid w:val="007E183D"/>
    <w:rsid w:val="007E1E7D"/>
    <w:rsid w:val="007E3271"/>
    <w:rsid w:val="007E32E1"/>
    <w:rsid w:val="007E5122"/>
    <w:rsid w:val="007E54C1"/>
    <w:rsid w:val="007E58A0"/>
    <w:rsid w:val="007E5CD3"/>
    <w:rsid w:val="007E5EBD"/>
    <w:rsid w:val="007E6DBE"/>
    <w:rsid w:val="007E6E7E"/>
    <w:rsid w:val="007F1927"/>
    <w:rsid w:val="007F1B1E"/>
    <w:rsid w:val="007F1E92"/>
    <w:rsid w:val="007F2256"/>
    <w:rsid w:val="007F2B61"/>
    <w:rsid w:val="007F2B90"/>
    <w:rsid w:val="007F366B"/>
    <w:rsid w:val="007F3940"/>
    <w:rsid w:val="007F3B67"/>
    <w:rsid w:val="007F4263"/>
    <w:rsid w:val="007F480B"/>
    <w:rsid w:val="007F5188"/>
    <w:rsid w:val="007F531B"/>
    <w:rsid w:val="007F5F29"/>
    <w:rsid w:val="007F63A1"/>
    <w:rsid w:val="007F6932"/>
    <w:rsid w:val="007F6A82"/>
    <w:rsid w:val="007F6B11"/>
    <w:rsid w:val="007F72E0"/>
    <w:rsid w:val="007F733D"/>
    <w:rsid w:val="007F77C6"/>
    <w:rsid w:val="008011B5"/>
    <w:rsid w:val="008012ED"/>
    <w:rsid w:val="00802A3F"/>
    <w:rsid w:val="00802AE4"/>
    <w:rsid w:val="00803DEC"/>
    <w:rsid w:val="00804D8E"/>
    <w:rsid w:val="00805548"/>
    <w:rsid w:val="008070CE"/>
    <w:rsid w:val="00807403"/>
    <w:rsid w:val="0080741D"/>
    <w:rsid w:val="0081082A"/>
    <w:rsid w:val="008118F7"/>
    <w:rsid w:val="00811E7C"/>
    <w:rsid w:val="008129F0"/>
    <w:rsid w:val="008130EA"/>
    <w:rsid w:val="00814627"/>
    <w:rsid w:val="00814B0F"/>
    <w:rsid w:val="008157F4"/>
    <w:rsid w:val="00816697"/>
    <w:rsid w:val="008171DB"/>
    <w:rsid w:val="008173FB"/>
    <w:rsid w:val="008179A8"/>
    <w:rsid w:val="00820979"/>
    <w:rsid w:val="0082111D"/>
    <w:rsid w:val="008211D7"/>
    <w:rsid w:val="00821836"/>
    <w:rsid w:val="00821982"/>
    <w:rsid w:val="00821DA5"/>
    <w:rsid w:val="00823BFE"/>
    <w:rsid w:val="0082483E"/>
    <w:rsid w:val="00824B3C"/>
    <w:rsid w:val="00824E08"/>
    <w:rsid w:val="008254EB"/>
    <w:rsid w:val="0082557C"/>
    <w:rsid w:val="008258AE"/>
    <w:rsid w:val="008262DB"/>
    <w:rsid w:val="00826BCF"/>
    <w:rsid w:val="00827CE1"/>
    <w:rsid w:val="00827DD1"/>
    <w:rsid w:val="008326A9"/>
    <w:rsid w:val="0083317B"/>
    <w:rsid w:val="0083360A"/>
    <w:rsid w:val="008337D6"/>
    <w:rsid w:val="008349A5"/>
    <w:rsid w:val="0083566A"/>
    <w:rsid w:val="008378D5"/>
    <w:rsid w:val="0083793D"/>
    <w:rsid w:val="00837FAA"/>
    <w:rsid w:val="008400F0"/>
    <w:rsid w:val="00840B83"/>
    <w:rsid w:val="008416A4"/>
    <w:rsid w:val="0084279E"/>
    <w:rsid w:val="00842E41"/>
    <w:rsid w:val="008434EE"/>
    <w:rsid w:val="008446F9"/>
    <w:rsid w:val="00844754"/>
    <w:rsid w:val="00845492"/>
    <w:rsid w:val="008460BB"/>
    <w:rsid w:val="008471C2"/>
    <w:rsid w:val="00850079"/>
    <w:rsid w:val="008503F5"/>
    <w:rsid w:val="00850798"/>
    <w:rsid w:val="00850A7D"/>
    <w:rsid w:val="00850D4F"/>
    <w:rsid w:val="00851962"/>
    <w:rsid w:val="008519D3"/>
    <w:rsid w:val="008536FC"/>
    <w:rsid w:val="00854BED"/>
    <w:rsid w:val="00855E98"/>
    <w:rsid w:val="0085635A"/>
    <w:rsid w:val="008566D2"/>
    <w:rsid w:val="00857628"/>
    <w:rsid w:val="0085778D"/>
    <w:rsid w:val="00857FD4"/>
    <w:rsid w:val="008603AB"/>
    <w:rsid w:val="008614F7"/>
    <w:rsid w:val="00861647"/>
    <w:rsid w:val="00862073"/>
    <w:rsid w:val="008621DB"/>
    <w:rsid w:val="008622F8"/>
    <w:rsid w:val="00863123"/>
    <w:rsid w:val="008637C1"/>
    <w:rsid w:val="0086431F"/>
    <w:rsid w:val="00864616"/>
    <w:rsid w:val="00864AD1"/>
    <w:rsid w:val="00864CF2"/>
    <w:rsid w:val="0086724E"/>
    <w:rsid w:val="008673D6"/>
    <w:rsid w:val="008700CF"/>
    <w:rsid w:val="0087012F"/>
    <w:rsid w:val="00871115"/>
    <w:rsid w:val="00871D7B"/>
    <w:rsid w:val="00871F4E"/>
    <w:rsid w:val="008720C3"/>
    <w:rsid w:val="008721DB"/>
    <w:rsid w:val="00873E04"/>
    <w:rsid w:val="008742AA"/>
    <w:rsid w:val="00874D6C"/>
    <w:rsid w:val="00875610"/>
    <w:rsid w:val="0087655C"/>
    <w:rsid w:val="00876FE6"/>
    <w:rsid w:val="00877406"/>
    <w:rsid w:val="00877B9A"/>
    <w:rsid w:val="00877D8A"/>
    <w:rsid w:val="008806D6"/>
    <w:rsid w:val="0088088A"/>
    <w:rsid w:val="00880CB2"/>
    <w:rsid w:val="00882F57"/>
    <w:rsid w:val="00882F6B"/>
    <w:rsid w:val="00882FEA"/>
    <w:rsid w:val="00883237"/>
    <w:rsid w:val="00883674"/>
    <w:rsid w:val="00884723"/>
    <w:rsid w:val="00884F65"/>
    <w:rsid w:val="00886462"/>
    <w:rsid w:val="00890B17"/>
    <w:rsid w:val="00890FCC"/>
    <w:rsid w:val="008910FF"/>
    <w:rsid w:val="00891126"/>
    <w:rsid w:val="00891678"/>
    <w:rsid w:val="0089252D"/>
    <w:rsid w:val="0089254F"/>
    <w:rsid w:val="0089261A"/>
    <w:rsid w:val="00892F5E"/>
    <w:rsid w:val="008934D0"/>
    <w:rsid w:val="008945D9"/>
    <w:rsid w:val="00894BED"/>
    <w:rsid w:val="008952D1"/>
    <w:rsid w:val="00895795"/>
    <w:rsid w:val="00895CAF"/>
    <w:rsid w:val="00895EB5"/>
    <w:rsid w:val="0089624B"/>
    <w:rsid w:val="0089661A"/>
    <w:rsid w:val="008971AD"/>
    <w:rsid w:val="008A0AE1"/>
    <w:rsid w:val="008A0FF9"/>
    <w:rsid w:val="008A1017"/>
    <w:rsid w:val="008A1150"/>
    <w:rsid w:val="008A14A5"/>
    <w:rsid w:val="008A1D6E"/>
    <w:rsid w:val="008A28E7"/>
    <w:rsid w:val="008A32B1"/>
    <w:rsid w:val="008A3613"/>
    <w:rsid w:val="008A3A20"/>
    <w:rsid w:val="008A44A7"/>
    <w:rsid w:val="008A495C"/>
    <w:rsid w:val="008A648B"/>
    <w:rsid w:val="008A6FAE"/>
    <w:rsid w:val="008B0DC3"/>
    <w:rsid w:val="008B0DEF"/>
    <w:rsid w:val="008B0F4A"/>
    <w:rsid w:val="008B14A2"/>
    <w:rsid w:val="008B14A7"/>
    <w:rsid w:val="008B15CB"/>
    <w:rsid w:val="008B1B19"/>
    <w:rsid w:val="008B24E1"/>
    <w:rsid w:val="008B2A84"/>
    <w:rsid w:val="008B2C35"/>
    <w:rsid w:val="008B37F0"/>
    <w:rsid w:val="008B4195"/>
    <w:rsid w:val="008B5EC4"/>
    <w:rsid w:val="008B615A"/>
    <w:rsid w:val="008B62FA"/>
    <w:rsid w:val="008B634E"/>
    <w:rsid w:val="008B6DBD"/>
    <w:rsid w:val="008B712A"/>
    <w:rsid w:val="008C1044"/>
    <w:rsid w:val="008C25AA"/>
    <w:rsid w:val="008C25DB"/>
    <w:rsid w:val="008C28D8"/>
    <w:rsid w:val="008C33D0"/>
    <w:rsid w:val="008C3F73"/>
    <w:rsid w:val="008C443D"/>
    <w:rsid w:val="008C578C"/>
    <w:rsid w:val="008C5CA3"/>
    <w:rsid w:val="008C5CCB"/>
    <w:rsid w:val="008C6085"/>
    <w:rsid w:val="008C6C58"/>
    <w:rsid w:val="008C7B6A"/>
    <w:rsid w:val="008D08F3"/>
    <w:rsid w:val="008D0965"/>
    <w:rsid w:val="008D0E12"/>
    <w:rsid w:val="008D18D1"/>
    <w:rsid w:val="008D1D6F"/>
    <w:rsid w:val="008D2316"/>
    <w:rsid w:val="008D233A"/>
    <w:rsid w:val="008D2B7D"/>
    <w:rsid w:val="008D2CA2"/>
    <w:rsid w:val="008D31A5"/>
    <w:rsid w:val="008D31F6"/>
    <w:rsid w:val="008D465B"/>
    <w:rsid w:val="008D4772"/>
    <w:rsid w:val="008D53C6"/>
    <w:rsid w:val="008D6801"/>
    <w:rsid w:val="008D6AFD"/>
    <w:rsid w:val="008E0A2F"/>
    <w:rsid w:val="008E105E"/>
    <w:rsid w:val="008E1706"/>
    <w:rsid w:val="008E1D06"/>
    <w:rsid w:val="008E2177"/>
    <w:rsid w:val="008E2B6A"/>
    <w:rsid w:val="008E2D7B"/>
    <w:rsid w:val="008E2F90"/>
    <w:rsid w:val="008E3273"/>
    <w:rsid w:val="008E3700"/>
    <w:rsid w:val="008E5BC3"/>
    <w:rsid w:val="008E6D2F"/>
    <w:rsid w:val="008E6F33"/>
    <w:rsid w:val="008E70F0"/>
    <w:rsid w:val="008F07ED"/>
    <w:rsid w:val="008F08FB"/>
    <w:rsid w:val="008F0E41"/>
    <w:rsid w:val="008F178F"/>
    <w:rsid w:val="008F1A78"/>
    <w:rsid w:val="008F32A6"/>
    <w:rsid w:val="008F40B5"/>
    <w:rsid w:val="008F47A8"/>
    <w:rsid w:val="008F4B3B"/>
    <w:rsid w:val="008F4F9D"/>
    <w:rsid w:val="008F51E2"/>
    <w:rsid w:val="008F5405"/>
    <w:rsid w:val="008F731D"/>
    <w:rsid w:val="008F7A6C"/>
    <w:rsid w:val="00902315"/>
    <w:rsid w:val="009029B0"/>
    <w:rsid w:val="00903605"/>
    <w:rsid w:val="00903BE1"/>
    <w:rsid w:val="00903C43"/>
    <w:rsid w:val="00904A27"/>
    <w:rsid w:val="00905FC8"/>
    <w:rsid w:val="00907B80"/>
    <w:rsid w:val="00910ECA"/>
    <w:rsid w:val="00911FC8"/>
    <w:rsid w:val="00912C2F"/>
    <w:rsid w:val="009137EF"/>
    <w:rsid w:val="009145AC"/>
    <w:rsid w:val="0091545C"/>
    <w:rsid w:val="009176BC"/>
    <w:rsid w:val="00917ECD"/>
    <w:rsid w:val="00917F59"/>
    <w:rsid w:val="0092029A"/>
    <w:rsid w:val="00920BED"/>
    <w:rsid w:val="00921394"/>
    <w:rsid w:val="00921672"/>
    <w:rsid w:val="009216D4"/>
    <w:rsid w:val="0092211C"/>
    <w:rsid w:val="0092223D"/>
    <w:rsid w:val="0092232F"/>
    <w:rsid w:val="00922596"/>
    <w:rsid w:val="0092285B"/>
    <w:rsid w:val="00922F0A"/>
    <w:rsid w:val="009230B1"/>
    <w:rsid w:val="009236BC"/>
    <w:rsid w:val="0092442D"/>
    <w:rsid w:val="00924697"/>
    <w:rsid w:val="00924862"/>
    <w:rsid w:val="00924F42"/>
    <w:rsid w:val="0092544B"/>
    <w:rsid w:val="009255B9"/>
    <w:rsid w:val="0092564B"/>
    <w:rsid w:val="00925AAC"/>
    <w:rsid w:val="00925E29"/>
    <w:rsid w:val="00926A1B"/>
    <w:rsid w:val="009272B4"/>
    <w:rsid w:val="009273F1"/>
    <w:rsid w:val="0093021E"/>
    <w:rsid w:val="00930660"/>
    <w:rsid w:val="00932E6E"/>
    <w:rsid w:val="009349F6"/>
    <w:rsid w:val="00934A32"/>
    <w:rsid w:val="00934B1C"/>
    <w:rsid w:val="00935148"/>
    <w:rsid w:val="00935648"/>
    <w:rsid w:val="009357AB"/>
    <w:rsid w:val="00935D92"/>
    <w:rsid w:val="00936C61"/>
    <w:rsid w:val="00937394"/>
    <w:rsid w:val="00942CED"/>
    <w:rsid w:val="00943FEB"/>
    <w:rsid w:val="0094406F"/>
    <w:rsid w:val="00944A8D"/>
    <w:rsid w:val="009456D1"/>
    <w:rsid w:val="00945B6C"/>
    <w:rsid w:val="00946E52"/>
    <w:rsid w:val="009477B8"/>
    <w:rsid w:val="009477BE"/>
    <w:rsid w:val="00950257"/>
    <w:rsid w:val="0095085A"/>
    <w:rsid w:val="00950A39"/>
    <w:rsid w:val="00950A74"/>
    <w:rsid w:val="00952401"/>
    <w:rsid w:val="00952437"/>
    <w:rsid w:val="00952948"/>
    <w:rsid w:val="00952F4B"/>
    <w:rsid w:val="00954419"/>
    <w:rsid w:val="009547BD"/>
    <w:rsid w:val="00955270"/>
    <w:rsid w:val="009558DC"/>
    <w:rsid w:val="009558ED"/>
    <w:rsid w:val="00957D6C"/>
    <w:rsid w:val="0096003A"/>
    <w:rsid w:val="00960D87"/>
    <w:rsid w:val="00961766"/>
    <w:rsid w:val="00962353"/>
    <w:rsid w:val="00962F50"/>
    <w:rsid w:val="00963823"/>
    <w:rsid w:val="00963879"/>
    <w:rsid w:val="009646D6"/>
    <w:rsid w:val="00964846"/>
    <w:rsid w:val="00964EEA"/>
    <w:rsid w:val="009650DA"/>
    <w:rsid w:val="0096571A"/>
    <w:rsid w:val="00966165"/>
    <w:rsid w:val="009665E8"/>
    <w:rsid w:val="009668B8"/>
    <w:rsid w:val="0096771E"/>
    <w:rsid w:val="00970CB3"/>
    <w:rsid w:val="00970CE6"/>
    <w:rsid w:val="009717C1"/>
    <w:rsid w:val="00971817"/>
    <w:rsid w:val="0097219A"/>
    <w:rsid w:val="0097291A"/>
    <w:rsid w:val="00972AA5"/>
    <w:rsid w:val="00972ED8"/>
    <w:rsid w:val="00973777"/>
    <w:rsid w:val="009744F0"/>
    <w:rsid w:val="00976349"/>
    <w:rsid w:val="009766A3"/>
    <w:rsid w:val="009768DC"/>
    <w:rsid w:val="009769D0"/>
    <w:rsid w:val="00976A55"/>
    <w:rsid w:val="00976FE1"/>
    <w:rsid w:val="00977CB7"/>
    <w:rsid w:val="00977DE1"/>
    <w:rsid w:val="00980581"/>
    <w:rsid w:val="0098223F"/>
    <w:rsid w:val="00982550"/>
    <w:rsid w:val="0098283C"/>
    <w:rsid w:val="00982F7A"/>
    <w:rsid w:val="00983390"/>
    <w:rsid w:val="009835DA"/>
    <w:rsid w:val="00984A41"/>
    <w:rsid w:val="009857EA"/>
    <w:rsid w:val="00985DFD"/>
    <w:rsid w:val="00986410"/>
    <w:rsid w:val="009868EC"/>
    <w:rsid w:val="0098694B"/>
    <w:rsid w:val="00986982"/>
    <w:rsid w:val="00986C29"/>
    <w:rsid w:val="009908FA"/>
    <w:rsid w:val="00990D66"/>
    <w:rsid w:val="00990DF6"/>
    <w:rsid w:val="0099117B"/>
    <w:rsid w:val="00991E8F"/>
    <w:rsid w:val="009922DD"/>
    <w:rsid w:val="009927A3"/>
    <w:rsid w:val="0099292D"/>
    <w:rsid w:val="00992A0E"/>
    <w:rsid w:val="0099370D"/>
    <w:rsid w:val="0099418D"/>
    <w:rsid w:val="009947D2"/>
    <w:rsid w:val="00995AFA"/>
    <w:rsid w:val="00996293"/>
    <w:rsid w:val="00996B58"/>
    <w:rsid w:val="0099799A"/>
    <w:rsid w:val="009A0BFF"/>
    <w:rsid w:val="009A1732"/>
    <w:rsid w:val="009A29C6"/>
    <w:rsid w:val="009A2B21"/>
    <w:rsid w:val="009A352F"/>
    <w:rsid w:val="009A4B24"/>
    <w:rsid w:val="009A5B29"/>
    <w:rsid w:val="009A5E83"/>
    <w:rsid w:val="009A632B"/>
    <w:rsid w:val="009A69F1"/>
    <w:rsid w:val="009A7480"/>
    <w:rsid w:val="009B0310"/>
    <w:rsid w:val="009B198F"/>
    <w:rsid w:val="009B2669"/>
    <w:rsid w:val="009B447A"/>
    <w:rsid w:val="009B4759"/>
    <w:rsid w:val="009B5D39"/>
    <w:rsid w:val="009B63A0"/>
    <w:rsid w:val="009B6957"/>
    <w:rsid w:val="009B782E"/>
    <w:rsid w:val="009B7D43"/>
    <w:rsid w:val="009B7E43"/>
    <w:rsid w:val="009B7EAF"/>
    <w:rsid w:val="009C0647"/>
    <w:rsid w:val="009C1D56"/>
    <w:rsid w:val="009C205E"/>
    <w:rsid w:val="009C2D01"/>
    <w:rsid w:val="009C2E18"/>
    <w:rsid w:val="009C2EF3"/>
    <w:rsid w:val="009C2F50"/>
    <w:rsid w:val="009C317A"/>
    <w:rsid w:val="009C4B1E"/>
    <w:rsid w:val="009C5A90"/>
    <w:rsid w:val="009C5DBA"/>
    <w:rsid w:val="009C60B4"/>
    <w:rsid w:val="009C739C"/>
    <w:rsid w:val="009C7EA5"/>
    <w:rsid w:val="009D114E"/>
    <w:rsid w:val="009D1B3B"/>
    <w:rsid w:val="009D1FB0"/>
    <w:rsid w:val="009D2221"/>
    <w:rsid w:val="009D2D79"/>
    <w:rsid w:val="009D3278"/>
    <w:rsid w:val="009D47F7"/>
    <w:rsid w:val="009D4BBB"/>
    <w:rsid w:val="009D4CE0"/>
    <w:rsid w:val="009D5100"/>
    <w:rsid w:val="009D6928"/>
    <w:rsid w:val="009E0055"/>
    <w:rsid w:val="009E0553"/>
    <w:rsid w:val="009E13E5"/>
    <w:rsid w:val="009E174E"/>
    <w:rsid w:val="009E226C"/>
    <w:rsid w:val="009E326C"/>
    <w:rsid w:val="009E4290"/>
    <w:rsid w:val="009E4301"/>
    <w:rsid w:val="009E4323"/>
    <w:rsid w:val="009E47B1"/>
    <w:rsid w:val="009E5E6B"/>
    <w:rsid w:val="009E62CA"/>
    <w:rsid w:val="009E6523"/>
    <w:rsid w:val="009E67BD"/>
    <w:rsid w:val="009E6BAD"/>
    <w:rsid w:val="009E76F1"/>
    <w:rsid w:val="009F0698"/>
    <w:rsid w:val="009F1598"/>
    <w:rsid w:val="009F1636"/>
    <w:rsid w:val="009F23D8"/>
    <w:rsid w:val="009F2AFD"/>
    <w:rsid w:val="009F3537"/>
    <w:rsid w:val="009F3B47"/>
    <w:rsid w:val="009F49A3"/>
    <w:rsid w:val="009F4D0B"/>
    <w:rsid w:val="009F5CA5"/>
    <w:rsid w:val="009F5D52"/>
    <w:rsid w:val="009F7158"/>
    <w:rsid w:val="00A00136"/>
    <w:rsid w:val="00A0030C"/>
    <w:rsid w:val="00A00661"/>
    <w:rsid w:val="00A00F74"/>
    <w:rsid w:val="00A01019"/>
    <w:rsid w:val="00A012AF"/>
    <w:rsid w:val="00A01A30"/>
    <w:rsid w:val="00A02108"/>
    <w:rsid w:val="00A02218"/>
    <w:rsid w:val="00A022CF"/>
    <w:rsid w:val="00A02373"/>
    <w:rsid w:val="00A02889"/>
    <w:rsid w:val="00A02FDF"/>
    <w:rsid w:val="00A063EB"/>
    <w:rsid w:val="00A06AD4"/>
    <w:rsid w:val="00A076B9"/>
    <w:rsid w:val="00A10675"/>
    <w:rsid w:val="00A10DE7"/>
    <w:rsid w:val="00A10EDA"/>
    <w:rsid w:val="00A134A5"/>
    <w:rsid w:val="00A138E7"/>
    <w:rsid w:val="00A139B9"/>
    <w:rsid w:val="00A13D7F"/>
    <w:rsid w:val="00A13E53"/>
    <w:rsid w:val="00A140CF"/>
    <w:rsid w:val="00A14138"/>
    <w:rsid w:val="00A1459F"/>
    <w:rsid w:val="00A14D2B"/>
    <w:rsid w:val="00A200CC"/>
    <w:rsid w:val="00A20A24"/>
    <w:rsid w:val="00A20F33"/>
    <w:rsid w:val="00A22033"/>
    <w:rsid w:val="00A222BE"/>
    <w:rsid w:val="00A233B9"/>
    <w:rsid w:val="00A23AFC"/>
    <w:rsid w:val="00A2412A"/>
    <w:rsid w:val="00A24A9F"/>
    <w:rsid w:val="00A26617"/>
    <w:rsid w:val="00A26B71"/>
    <w:rsid w:val="00A26DEA"/>
    <w:rsid w:val="00A27278"/>
    <w:rsid w:val="00A3021E"/>
    <w:rsid w:val="00A30E68"/>
    <w:rsid w:val="00A31120"/>
    <w:rsid w:val="00A31249"/>
    <w:rsid w:val="00A318BD"/>
    <w:rsid w:val="00A32512"/>
    <w:rsid w:val="00A335CD"/>
    <w:rsid w:val="00A34343"/>
    <w:rsid w:val="00A34900"/>
    <w:rsid w:val="00A358A0"/>
    <w:rsid w:val="00A35B2A"/>
    <w:rsid w:val="00A3718C"/>
    <w:rsid w:val="00A37531"/>
    <w:rsid w:val="00A37547"/>
    <w:rsid w:val="00A37AE8"/>
    <w:rsid w:val="00A41212"/>
    <w:rsid w:val="00A41B38"/>
    <w:rsid w:val="00A4218F"/>
    <w:rsid w:val="00A43BC9"/>
    <w:rsid w:val="00A44286"/>
    <w:rsid w:val="00A44AE2"/>
    <w:rsid w:val="00A44EFB"/>
    <w:rsid w:val="00A45380"/>
    <w:rsid w:val="00A45B1A"/>
    <w:rsid w:val="00A45BB0"/>
    <w:rsid w:val="00A45C29"/>
    <w:rsid w:val="00A4636E"/>
    <w:rsid w:val="00A4719B"/>
    <w:rsid w:val="00A503E2"/>
    <w:rsid w:val="00A5056A"/>
    <w:rsid w:val="00A507B1"/>
    <w:rsid w:val="00A50D9E"/>
    <w:rsid w:val="00A50E47"/>
    <w:rsid w:val="00A51228"/>
    <w:rsid w:val="00A52C0F"/>
    <w:rsid w:val="00A537A3"/>
    <w:rsid w:val="00A54793"/>
    <w:rsid w:val="00A54D21"/>
    <w:rsid w:val="00A54DDB"/>
    <w:rsid w:val="00A5508C"/>
    <w:rsid w:val="00A55D25"/>
    <w:rsid w:val="00A5739B"/>
    <w:rsid w:val="00A605D1"/>
    <w:rsid w:val="00A60775"/>
    <w:rsid w:val="00A61229"/>
    <w:rsid w:val="00A61CC1"/>
    <w:rsid w:val="00A622F8"/>
    <w:rsid w:val="00A62767"/>
    <w:rsid w:val="00A63B5A"/>
    <w:rsid w:val="00A63CC9"/>
    <w:rsid w:val="00A642E5"/>
    <w:rsid w:val="00A65187"/>
    <w:rsid w:val="00A66835"/>
    <w:rsid w:val="00A668E8"/>
    <w:rsid w:val="00A66D06"/>
    <w:rsid w:val="00A67160"/>
    <w:rsid w:val="00A703D2"/>
    <w:rsid w:val="00A709A8"/>
    <w:rsid w:val="00A70D22"/>
    <w:rsid w:val="00A70D64"/>
    <w:rsid w:val="00A710B3"/>
    <w:rsid w:val="00A715FA"/>
    <w:rsid w:val="00A71769"/>
    <w:rsid w:val="00A72D37"/>
    <w:rsid w:val="00A72DA3"/>
    <w:rsid w:val="00A740C3"/>
    <w:rsid w:val="00A74224"/>
    <w:rsid w:val="00A742EB"/>
    <w:rsid w:val="00A74FB8"/>
    <w:rsid w:val="00A75118"/>
    <w:rsid w:val="00A754F8"/>
    <w:rsid w:val="00A76C24"/>
    <w:rsid w:val="00A76FA9"/>
    <w:rsid w:val="00A7742B"/>
    <w:rsid w:val="00A775EB"/>
    <w:rsid w:val="00A77969"/>
    <w:rsid w:val="00A77AAB"/>
    <w:rsid w:val="00A8023B"/>
    <w:rsid w:val="00A808F2"/>
    <w:rsid w:val="00A81684"/>
    <w:rsid w:val="00A82934"/>
    <w:rsid w:val="00A82AA0"/>
    <w:rsid w:val="00A839CF"/>
    <w:rsid w:val="00A83F13"/>
    <w:rsid w:val="00A84A49"/>
    <w:rsid w:val="00A8515D"/>
    <w:rsid w:val="00A852E8"/>
    <w:rsid w:val="00A85C68"/>
    <w:rsid w:val="00A85D54"/>
    <w:rsid w:val="00A86D15"/>
    <w:rsid w:val="00A91819"/>
    <w:rsid w:val="00A92742"/>
    <w:rsid w:val="00A931FF"/>
    <w:rsid w:val="00A93672"/>
    <w:rsid w:val="00A951DD"/>
    <w:rsid w:val="00A959D1"/>
    <w:rsid w:val="00A960A7"/>
    <w:rsid w:val="00A96AB7"/>
    <w:rsid w:val="00A97EF1"/>
    <w:rsid w:val="00AA0527"/>
    <w:rsid w:val="00AA21BD"/>
    <w:rsid w:val="00AA26FE"/>
    <w:rsid w:val="00AA2A88"/>
    <w:rsid w:val="00AA3B81"/>
    <w:rsid w:val="00AA3E4A"/>
    <w:rsid w:val="00AA40E3"/>
    <w:rsid w:val="00AA45A8"/>
    <w:rsid w:val="00AA4828"/>
    <w:rsid w:val="00AA6541"/>
    <w:rsid w:val="00AA6654"/>
    <w:rsid w:val="00AA6B8A"/>
    <w:rsid w:val="00AA7044"/>
    <w:rsid w:val="00AB0134"/>
    <w:rsid w:val="00AB07D2"/>
    <w:rsid w:val="00AB0D0E"/>
    <w:rsid w:val="00AB0E23"/>
    <w:rsid w:val="00AB1E22"/>
    <w:rsid w:val="00AB1F29"/>
    <w:rsid w:val="00AB2112"/>
    <w:rsid w:val="00AB2AB3"/>
    <w:rsid w:val="00AB334D"/>
    <w:rsid w:val="00AB3DF0"/>
    <w:rsid w:val="00AB46E8"/>
    <w:rsid w:val="00AB4804"/>
    <w:rsid w:val="00AB5F1C"/>
    <w:rsid w:val="00AB665C"/>
    <w:rsid w:val="00AB69D4"/>
    <w:rsid w:val="00AB7422"/>
    <w:rsid w:val="00AB7D1E"/>
    <w:rsid w:val="00AC02A8"/>
    <w:rsid w:val="00AC02B0"/>
    <w:rsid w:val="00AC02B1"/>
    <w:rsid w:val="00AC0464"/>
    <w:rsid w:val="00AC067B"/>
    <w:rsid w:val="00AC1713"/>
    <w:rsid w:val="00AC1AC1"/>
    <w:rsid w:val="00AC25B3"/>
    <w:rsid w:val="00AC2E1B"/>
    <w:rsid w:val="00AC34F8"/>
    <w:rsid w:val="00AC370A"/>
    <w:rsid w:val="00AC3B32"/>
    <w:rsid w:val="00AC4207"/>
    <w:rsid w:val="00AC55E1"/>
    <w:rsid w:val="00AC570C"/>
    <w:rsid w:val="00AC5903"/>
    <w:rsid w:val="00AC59DB"/>
    <w:rsid w:val="00AC5C1A"/>
    <w:rsid w:val="00AC62DC"/>
    <w:rsid w:val="00AC682E"/>
    <w:rsid w:val="00AC686B"/>
    <w:rsid w:val="00AC6FDA"/>
    <w:rsid w:val="00AC76D7"/>
    <w:rsid w:val="00AD142C"/>
    <w:rsid w:val="00AD150A"/>
    <w:rsid w:val="00AD1C74"/>
    <w:rsid w:val="00AD2E21"/>
    <w:rsid w:val="00AD33A5"/>
    <w:rsid w:val="00AD3E4C"/>
    <w:rsid w:val="00AD40E8"/>
    <w:rsid w:val="00AD4470"/>
    <w:rsid w:val="00AD5D0E"/>
    <w:rsid w:val="00AD699A"/>
    <w:rsid w:val="00AD6A0C"/>
    <w:rsid w:val="00AD72D0"/>
    <w:rsid w:val="00AD7D6B"/>
    <w:rsid w:val="00AD7DBC"/>
    <w:rsid w:val="00AE236C"/>
    <w:rsid w:val="00AE2BFA"/>
    <w:rsid w:val="00AE2C4C"/>
    <w:rsid w:val="00AE3521"/>
    <w:rsid w:val="00AE3523"/>
    <w:rsid w:val="00AE397E"/>
    <w:rsid w:val="00AE4973"/>
    <w:rsid w:val="00AE57FE"/>
    <w:rsid w:val="00AE5854"/>
    <w:rsid w:val="00AE69CE"/>
    <w:rsid w:val="00AF0A15"/>
    <w:rsid w:val="00AF1742"/>
    <w:rsid w:val="00AF18FA"/>
    <w:rsid w:val="00AF194F"/>
    <w:rsid w:val="00AF1D89"/>
    <w:rsid w:val="00AF2A83"/>
    <w:rsid w:val="00AF34E9"/>
    <w:rsid w:val="00AF39F2"/>
    <w:rsid w:val="00AF3B6B"/>
    <w:rsid w:val="00AF5594"/>
    <w:rsid w:val="00AF5B12"/>
    <w:rsid w:val="00AF75E3"/>
    <w:rsid w:val="00AF7B91"/>
    <w:rsid w:val="00B00864"/>
    <w:rsid w:val="00B01840"/>
    <w:rsid w:val="00B01A10"/>
    <w:rsid w:val="00B0234D"/>
    <w:rsid w:val="00B02984"/>
    <w:rsid w:val="00B0352D"/>
    <w:rsid w:val="00B03D27"/>
    <w:rsid w:val="00B04461"/>
    <w:rsid w:val="00B04932"/>
    <w:rsid w:val="00B04AAE"/>
    <w:rsid w:val="00B057AA"/>
    <w:rsid w:val="00B06815"/>
    <w:rsid w:val="00B06EFD"/>
    <w:rsid w:val="00B07CBE"/>
    <w:rsid w:val="00B07ED4"/>
    <w:rsid w:val="00B10941"/>
    <w:rsid w:val="00B10E76"/>
    <w:rsid w:val="00B114F9"/>
    <w:rsid w:val="00B11652"/>
    <w:rsid w:val="00B11CCB"/>
    <w:rsid w:val="00B12C12"/>
    <w:rsid w:val="00B12E31"/>
    <w:rsid w:val="00B12FDD"/>
    <w:rsid w:val="00B135B3"/>
    <w:rsid w:val="00B13BF5"/>
    <w:rsid w:val="00B13DE0"/>
    <w:rsid w:val="00B14289"/>
    <w:rsid w:val="00B149D1"/>
    <w:rsid w:val="00B14B5D"/>
    <w:rsid w:val="00B16289"/>
    <w:rsid w:val="00B16356"/>
    <w:rsid w:val="00B1701C"/>
    <w:rsid w:val="00B172CC"/>
    <w:rsid w:val="00B2092D"/>
    <w:rsid w:val="00B20D85"/>
    <w:rsid w:val="00B20DDD"/>
    <w:rsid w:val="00B21A5A"/>
    <w:rsid w:val="00B22D01"/>
    <w:rsid w:val="00B2333A"/>
    <w:rsid w:val="00B2339B"/>
    <w:rsid w:val="00B233EA"/>
    <w:rsid w:val="00B2361F"/>
    <w:rsid w:val="00B23DCC"/>
    <w:rsid w:val="00B241A7"/>
    <w:rsid w:val="00B24319"/>
    <w:rsid w:val="00B24799"/>
    <w:rsid w:val="00B24A4A"/>
    <w:rsid w:val="00B24AF1"/>
    <w:rsid w:val="00B2504F"/>
    <w:rsid w:val="00B25314"/>
    <w:rsid w:val="00B2587E"/>
    <w:rsid w:val="00B25957"/>
    <w:rsid w:val="00B25C2F"/>
    <w:rsid w:val="00B3079D"/>
    <w:rsid w:val="00B30FB2"/>
    <w:rsid w:val="00B3160E"/>
    <w:rsid w:val="00B3176A"/>
    <w:rsid w:val="00B31943"/>
    <w:rsid w:val="00B324A6"/>
    <w:rsid w:val="00B32E76"/>
    <w:rsid w:val="00B3498B"/>
    <w:rsid w:val="00B34F8E"/>
    <w:rsid w:val="00B35829"/>
    <w:rsid w:val="00B363ED"/>
    <w:rsid w:val="00B37EF4"/>
    <w:rsid w:val="00B37F72"/>
    <w:rsid w:val="00B40BF7"/>
    <w:rsid w:val="00B40EE2"/>
    <w:rsid w:val="00B41C5E"/>
    <w:rsid w:val="00B42215"/>
    <w:rsid w:val="00B426BD"/>
    <w:rsid w:val="00B42D18"/>
    <w:rsid w:val="00B43584"/>
    <w:rsid w:val="00B44446"/>
    <w:rsid w:val="00B4477A"/>
    <w:rsid w:val="00B45994"/>
    <w:rsid w:val="00B45BB3"/>
    <w:rsid w:val="00B45D95"/>
    <w:rsid w:val="00B460BD"/>
    <w:rsid w:val="00B4687F"/>
    <w:rsid w:val="00B46FCC"/>
    <w:rsid w:val="00B474CE"/>
    <w:rsid w:val="00B476AA"/>
    <w:rsid w:val="00B4771B"/>
    <w:rsid w:val="00B512A3"/>
    <w:rsid w:val="00B51AC0"/>
    <w:rsid w:val="00B51CD5"/>
    <w:rsid w:val="00B5350E"/>
    <w:rsid w:val="00B538F4"/>
    <w:rsid w:val="00B544A0"/>
    <w:rsid w:val="00B54EA2"/>
    <w:rsid w:val="00B55439"/>
    <w:rsid w:val="00B557E2"/>
    <w:rsid w:val="00B55ADB"/>
    <w:rsid w:val="00B5639A"/>
    <w:rsid w:val="00B56BA3"/>
    <w:rsid w:val="00B56EA2"/>
    <w:rsid w:val="00B57C90"/>
    <w:rsid w:val="00B60FDB"/>
    <w:rsid w:val="00B62FC5"/>
    <w:rsid w:val="00B6375D"/>
    <w:rsid w:val="00B63C15"/>
    <w:rsid w:val="00B63EC3"/>
    <w:rsid w:val="00B648C0"/>
    <w:rsid w:val="00B65EFA"/>
    <w:rsid w:val="00B6605B"/>
    <w:rsid w:val="00B6639B"/>
    <w:rsid w:val="00B66401"/>
    <w:rsid w:val="00B66404"/>
    <w:rsid w:val="00B6674F"/>
    <w:rsid w:val="00B67C08"/>
    <w:rsid w:val="00B708F8"/>
    <w:rsid w:val="00B70C95"/>
    <w:rsid w:val="00B714CB"/>
    <w:rsid w:val="00B71C44"/>
    <w:rsid w:val="00B7352F"/>
    <w:rsid w:val="00B74088"/>
    <w:rsid w:val="00B74861"/>
    <w:rsid w:val="00B748A6"/>
    <w:rsid w:val="00B74ADF"/>
    <w:rsid w:val="00B75D49"/>
    <w:rsid w:val="00B75E9D"/>
    <w:rsid w:val="00B778AC"/>
    <w:rsid w:val="00B8108C"/>
    <w:rsid w:val="00B81D18"/>
    <w:rsid w:val="00B86986"/>
    <w:rsid w:val="00B86A71"/>
    <w:rsid w:val="00B87078"/>
    <w:rsid w:val="00B8719E"/>
    <w:rsid w:val="00B87233"/>
    <w:rsid w:val="00B919B9"/>
    <w:rsid w:val="00B91C2C"/>
    <w:rsid w:val="00B92650"/>
    <w:rsid w:val="00B93212"/>
    <w:rsid w:val="00B938AC"/>
    <w:rsid w:val="00B95993"/>
    <w:rsid w:val="00B95E80"/>
    <w:rsid w:val="00B96575"/>
    <w:rsid w:val="00B96EAD"/>
    <w:rsid w:val="00BA03C3"/>
    <w:rsid w:val="00BA12A1"/>
    <w:rsid w:val="00BA1711"/>
    <w:rsid w:val="00BA1B88"/>
    <w:rsid w:val="00BA1F45"/>
    <w:rsid w:val="00BA239A"/>
    <w:rsid w:val="00BA2492"/>
    <w:rsid w:val="00BA2FE4"/>
    <w:rsid w:val="00BA3985"/>
    <w:rsid w:val="00BA3D63"/>
    <w:rsid w:val="00BA5731"/>
    <w:rsid w:val="00BA7C87"/>
    <w:rsid w:val="00BB06F8"/>
    <w:rsid w:val="00BB08F5"/>
    <w:rsid w:val="00BB0C1C"/>
    <w:rsid w:val="00BB0FF6"/>
    <w:rsid w:val="00BB1910"/>
    <w:rsid w:val="00BB2216"/>
    <w:rsid w:val="00BB2DAC"/>
    <w:rsid w:val="00BB300C"/>
    <w:rsid w:val="00BB31B8"/>
    <w:rsid w:val="00BB386F"/>
    <w:rsid w:val="00BB3C30"/>
    <w:rsid w:val="00BB3D38"/>
    <w:rsid w:val="00BB4870"/>
    <w:rsid w:val="00BB5AB5"/>
    <w:rsid w:val="00BB687F"/>
    <w:rsid w:val="00BC0A69"/>
    <w:rsid w:val="00BC0BAD"/>
    <w:rsid w:val="00BC0F09"/>
    <w:rsid w:val="00BC117B"/>
    <w:rsid w:val="00BC1C32"/>
    <w:rsid w:val="00BC1F0E"/>
    <w:rsid w:val="00BC2047"/>
    <w:rsid w:val="00BC2481"/>
    <w:rsid w:val="00BC355A"/>
    <w:rsid w:val="00BC373E"/>
    <w:rsid w:val="00BC3EB0"/>
    <w:rsid w:val="00BC3EF8"/>
    <w:rsid w:val="00BC44E2"/>
    <w:rsid w:val="00BC563E"/>
    <w:rsid w:val="00BC5A0B"/>
    <w:rsid w:val="00BC6750"/>
    <w:rsid w:val="00BC6AAB"/>
    <w:rsid w:val="00BC6BDD"/>
    <w:rsid w:val="00BC6F21"/>
    <w:rsid w:val="00BD0A68"/>
    <w:rsid w:val="00BD2152"/>
    <w:rsid w:val="00BD2692"/>
    <w:rsid w:val="00BD280D"/>
    <w:rsid w:val="00BD2B94"/>
    <w:rsid w:val="00BD2B9B"/>
    <w:rsid w:val="00BD476B"/>
    <w:rsid w:val="00BD4C3E"/>
    <w:rsid w:val="00BD5D33"/>
    <w:rsid w:val="00BD679B"/>
    <w:rsid w:val="00BD6FEE"/>
    <w:rsid w:val="00BD74F5"/>
    <w:rsid w:val="00BE022B"/>
    <w:rsid w:val="00BE1025"/>
    <w:rsid w:val="00BE1870"/>
    <w:rsid w:val="00BE1F25"/>
    <w:rsid w:val="00BE275E"/>
    <w:rsid w:val="00BE2938"/>
    <w:rsid w:val="00BE2C21"/>
    <w:rsid w:val="00BE391B"/>
    <w:rsid w:val="00BE46AE"/>
    <w:rsid w:val="00BE53D4"/>
    <w:rsid w:val="00BE60A0"/>
    <w:rsid w:val="00BE6372"/>
    <w:rsid w:val="00BE7157"/>
    <w:rsid w:val="00BF079C"/>
    <w:rsid w:val="00BF114C"/>
    <w:rsid w:val="00BF1507"/>
    <w:rsid w:val="00BF3A1A"/>
    <w:rsid w:val="00BF3C8E"/>
    <w:rsid w:val="00BF47DC"/>
    <w:rsid w:val="00BF50B0"/>
    <w:rsid w:val="00BF59D0"/>
    <w:rsid w:val="00BF5B95"/>
    <w:rsid w:val="00BF7BF5"/>
    <w:rsid w:val="00C000CB"/>
    <w:rsid w:val="00C02C60"/>
    <w:rsid w:val="00C02CD4"/>
    <w:rsid w:val="00C02D55"/>
    <w:rsid w:val="00C03E58"/>
    <w:rsid w:val="00C0669B"/>
    <w:rsid w:val="00C0684A"/>
    <w:rsid w:val="00C070ED"/>
    <w:rsid w:val="00C07971"/>
    <w:rsid w:val="00C105AD"/>
    <w:rsid w:val="00C10703"/>
    <w:rsid w:val="00C10E40"/>
    <w:rsid w:val="00C11AE3"/>
    <w:rsid w:val="00C11B3D"/>
    <w:rsid w:val="00C11E8F"/>
    <w:rsid w:val="00C13362"/>
    <w:rsid w:val="00C13AE5"/>
    <w:rsid w:val="00C13B47"/>
    <w:rsid w:val="00C151A8"/>
    <w:rsid w:val="00C1532C"/>
    <w:rsid w:val="00C1536A"/>
    <w:rsid w:val="00C15C1E"/>
    <w:rsid w:val="00C16604"/>
    <w:rsid w:val="00C173A2"/>
    <w:rsid w:val="00C17790"/>
    <w:rsid w:val="00C212F0"/>
    <w:rsid w:val="00C21A60"/>
    <w:rsid w:val="00C235F9"/>
    <w:rsid w:val="00C23F21"/>
    <w:rsid w:val="00C247AC"/>
    <w:rsid w:val="00C24F8C"/>
    <w:rsid w:val="00C25E90"/>
    <w:rsid w:val="00C25EC5"/>
    <w:rsid w:val="00C261B8"/>
    <w:rsid w:val="00C2685C"/>
    <w:rsid w:val="00C27BD6"/>
    <w:rsid w:val="00C30A81"/>
    <w:rsid w:val="00C30E6B"/>
    <w:rsid w:val="00C310A5"/>
    <w:rsid w:val="00C31652"/>
    <w:rsid w:val="00C32FAA"/>
    <w:rsid w:val="00C335B0"/>
    <w:rsid w:val="00C33DFB"/>
    <w:rsid w:val="00C356BB"/>
    <w:rsid w:val="00C35BCF"/>
    <w:rsid w:val="00C3615E"/>
    <w:rsid w:val="00C374A7"/>
    <w:rsid w:val="00C3770A"/>
    <w:rsid w:val="00C4028F"/>
    <w:rsid w:val="00C40834"/>
    <w:rsid w:val="00C408F5"/>
    <w:rsid w:val="00C40C75"/>
    <w:rsid w:val="00C40CA9"/>
    <w:rsid w:val="00C425B1"/>
    <w:rsid w:val="00C42BA9"/>
    <w:rsid w:val="00C43416"/>
    <w:rsid w:val="00C43A4D"/>
    <w:rsid w:val="00C4480C"/>
    <w:rsid w:val="00C4601F"/>
    <w:rsid w:val="00C46465"/>
    <w:rsid w:val="00C46596"/>
    <w:rsid w:val="00C46B55"/>
    <w:rsid w:val="00C46FB5"/>
    <w:rsid w:val="00C518F1"/>
    <w:rsid w:val="00C52435"/>
    <w:rsid w:val="00C52ED4"/>
    <w:rsid w:val="00C52EDE"/>
    <w:rsid w:val="00C52FD4"/>
    <w:rsid w:val="00C532D8"/>
    <w:rsid w:val="00C5345E"/>
    <w:rsid w:val="00C537BB"/>
    <w:rsid w:val="00C539BE"/>
    <w:rsid w:val="00C5427B"/>
    <w:rsid w:val="00C55723"/>
    <w:rsid w:val="00C55A5D"/>
    <w:rsid w:val="00C55CE1"/>
    <w:rsid w:val="00C56CC4"/>
    <w:rsid w:val="00C56F4A"/>
    <w:rsid w:val="00C570A6"/>
    <w:rsid w:val="00C5739D"/>
    <w:rsid w:val="00C57F57"/>
    <w:rsid w:val="00C60340"/>
    <w:rsid w:val="00C6154F"/>
    <w:rsid w:val="00C615AB"/>
    <w:rsid w:val="00C630DB"/>
    <w:rsid w:val="00C6471F"/>
    <w:rsid w:val="00C64880"/>
    <w:rsid w:val="00C6535E"/>
    <w:rsid w:val="00C65A2C"/>
    <w:rsid w:val="00C65D71"/>
    <w:rsid w:val="00C66001"/>
    <w:rsid w:val="00C670C8"/>
    <w:rsid w:val="00C70442"/>
    <w:rsid w:val="00C7093E"/>
    <w:rsid w:val="00C70AD8"/>
    <w:rsid w:val="00C710FA"/>
    <w:rsid w:val="00C722CE"/>
    <w:rsid w:val="00C72C67"/>
    <w:rsid w:val="00C74846"/>
    <w:rsid w:val="00C75427"/>
    <w:rsid w:val="00C767A6"/>
    <w:rsid w:val="00C773A2"/>
    <w:rsid w:val="00C80461"/>
    <w:rsid w:val="00C80849"/>
    <w:rsid w:val="00C8131D"/>
    <w:rsid w:val="00C81BDD"/>
    <w:rsid w:val="00C82A4B"/>
    <w:rsid w:val="00C82AF3"/>
    <w:rsid w:val="00C847A5"/>
    <w:rsid w:val="00C85005"/>
    <w:rsid w:val="00C8583F"/>
    <w:rsid w:val="00C85D02"/>
    <w:rsid w:val="00C876DD"/>
    <w:rsid w:val="00C87DB5"/>
    <w:rsid w:val="00C9001A"/>
    <w:rsid w:val="00C9010D"/>
    <w:rsid w:val="00C9067A"/>
    <w:rsid w:val="00C908C9"/>
    <w:rsid w:val="00C911F4"/>
    <w:rsid w:val="00C92296"/>
    <w:rsid w:val="00C924EB"/>
    <w:rsid w:val="00C92861"/>
    <w:rsid w:val="00C93194"/>
    <w:rsid w:val="00C934C2"/>
    <w:rsid w:val="00C94574"/>
    <w:rsid w:val="00C94823"/>
    <w:rsid w:val="00C95377"/>
    <w:rsid w:val="00C96147"/>
    <w:rsid w:val="00C96796"/>
    <w:rsid w:val="00C977DC"/>
    <w:rsid w:val="00CA0802"/>
    <w:rsid w:val="00CA0AA5"/>
    <w:rsid w:val="00CA1257"/>
    <w:rsid w:val="00CA14FA"/>
    <w:rsid w:val="00CA2E8F"/>
    <w:rsid w:val="00CA309D"/>
    <w:rsid w:val="00CA329D"/>
    <w:rsid w:val="00CA3802"/>
    <w:rsid w:val="00CA4DF6"/>
    <w:rsid w:val="00CA6365"/>
    <w:rsid w:val="00CA643C"/>
    <w:rsid w:val="00CA6F85"/>
    <w:rsid w:val="00CA7516"/>
    <w:rsid w:val="00CA769D"/>
    <w:rsid w:val="00CB0A01"/>
    <w:rsid w:val="00CB0C98"/>
    <w:rsid w:val="00CB117F"/>
    <w:rsid w:val="00CB1831"/>
    <w:rsid w:val="00CB18CE"/>
    <w:rsid w:val="00CB19AF"/>
    <w:rsid w:val="00CB258D"/>
    <w:rsid w:val="00CB28CA"/>
    <w:rsid w:val="00CB2A59"/>
    <w:rsid w:val="00CB453D"/>
    <w:rsid w:val="00CC081C"/>
    <w:rsid w:val="00CC0993"/>
    <w:rsid w:val="00CC0AB7"/>
    <w:rsid w:val="00CC17F2"/>
    <w:rsid w:val="00CC19C4"/>
    <w:rsid w:val="00CC1EBA"/>
    <w:rsid w:val="00CC205B"/>
    <w:rsid w:val="00CC2086"/>
    <w:rsid w:val="00CC24E6"/>
    <w:rsid w:val="00CC2C3C"/>
    <w:rsid w:val="00CC2C4F"/>
    <w:rsid w:val="00CC359B"/>
    <w:rsid w:val="00CC3E18"/>
    <w:rsid w:val="00CC4624"/>
    <w:rsid w:val="00CC46E3"/>
    <w:rsid w:val="00CC4CB6"/>
    <w:rsid w:val="00CC4D2C"/>
    <w:rsid w:val="00CC5A45"/>
    <w:rsid w:val="00CD0520"/>
    <w:rsid w:val="00CD0A42"/>
    <w:rsid w:val="00CD0BA3"/>
    <w:rsid w:val="00CD14B9"/>
    <w:rsid w:val="00CD1C15"/>
    <w:rsid w:val="00CD1FA2"/>
    <w:rsid w:val="00CD3EEA"/>
    <w:rsid w:val="00CD4264"/>
    <w:rsid w:val="00CD51FE"/>
    <w:rsid w:val="00CD521A"/>
    <w:rsid w:val="00CD5B3B"/>
    <w:rsid w:val="00CD66D3"/>
    <w:rsid w:val="00CD6E0F"/>
    <w:rsid w:val="00CD6FA7"/>
    <w:rsid w:val="00CD7396"/>
    <w:rsid w:val="00CD7F22"/>
    <w:rsid w:val="00CE2109"/>
    <w:rsid w:val="00CE3BD9"/>
    <w:rsid w:val="00CE3C4E"/>
    <w:rsid w:val="00CE63D7"/>
    <w:rsid w:val="00CE6450"/>
    <w:rsid w:val="00CE70DF"/>
    <w:rsid w:val="00CF02AA"/>
    <w:rsid w:val="00CF05E3"/>
    <w:rsid w:val="00CF098D"/>
    <w:rsid w:val="00CF1AD3"/>
    <w:rsid w:val="00CF236E"/>
    <w:rsid w:val="00CF3E99"/>
    <w:rsid w:val="00CF4F1F"/>
    <w:rsid w:val="00CF5483"/>
    <w:rsid w:val="00CF7708"/>
    <w:rsid w:val="00D01B5C"/>
    <w:rsid w:val="00D01F4C"/>
    <w:rsid w:val="00D01FF9"/>
    <w:rsid w:val="00D027FE"/>
    <w:rsid w:val="00D03072"/>
    <w:rsid w:val="00D033A8"/>
    <w:rsid w:val="00D03422"/>
    <w:rsid w:val="00D04E3D"/>
    <w:rsid w:val="00D051A8"/>
    <w:rsid w:val="00D05F87"/>
    <w:rsid w:val="00D06D08"/>
    <w:rsid w:val="00D06D6E"/>
    <w:rsid w:val="00D1021E"/>
    <w:rsid w:val="00D11456"/>
    <w:rsid w:val="00D138FC"/>
    <w:rsid w:val="00D13DB0"/>
    <w:rsid w:val="00D1401C"/>
    <w:rsid w:val="00D14324"/>
    <w:rsid w:val="00D14473"/>
    <w:rsid w:val="00D147A3"/>
    <w:rsid w:val="00D1588C"/>
    <w:rsid w:val="00D16C03"/>
    <w:rsid w:val="00D16D33"/>
    <w:rsid w:val="00D17B5E"/>
    <w:rsid w:val="00D20DE8"/>
    <w:rsid w:val="00D21909"/>
    <w:rsid w:val="00D234CB"/>
    <w:rsid w:val="00D236F0"/>
    <w:rsid w:val="00D23B65"/>
    <w:rsid w:val="00D24C74"/>
    <w:rsid w:val="00D257EC"/>
    <w:rsid w:val="00D25837"/>
    <w:rsid w:val="00D26743"/>
    <w:rsid w:val="00D26C0B"/>
    <w:rsid w:val="00D26E36"/>
    <w:rsid w:val="00D27348"/>
    <w:rsid w:val="00D30458"/>
    <w:rsid w:val="00D3093B"/>
    <w:rsid w:val="00D313ED"/>
    <w:rsid w:val="00D314A2"/>
    <w:rsid w:val="00D31951"/>
    <w:rsid w:val="00D32A51"/>
    <w:rsid w:val="00D333F6"/>
    <w:rsid w:val="00D33C57"/>
    <w:rsid w:val="00D35B20"/>
    <w:rsid w:val="00D365A0"/>
    <w:rsid w:val="00D416F6"/>
    <w:rsid w:val="00D417E9"/>
    <w:rsid w:val="00D420FD"/>
    <w:rsid w:val="00D421A9"/>
    <w:rsid w:val="00D43BEA"/>
    <w:rsid w:val="00D43F7E"/>
    <w:rsid w:val="00D44067"/>
    <w:rsid w:val="00D44E1E"/>
    <w:rsid w:val="00D461DB"/>
    <w:rsid w:val="00D46407"/>
    <w:rsid w:val="00D46CCD"/>
    <w:rsid w:val="00D4758C"/>
    <w:rsid w:val="00D52E88"/>
    <w:rsid w:val="00D53951"/>
    <w:rsid w:val="00D53EBF"/>
    <w:rsid w:val="00D548E8"/>
    <w:rsid w:val="00D549F0"/>
    <w:rsid w:val="00D5564A"/>
    <w:rsid w:val="00D55BBF"/>
    <w:rsid w:val="00D562BF"/>
    <w:rsid w:val="00D569CC"/>
    <w:rsid w:val="00D57399"/>
    <w:rsid w:val="00D574E0"/>
    <w:rsid w:val="00D57D9B"/>
    <w:rsid w:val="00D600E7"/>
    <w:rsid w:val="00D604A1"/>
    <w:rsid w:val="00D60C6C"/>
    <w:rsid w:val="00D60F92"/>
    <w:rsid w:val="00D61216"/>
    <w:rsid w:val="00D61488"/>
    <w:rsid w:val="00D61544"/>
    <w:rsid w:val="00D61AB0"/>
    <w:rsid w:val="00D61D73"/>
    <w:rsid w:val="00D640C2"/>
    <w:rsid w:val="00D64428"/>
    <w:rsid w:val="00D64B02"/>
    <w:rsid w:val="00D64D0F"/>
    <w:rsid w:val="00D65418"/>
    <w:rsid w:val="00D66B3E"/>
    <w:rsid w:val="00D6758D"/>
    <w:rsid w:val="00D67B75"/>
    <w:rsid w:val="00D725AF"/>
    <w:rsid w:val="00D743F5"/>
    <w:rsid w:val="00D74A24"/>
    <w:rsid w:val="00D74BF0"/>
    <w:rsid w:val="00D779AC"/>
    <w:rsid w:val="00D81F56"/>
    <w:rsid w:val="00D8247E"/>
    <w:rsid w:val="00D8338A"/>
    <w:rsid w:val="00D83AD3"/>
    <w:rsid w:val="00D84324"/>
    <w:rsid w:val="00D843C8"/>
    <w:rsid w:val="00D845D2"/>
    <w:rsid w:val="00D8481C"/>
    <w:rsid w:val="00D850FD"/>
    <w:rsid w:val="00D871FF"/>
    <w:rsid w:val="00D874F4"/>
    <w:rsid w:val="00D90077"/>
    <w:rsid w:val="00D903F9"/>
    <w:rsid w:val="00D90809"/>
    <w:rsid w:val="00D91467"/>
    <w:rsid w:val="00D914E6"/>
    <w:rsid w:val="00D932D1"/>
    <w:rsid w:val="00D93C2A"/>
    <w:rsid w:val="00D94442"/>
    <w:rsid w:val="00D960D0"/>
    <w:rsid w:val="00D968CE"/>
    <w:rsid w:val="00D970AA"/>
    <w:rsid w:val="00D97EF3"/>
    <w:rsid w:val="00DA1415"/>
    <w:rsid w:val="00DA18D0"/>
    <w:rsid w:val="00DA2005"/>
    <w:rsid w:val="00DA2304"/>
    <w:rsid w:val="00DA294C"/>
    <w:rsid w:val="00DA3BAE"/>
    <w:rsid w:val="00DA5B37"/>
    <w:rsid w:val="00DA5B45"/>
    <w:rsid w:val="00DA64BF"/>
    <w:rsid w:val="00DA64D4"/>
    <w:rsid w:val="00DA6874"/>
    <w:rsid w:val="00DA7635"/>
    <w:rsid w:val="00DA76FA"/>
    <w:rsid w:val="00DB01F7"/>
    <w:rsid w:val="00DB08B5"/>
    <w:rsid w:val="00DB0D29"/>
    <w:rsid w:val="00DB16BE"/>
    <w:rsid w:val="00DB1E7C"/>
    <w:rsid w:val="00DB31AE"/>
    <w:rsid w:val="00DB35B0"/>
    <w:rsid w:val="00DB38B9"/>
    <w:rsid w:val="00DB3D24"/>
    <w:rsid w:val="00DB4244"/>
    <w:rsid w:val="00DB500D"/>
    <w:rsid w:val="00DB552E"/>
    <w:rsid w:val="00DB5AF7"/>
    <w:rsid w:val="00DB6393"/>
    <w:rsid w:val="00DB7F1A"/>
    <w:rsid w:val="00DB7FB6"/>
    <w:rsid w:val="00DC0320"/>
    <w:rsid w:val="00DC07B1"/>
    <w:rsid w:val="00DC0E05"/>
    <w:rsid w:val="00DC1886"/>
    <w:rsid w:val="00DC2425"/>
    <w:rsid w:val="00DC2F46"/>
    <w:rsid w:val="00DC3F75"/>
    <w:rsid w:val="00DC468C"/>
    <w:rsid w:val="00DC5883"/>
    <w:rsid w:val="00DC6082"/>
    <w:rsid w:val="00DC679D"/>
    <w:rsid w:val="00DD0428"/>
    <w:rsid w:val="00DD0921"/>
    <w:rsid w:val="00DD161C"/>
    <w:rsid w:val="00DD1ABC"/>
    <w:rsid w:val="00DD276D"/>
    <w:rsid w:val="00DD331C"/>
    <w:rsid w:val="00DD5394"/>
    <w:rsid w:val="00DD53C1"/>
    <w:rsid w:val="00DD585B"/>
    <w:rsid w:val="00DD5C58"/>
    <w:rsid w:val="00DD5F67"/>
    <w:rsid w:val="00DD603C"/>
    <w:rsid w:val="00DD6126"/>
    <w:rsid w:val="00DD6C07"/>
    <w:rsid w:val="00DD6C5C"/>
    <w:rsid w:val="00DD7A92"/>
    <w:rsid w:val="00DE0A2B"/>
    <w:rsid w:val="00DE1759"/>
    <w:rsid w:val="00DE3ADE"/>
    <w:rsid w:val="00DE5067"/>
    <w:rsid w:val="00DE51DB"/>
    <w:rsid w:val="00DE594D"/>
    <w:rsid w:val="00DE5D4D"/>
    <w:rsid w:val="00DE7A6B"/>
    <w:rsid w:val="00DF0703"/>
    <w:rsid w:val="00DF0D3C"/>
    <w:rsid w:val="00DF0EAE"/>
    <w:rsid w:val="00DF164D"/>
    <w:rsid w:val="00DF2202"/>
    <w:rsid w:val="00DF265A"/>
    <w:rsid w:val="00DF2EA8"/>
    <w:rsid w:val="00DF3EF7"/>
    <w:rsid w:val="00DF4A34"/>
    <w:rsid w:val="00DF4FE6"/>
    <w:rsid w:val="00DF5F25"/>
    <w:rsid w:val="00DF644F"/>
    <w:rsid w:val="00DF68BC"/>
    <w:rsid w:val="00DF7057"/>
    <w:rsid w:val="00DF7955"/>
    <w:rsid w:val="00DF7AAD"/>
    <w:rsid w:val="00E019E9"/>
    <w:rsid w:val="00E0288F"/>
    <w:rsid w:val="00E02B2E"/>
    <w:rsid w:val="00E02E0F"/>
    <w:rsid w:val="00E03507"/>
    <w:rsid w:val="00E03952"/>
    <w:rsid w:val="00E03D16"/>
    <w:rsid w:val="00E03D94"/>
    <w:rsid w:val="00E04FFA"/>
    <w:rsid w:val="00E05F8F"/>
    <w:rsid w:val="00E06AC3"/>
    <w:rsid w:val="00E06B48"/>
    <w:rsid w:val="00E06DFE"/>
    <w:rsid w:val="00E07385"/>
    <w:rsid w:val="00E073A4"/>
    <w:rsid w:val="00E11003"/>
    <w:rsid w:val="00E1151A"/>
    <w:rsid w:val="00E12ED4"/>
    <w:rsid w:val="00E13A42"/>
    <w:rsid w:val="00E143D9"/>
    <w:rsid w:val="00E1446B"/>
    <w:rsid w:val="00E153FE"/>
    <w:rsid w:val="00E15ACE"/>
    <w:rsid w:val="00E1664B"/>
    <w:rsid w:val="00E16E4A"/>
    <w:rsid w:val="00E17792"/>
    <w:rsid w:val="00E2070F"/>
    <w:rsid w:val="00E21253"/>
    <w:rsid w:val="00E216FE"/>
    <w:rsid w:val="00E21AC6"/>
    <w:rsid w:val="00E21D9D"/>
    <w:rsid w:val="00E226BA"/>
    <w:rsid w:val="00E233AB"/>
    <w:rsid w:val="00E234F9"/>
    <w:rsid w:val="00E23620"/>
    <w:rsid w:val="00E23C84"/>
    <w:rsid w:val="00E24694"/>
    <w:rsid w:val="00E24BB1"/>
    <w:rsid w:val="00E26FF1"/>
    <w:rsid w:val="00E275E5"/>
    <w:rsid w:val="00E27A60"/>
    <w:rsid w:val="00E27F35"/>
    <w:rsid w:val="00E30246"/>
    <w:rsid w:val="00E30A84"/>
    <w:rsid w:val="00E31A6B"/>
    <w:rsid w:val="00E31F16"/>
    <w:rsid w:val="00E34387"/>
    <w:rsid w:val="00E343B6"/>
    <w:rsid w:val="00E34547"/>
    <w:rsid w:val="00E3536F"/>
    <w:rsid w:val="00E354DB"/>
    <w:rsid w:val="00E37A11"/>
    <w:rsid w:val="00E37BAE"/>
    <w:rsid w:val="00E40555"/>
    <w:rsid w:val="00E41876"/>
    <w:rsid w:val="00E41F9D"/>
    <w:rsid w:val="00E4320B"/>
    <w:rsid w:val="00E4324C"/>
    <w:rsid w:val="00E43AF4"/>
    <w:rsid w:val="00E43B89"/>
    <w:rsid w:val="00E43E95"/>
    <w:rsid w:val="00E44399"/>
    <w:rsid w:val="00E4444D"/>
    <w:rsid w:val="00E451FA"/>
    <w:rsid w:val="00E466CC"/>
    <w:rsid w:val="00E47BA2"/>
    <w:rsid w:val="00E51695"/>
    <w:rsid w:val="00E522CD"/>
    <w:rsid w:val="00E52F33"/>
    <w:rsid w:val="00E537E0"/>
    <w:rsid w:val="00E53A53"/>
    <w:rsid w:val="00E549EC"/>
    <w:rsid w:val="00E54A5C"/>
    <w:rsid w:val="00E55D4B"/>
    <w:rsid w:val="00E56196"/>
    <w:rsid w:val="00E5726E"/>
    <w:rsid w:val="00E5785B"/>
    <w:rsid w:val="00E601C9"/>
    <w:rsid w:val="00E60320"/>
    <w:rsid w:val="00E60360"/>
    <w:rsid w:val="00E61AEB"/>
    <w:rsid w:val="00E61BF4"/>
    <w:rsid w:val="00E61D33"/>
    <w:rsid w:val="00E62935"/>
    <w:rsid w:val="00E62BFF"/>
    <w:rsid w:val="00E62D0F"/>
    <w:rsid w:val="00E637F5"/>
    <w:rsid w:val="00E6506E"/>
    <w:rsid w:val="00E652BF"/>
    <w:rsid w:val="00E65322"/>
    <w:rsid w:val="00E6735D"/>
    <w:rsid w:val="00E701DC"/>
    <w:rsid w:val="00E707B7"/>
    <w:rsid w:val="00E70948"/>
    <w:rsid w:val="00E718BF"/>
    <w:rsid w:val="00E72066"/>
    <w:rsid w:val="00E7251A"/>
    <w:rsid w:val="00E72724"/>
    <w:rsid w:val="00E72AEC"/>
    <w:rsid w:val="00E744D2"/>
    <w:rsid w:val="00E74DB3"/>
    <w:rsid w:val="00E7671E"/>
    <w:rsid w:val="00E76FEB"/>
    <w:rsid w:val="00E81540"/>
    <w:rsid w:val="00E82DC0"/>
    <w:rsid w:val="00E856C8"/>
    <w:rsid w:val="00E8586F"/>
    <w:rsid w:val="00E860B9"/>
    <w:rsid w:val="00E87BCE"/>
    <w:rsid w:val="00E87F79"/>
    <w:rsid w:val="00E90AC8"/>
    <w:rsid w:val="00E911CA"/>
    <w:rsid w:val="00E91A03"/>
    <w:rsid w:val="00E94AF7"/>
    <w:rsid w:val="00E94F54"/>
    <w:rsid w:val="00E959B4"/>
    <w:rsid w:val="00E9615C"/>
    <w:rsid w:val="00E974E5"/>
    <w:rsid w:val="00E978F3"/>
    <w:rsid w:val="00E97B03"/>
    <w:rsid w:val="00EA018A"/>
    <w:rsid w:val="00EA0F30"/>
    <w:rsid w:val="00EA12CD"/>
    <w:rsid w:val="00EA1E77"/>
    <w:rsid w:val="00EA1E88"/>
    <w:rsid w:val="00EA1F4A"/>
    <w:rsid w:val="00EA215C"/>
    <w:rsid w:val="00EA2773"/>
    <w:rsid w:val="00EA34A2"/>
    <w:rsid w:val="00EA3935"/>
    <w:rsid w:val="00EA3B87"/>
    <w:rsid w:val="00EA3C0C"/>
    <w:rsid w:val="00EA3CCC"/>
    <w:rsid w:val="00EA42AD"/>
    <w:rsid w:val="00EA5ABF"/>
    <w:rsid w:val="00EA6240"/>
    <w:rsid w:val="00EA6E8F"/>
    <w:rsid w:val="00EA6FB5"/>
    <w:rsid w:val="00EA788C"/>
    <w:rsid w:val="00EA7CD5"/>
    <w:rsid w:val="00EB0213"/>
    <w:rsid w:val="00EB175D"/>
    <w:rsid w:val="00EB202E"/>
    <w:rsid w:val="00EB46AC"/>
    <w:rsid w:val="00EB4757"/>
    <w:rsid w:val="00EB59EB"/>
    <w:rsid w:val="00EB6143"/>
    <w:rsid w:val="00EB6629"/>
    <w:rsid w:val="00EC0045"/>
    <w:rsid w:val="00EC0116"/>
    <w:rsid w:val="00EC03E7"/>
    <w:rsid w:val="00EC0875"/>
    <w:rsid w:val="00EC0CE9"/>
    <w:rsid w:val="00EC1342"/>
    <w:rsid w:val="00EC1467"/>
    <w:rsid w:val="00EC1E07"/>
    <w:rsid w:val="00EC238D"/>
    <w:rsid w:val="00EC3A6E"/>
    <w:rsid w:val="00EC48D9"/>
    <w:rsid w:val="00EC6200"/>
    <w:rsid w:val="00EC69CB"/>
    <w:rsid w:val="00EC7A1B"/>
    <w:rsid w:val="00ED0696"/>
    <w:rsid w:val="00ED0946"/>
    <w:rsid w:val="00ED2125"/>
    <w:rsid w:val="00ED29F1"/>
    <w:rsid w:val="00ED2CA5"/>
    <w:rsid w:val="00ED2FBB"/>
    <w:rsid w:val="00ED3F70"/>
    <w:rsid w:val="00ED4043"/>
    <w:rsid w:val="00ED41E5"/>
    <w:rsid w:val="00ED5BD9"/>
    <w:rsid w:val="00ED66C9"/>
    <w:rsid w:val="00ED6B66"/>
    <w:rsid w:val="00EE03A5"/>
    <w:rsid w:val="00EE0EC3"/>
    <w:rsid w:val="00EE1930"/>
    <w:rsid w:val="00EE21A2"/>
    <w:rsid w:val="00EE2CE9"/>
    <w:rsid w:val="00EE3152"/>
    <w:rsid w:val="00EE37E4"/>
    <w:rsid w:val="00EE3FB6"/>
    <w:rsid w:val="00EE43FA"/>
    <w:rsid w:val="00EE53FD"/>
    <w:rsid w:val="00EE5BBE"/>
    <w:rsid w:val="00EE60DA"/>
    <w:rsid w:val="00EE61D6"/>
    <w:rsid w:val="00EE7C46"/>
    <w:rsid w:val="00EF0056"/>
    <w:rsid w:val="00EF1934"/>
    <w:rsid w:val="00EF1DA2"/>
    <w:rsid w:val="00EF333A"/>
    <w:rsid w:val="00EF36E9"/>
    <w:rsid w:val="00EF37CC"/>
    <w:rsid w:val="00EF3BB8"/>
    <w:rsid w:val="00EF43F0"/>
    <w:rsid w:val="00EF4E6D"/>
    <w:rsid w:val="00EF6477"/>
    <w:rsid w:val="00EF6E18"/>
    <w:rsid w:val="00EF779F"/>
    <w:rsid w:val="00F003F7"/>
    <w:rsid w:val="00F00677"/>
    <w:rsid w:val="00F01A40"/>
    <w:rsid w:val="00F02CAA"/>
    <w:rsid w:val="00F02FEC"/>
    <w:rsid w:val="00F03207"/>
    <w:rsid w:val="00F033DB"/>
    <w:rsid w:val="00F03579"/>
    <w:rsid w:val="00F04144"/>
    <w:rsid w:val="00F045F6"/>
    <w:rsid w:val="00F046EB"/>
    <w:rsid w:val="00F0496F"/>
    <w:rsid w:val="00F05685"/>
    <w:rsid w:val="00F058E6"/>
    <w:rsid w:val="00F05A02"/>
    <w:rsid w:val="00F06841"/>
    <w:rsid w:val="00F06C55"/>
    <w:rsid w:val="00F07740"/>
    <w:rsid w:val="00F114FA"/>
    <w:rsid w:val="00F12217"/>
    <w:rsid w:val="00F12B8E"/>
    <w:rsid w:val="00F139E8"/>
    <w:rsid w:val="00F13AC9"/>
    <w:rsid w:val="00F13FBC"/>
    <w:rsid w:val="00F17887"/>
    <w:rsid w:val="00F209A1"/>
    <w:rsid w:val="00F21BD8"/>
    <w:rsid w:val="00F21D36"/>
    <w:rsid w:val="00F221B0"/>
    <w:rsid w:val="00F228A9"/>
    <w:rsid w:val="00F241A3"/>
    <w:rsid w:val="00F24739"/>
    <w:rsid w:val="00F254C6"/>
    <w:rsid w:val="00F262AA"/>
    <w:rsid w:val="00F265C6"/>
    <w:rsid w:val="00F27AD8"/>
    <w:rsid w:val="00F30469"/>
    <w:rsid w:val="00F30589"/>
    <w:rsid w:val="00F30BD1"/>
    <w:rsid w:val="00F30C2B"/>
    <w:rsid w:val="00F31C42"/>
    <w:rsid w:val="00F31DCA"/>
    <w:rsid w:val="00F31FD7"/>
    <w:rsid w:val="00F32904"/>
    <w:rsid w:val="00F3471F"/>
    <w:rsid w:val="00F347C7"/>
    <w:rsid w:val="00F35708"/>
    <w:rsid w:val="00F35FEE"/>
    <w:rsid w:val="00F366A8"/>
    <w:rsid w:val="00F368D1"/>
    <w:rsid w:val="00F37CDA"/>
    <w:rsid w:val="00F408AA"/>
    <w:rsid w:val="00F41204"/>
    <w:rsid w:val="00F421FE"/>
    <w:rsid w:val="00F424D4"/>
    <w:rsid w:val="00F42FC8"/>
    <w:rsid w:val="00F438F4"/>
    <w:rsid w:val="00F43980"/>
    <w:rsid w:val="00F4406B"/>
    <w:rsid w:val="00F440B4"/>
    <w:rsid w:val="00F45A3E"/>
    <w:rsid w:val="00F471DE"/>
    <w:rsid w:val="00F47C53"/>
    <w:rsid w:val="00F47C69"/>
    <w:rsid w:val="00F5111E"/>
    <w:rsid w:val="00F51DCA"/>
    <w:rsid w:val="00F52419"/>
    <w:rsid w:val="00F52951"/>
    <w:rsid w:val="00F52E69"/>
    <w:rsid w:val="00F53293"/>
    <w:rsid w:val="00F538AB"/>
    <w:rsid w:val="00F54F1C"/>
    <w:rsid w:val="00F5532B"/>
    <w:rsid w:val="00F5544C"/>
    <w:rsid w:val="00F55939"/>
    <w:rsid w:val="00F5597B"/>
    <w:rsid w:val="00F577B8"/>
    <w:rsid w:val="00F60B25"/>
    <w:rsid w:val="00F615DC"/>
    <w:rsid w:val="00F61BA8"/>
    <w:rsid w:val="00F62699"/>
    <w:rsid w:val="00F62AA6"/>
    <w:rsid w:val="00F62DDB"/>
    <w:rsid w:val="00F63688"/>
    <w:rsid w:val="00F63FB8"/>
    <w:rsid w:val="00F6412A"/>
    <w:rsid w:val="00F657C4"/>
    <w:rsid w:val="00F65F60"/>
    <w:rsid w:val="00F662B5"/>
    <w:rsid w:val="00F6677A"/>
    <w:rsid w:val="00F66B49"/>
    <w:rsid w:val="00F67A25"/>
    <w:rsid w:val="00F70182"/>
    <w:rsid w:val="00F706C9"/>
    <w:rsid w:val="00F70A11"/>
    <w:rsid w:val="00F70DD1"/>
    <w:rsid w:val="00F70FD2"/>
    <w:rsid w:val="00F72ABE"/>
    <w:rsid w:val="00F730E0"/>
    <w:rsid w:val="00F73107"/>
    <w:rsid w:val="00F7408E"/>
    <w:rsid w:val="00F74824"/>
    <w:rsid w:val="00F74DB3"/>
    <w:rsid w:val="00F74E5B"/>
    <w:rsid w:val="00F750AD"/>
    <w:rsid w:val="00F76894"/>
    <w:rsid w:val="00F77601"/>
    <w:rsid w:val="00F77753"/>
    <w:rsid w:val="00F77BAF"/>
    <w:rsid w:val="00F80065"/>
    <w:rsid w:val="00F8017D"/>
    <w:rsid w:val="00F80B3F"/>
    <w:rsid w:val="00F81DD5"/>
    <w:rsid w:val="00F81FC8"/>
    <w:rsid w:val="00F820FC"/>
    <w:rsid w:val="00F82EDF"/>
    <w:rsid w:val="00F83B4F"/>
    <w:rsid w:val="00F841D1"/>
    <w:rsid w:val="00F84E1A"/>
    <w:rsid w:val="00F84F22"/>
    <w:rsid w:val="00F85117"/>
    <w:rsid w:val="00F869D4"/>
    <w:rsid w:val="00F86DB5"/>
    <w:rsid w:val="00F87836"/>
    <w:rsid w:val="00F879D6"/>
    <w:rsid w:val="00F87E50"/>
    <w:rsid w:val="00F91005"/>
    <w:rsid w:val="00F910DB"/>
    <w:rsid w:val="00F91214"/>
    <w:rsid w:val="00F915E1"/>
    <w:rsid w:val="00F91767"/>
    <w:rsid w:val="00F92E68"/>
    <w:rsid w:val="00F931DE"/>
    <w:rsid w:val="00F93676"/>
    <w:rsid w:val="00F937EE"/>
    <w:rsid w:val="00F938B9"/>
    <w:rsid w:val="00F93AA6"/>
    <w:rsid w:val="00F94A6E"/>
    <w:rsid w:val="00F94F79"/>
    <w:rsid w:val="00F953C6"/>
    <w:rsid w:val="00F95B2F"/>
    <w:rsid w:val="00F978F2"/>
    <w:rsid w:val="00F97924"/>
    <w:rsid w:val="00F97E72"/>
    <w:rsid w:val="00FA02CB"/>
    <w:rsid w:val="00FA0411"/>
    <w:rsid w:val="00FA04DE"/>
    <w:rsid w:val="00FA04FC"/>
    <w:rsid w:val="00FA0D3D"/>
    <w:rsid w:val="00FA1294"/>
    <w:rsid w:val="00FA1515"/>
    <w:rsid w:val="00FA1FF4"/>
    <w:rsid w:val="00FA23A6"/>
    <w:rsid w:val="00FA24BC"/>
    <w:rsid w:val="00FA2D95"/>
    <w:rsid w:val="00FA2EE6"/>
    <w:rsid w:val="00FA2F6A"/>
    <w:rsid w:val="00FA538E"/>
    <w:rsid w:val="00FA5B5F"/>
    <w:rsid w:val="00FA5DBE"/>
    <w:rsid w:val="00FA5ED9"/>
    <w:rsid w:val="00FA66E6"/>
    <w:rsid w:val="00FA7028"/>
    <w:rsid w:val="00FB0D60"/>
    <w:rsid w:val="00FB162B"/>
    <w:rsid w:val="00FB1F32"/>
    <w:rsid w:val="00FB2BB7"/>
    <w:rsid w:val="00FB3F6C"/>
    <w:rsid w:val="00FB472B"/>
    <w:rsid w:val="00FB476A"/>
    <w:rsid w:val="00FB4824"/>
    <w:rsid w:val="00FB4F0A"/>
    <w:rsid w:val="00FB596F"/>
    <w:rsid w:val="00FB68BD"/>
    <w:rsid w:val="00FB6A47"/>
    <w:rsid w:val="00FC06ED"/>
    <w:rsid w:val="00FC1660"/>
    <w:rsid w:val="00FC2320"/>
    <w:rsid w:val="00FC2C8E"/>
    <w:rsid w:val="00FC420E"/>
    <w:rsid w:val="00FC5087"/>
    <w:rsid w:val="00FC5724"/>
    <w:rsid w:val="00FC58D0"/>
    <w:rsid w:val="00FC62C3"/>
    <w:rsid w:val="00FC64BB"/>
    <w:rsid w:val="00FC6730"/>
    <w:rsid w:val="00FC6C3B"/>
    <w:rsid w:val="00FC6E06"/>
    <w:rsid w:val="00FC7014"/>
    <w:rsid w:val="00FC70B0"/>
    <w:rsid w:val="00FC7860"/>
    <w:rsid w:val="00FC7979"/>
    <w:rsid w:val="00FC7FBA"/>
    <w:rsid w:val="00FD033D"/>
    <w:rsid w:val="00FD1111"/>
    <w:rsid w:val="00FD1568"/>
    <w:rsid w:val="00FD1BEF"/>
    <w:rsid w:val="00FD273C"/>
    <w:rsid w:val="00FD31D5"/>
    <w:rsid w:val="00FD354E"/>
    <w:rsid w:val="00FD3C9F"/>
    <w:rsid w:val="00FD4DD1"/>
    <w:rsid w:val="00FD4F28"/>
    <w:rsid w:val="00FD5050"/>
    <w:rsid w:val="00FD5637"/>
    <w:rsid w:val="00FD6151"/>
    <w:rsid w:val="00FD6204"/>
    <w:rsid w:val="00FD638B"/>
    <w:rsid w:val="00FD6C51"/>
    <w:rsid w:val="00FD6D07"/>
    <w:rsid w:val="00FD793B"/>
    <w:rsid w:val="00FD7A60"/>
    <w:rsid w:val="00FE0C2A"/>
    <w:rsid w:val="00FE3BDD"/>
    <w:rsid w:val="00FE51EF"/>
    <w:rsid w:val="00FE5457"/>
    <w:rsid w:val="00FE55D4"/>
    <w:rsid w:val="00FE5987"/>
    <w:rsid w:val="00FE740A"/>
    <w:rsid w:val="00FE7764"/>
    <w:rsid w:val="00FF04DF"/>
    <w:rsid w:val="00FF063F"/>
    <w:rsid w:val="00FF083F"/>
    <w:rsid w:val="00FF1491"/>
    <w:rsid w:val="00FF2034"/>
    <w:rsid w:val="00FF2696"/>
    <w:rsid w:val="00FF2F30"/>
    <w:rsid w:val="00FF36D9"/>
    <w:rsid w:val="00FF3BC6"/>
    <w:rsid w:val="00FF4F50"/>
    <w:rsid w:val="00FF58AB"/>
    <w:rsid w:val="00FF7C2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833D9"/>
  <w15:docId w15:val="{E98E1FC7-8FF1-4949-9F1D-D2A631FBD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hr-H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887"/>
    <w:pPr>
      <w:suppressAutoHyphens/>
      <w:spacing w:before="120" w:after="120" w:line="257" w:lineRule="auto"/>
      <w:jc w:val="both"/>
    </w:pPr>
    <w:rPr>
      <w:rFonts w:asciiTheme="minorHAnsi" w:hAnsiTheme="minorHAnsi"/>
    </w:rPr>
  </w:style>
  <w:style w:type="paragraph" w:styleId="Heading1">
    <w:name w:val="heading 1"/>
    <w:basedOn w:val="Normal"/>
    <w:next w:val="Normal"/>
    <w:link w:val="Heading1Char"/>
    <w:uiPriority w:val="9"/>
    <w:qFormat/>
    <w:rsid w:val="00FD033D"/>
    <w:pPr>
      <w:keepNext/>
      <w:keepLines/>
      <w:numPr>
        <w:numId w:val="16"/>
      </w:numPr>
      <w:spacing w:line="259" w:lineRule="auto"/>
      <w:outlineLvl w:val="0"/>
    </w:pPr>
    <w:rPr>
      <w:rFonts w:eastAsiaTheme="majorEastAsia" w:cstheme="majorBidi"/>
      <w:caps/>
      <w:color w:val="276E8B" w:themeColor="accent1" w:themeShade="BF"/>
      <w:sz w:val="28"/>
      <w:szCs w:val="32"/>
    </w:rPr>
  </w:style>
  <w:style w:type="paragraph" w:styleId="Heading2">
    <w:name w:val="heading 2"/>
    <w:basedOn w:val="Normal"/>
    <w:next w:val="Normal"/>
    <w:link w:val="Heading2Char"/>
    <w:uiPriority w:val="9"/>
    <w:unhideWhenUsed/>
    <w:qFormat/>
    <w:rsid w:val="008D2CA2"/>
    <w:pPr>
      <w:keepNext/>
      <w:keepLines/>
      <w:numPr>
        <w:ilvl w:val="1"/>
        <w:numId w:val="16"/>
      </w:numPr>
      <w:spacing w:before="240" w:line="259" w:lineRule="auto"/>
      <w:outlineLvl w:val="1"/>
    </w:pPr>
    <w:rPr>
      <w:rFonts w:eastAsiaTheme="majorEastAsia" w:cstheme="majorBidi"/>
      <w:color w:val="276E8B" w:themeColor="accent1" w:themeShade="BF"/>
      <w:sz w:val="26"/>
      <w:szCs w:val="26"/>
    </w:rPr>
  </w:style>
  <w:style w:type="paragraph" w:styleId="Heading3">
    <w:name w:val="heading 3"/>
    <w:basedOn w:val="Normal"/>
    <w:next w:val="Normal"/>
    <w:link w:val="Heading3Char"/>
    <w:uiPriority w:val="9"/>
    <w:unhideWhenUsed/>
    <w:qFormat/>
    <w:rsid w:val="001A4282"/>
    <w:pPr>
      <w:keepNext/>
      <w:keepLines/>
      <w:numPr>
        <w:ilvl w:val="2"/>
        <w:numId w:val="16"/>
      </w:numPr>
      <w:spacing w:before="240" w:line="259" w:lineRule="auto"/>
      <w:outlineLvl w:val="2"/>
    </w:pPr>
    <w:rPr>
      <w:rFonts w:eastAsiaTheme="majorEastAsia" w:cstheme="majorBidi"/>
      <w:color w:val="1A495C" w:themeColor="accent1" w:themeShade="7F"/>
      <w:sz w:val="24"/>
      <w:szCs w:val="24"/>
    </w:rPr>
  </w:style>
  <w:style w:type="paragraph" w:styleId="Heading4">
    <w:name w:val="heading 4"/>
    <w:basedOn w:val="Normal"/>
    <w:next w:val="Normal"/>
    <w:link w:val="Heading4Char"/>
    <w:uiPriority w:val="9"/>
    <w:unhideWhenUsed/>
    <w:qFormat/>
    <w:rsid w:val="00CD7396"/>
    <w:pPr>
      <w:keepNext/>
      <w:keepLines/>
      <w:numPr>
        <w:ilvl w:val="3"/>
        <w:numId w:val="16"/>
      </w:numPr>
      <w:spacing w:line="259" w:lineRule="auto"/>
      <w:outlineLvl w:val="3"/>
    </w:pPr>
    <w:rPr>
      <w:rFonts w:eastAsiaTheme="majorEastAsia" w:cstheme="majorBidi"/>
      <w:i/>
      <w:iCs/>
      <w:color w:val="276E8B" w:themeColor="accent1" w:themeShade="BF"/>
      <w:sz w:val="24"/>
    </w:rPr>
  </w:style>
  <w:style w:type="paragraph" w:styleId="Heading5">
    <w:name w:val="heading 5"/>
    <w:basedOn w:val="Normal"/>
    <w:next w:val="Normal"/>
    <w:link w:val="Heading5Char"/>
    <w:uiPriority w:val="9"/>
    <w:unhideWhenUsed/>
    <w:qFormat/>
    <w:rsid w:val="00EE60DA"/>
    <w:pPr>
      <w:keepNext/>
      <w:keepLines/>
      <w:numPr>
        <w:ilvl w:val="4"/>
        <w:numId w:val="16"/>
      </w:numPr>
      <w:outlineLvl w:val="4"/>
    </w:pPr>
    <w:rPr>
      <w:rFonts w:eastAsiaTheme="majorEastAsia" w:cstheme="majorBidi"/>
      <w:i/>
      <w:color w:val="276E8B" w:themeColor="accent1" w:themeShade="BF"/>
    </w:rPr>
  </w:style>
  <w:style w:type="paragraph" w:styleId="Heading6">
    <w:name w:val="heading 6"/>
    <w:basedOn w:val="Normal"/>
    <w:next w:val="Normal"/>
    <w:link w:val="Heading6Char"/>
    <w:uiPriority w:val="9"/>
    <w:semiHidden/>
    <w:unhideWhenUsed/>
    <w:qFormat/>
    <w:rsid w:val="00146655"/>
    <w:pPr>
      <w:keepNext/>
      <w:keepLines/>
      <w:numPr>
        <w:ilvl w:val="5"/>
        <w:numId w:val="16"/>
      </w:numPr>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unhideWhenUsed/>
    <w:qFormat/>
    <w:rsid w:val="00146655"/>
    <w:pPr>
      <w:keepNext/>
      <w:keepLines/>
      <w:numPr>
        <w:ilvl w:val="6"/>
        <w:numId w:val="16"/>
      </w:numPr>
      <w:spacing w:before="40" w:after="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unhideWhenUsed/>
    <w:qFormat/>
    <w:rsid w:val="00146655"/>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6655"/>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33D"/>
    <w:rPr>
      <w:rFonts w:asciiTheme="minorHAnsi" w:eastAsiaTheme="majorEastAsia" w:hAnsiTheme="minorHAnsi" w:cstheme="majorBidi"/>
      <w:caps/>
      <w:color w:val="276E8B" w:themeColor="accent1" w:themeShade="BF"/>
      <w:sz w:val="28"/>
      <w:szCs w:val="32"/>
    </w:rPr>
  </w:style>
  <w:style w:type="character" w:customStyle="1" w:styleId="Heading2Char">
    <w:name w:val="Heading 2 Char"/>
    <w:basedOn w:val="DefaultParagraphFont"/>
    <w:link w:val="Heading2"/>
    <w:uiPriority w:val="9"/>
    <w:rsid w:val="008D2CA2"/>
    <w:rPr>
      <w:rFonts w:asciiTheme="minorHAnsi" w:eastAsiaTheme="majorEastAsia" w:hAnsiTheme="minorHAnsi" w:cstheme="majorBidi"/>
      <w:color w:val="276E8B" w:themeColor="accent1" w:themeShade="BF"/>
      <w:sz w:val="26"/>
      <w:szCs w:val="26"/>
    </w:rPr>
  </w:style>
  <w:style w:type="character" w:customStyle="1" w:styleId="Heading3Char">
    <w:name w:val="Heading 3 Char"/>
    <w:basedOn w:val="DefaultParagraphFont"/>
    <w:link w:val="Heading3"/>
    <w:uiPriority w:val="9"/>
    <w:rsid w:val="001A4282"/>
    <w:rPr>
      <w:rFonts w:asciiTheme="minorHAnsi" w:eastAsiaTheme="majorEastAsia" w:hAnsiTheme="minorHAnsi" w:cstheme="majorBidi"/>
      <w:color w:val="1A495C" w:themeColor="accent1" w:themeShade="7F"/>
      <w:sz w:val="24"/>
      <w:szCs w:val="24"/>
    </w:rPr>
  </w:style>
  <w:style w:type="character" w:customStyle="1" w:styleId="Heading4Char">
    <w:name w:val="Heading 4 Char"/>
    <w:basedOn w:val="DefaultParagraphFont"/>
    <w:link w:val="Heading4"/>
    <w:uiPriority w:val="9"/>
    <w:rsid w:val="00CD7396"/>
    <w:rPr>
      <w:rFonts w:asciiTheme="minorHAnsi" w:eastAsiaTheme="majorEastAsia" w:hAnsiTheme="minorHAnsi" w:cstheme="majorBidi"/>
      <w:i/>
      <w:iCs/>
      <w:color w:val="276E8B" w:themeColor="accent1" w:themeShade="BF"/>
      <w:sz w:val="24"/>
    </w:rPr>
  </w:style>
  <w:style w:type="character" w:customStyle="1" w:styleId="Heading5Char">
    <w:name w:val="Heading 5 Char"/>
    <w:basedOn w:val="DefaultParagraphFont"/>
    <w:link w:val="Heading5"/>
    <w:uiPriority w:val="9"/>
    <w:rsid w:val="00EE60DA"/>
    <w:rPr>
      <w:rFonts w:asciiTheme="minorHAnsi" w:eastAsiaTheme="majorEastAsia" w:hAnsiTheme="minorHAnsi" w:cstheme="majorBidi"/>
      <w:i/>
      <w:color w:val="276E8B" w:themeColor="accent1" w:themeShade="BF"/>
    </w:rPr>
  </w:style>
  <w:style w:type="character" w:customStyle="1" w:styleId="Heading6Char">
    <w:name w:val="Heading 6 Char"/>
    <w:basedOn w:val="DefaultParagraphFont"/>
    <w:link w:val="Heading6"/>
    <w:uiPriority w:val="9"/>
    <w:semiHidden/>
    <w:rsid w:val="00146655"/>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sid w:val="00146655"/>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sid w:val="001466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6655"/>
    <w:rPr>
      <w:rFonts w:asciiTheme="majorHAnsi" w:eastAsiaTheme="majorEastAsia" w:hAnsiTheme="majorHAnsi" w:cstheme="majorBidi"/>
      <w:i/>
      <w:iCs/>
      <w:color w:val="272727" w:themeColor="text1" w:themeTint="D8"/>
      <w:sz w:val="21"/>
      <w:szCs w:val="21"/>
    </w:rPr>
  </w:style>
  <w:style w:type="paragraph" w:styleId="FootnoteText">
    <w:name w:val="footnote text"/>
    <w:aliases w:val="9,ADB,Char,FOOTNOTES,FOOTNOTES Char Char,Fodnotetekst,Footnote Text Char Char,Footnote Text Char1 Char Char,Fußnote Char1,f,fn,fn Char Char,footnote text,ft,ft Char Char Char1,ft Char Char2,ft Char2,ft1,single space,single space Char Char"/>
    <w:basedOn w:val="Normal"/>
    <w:uiPriority w:val="99"/>
    <w:qFormat/>
    <w:pPr>
      <w:spacing w:after="0" w:line="240" w:lineRule="auto"/>
    </w:pPr>
    <w:rPr>
      <w:sz w:val="20"/>
      <w:szCs w:val="20"/>
    </w:rPr>
  </w:style>
  <w:style w:type="character" w:customStyle="1" w:styleId="FootnoteTextChar">
    <w:name w:val="Footnote Text Char"/>
    <w:aliases w:val="9 Char,ADB Char,Char Char,FOOTNOTES Char,FOOTNOTES Char Char Char,Fodnotetekst Char,Footnote Text Char Char Char,Footnote Text Char1 Char Char Char,Fußnote Char1 Char,f Char,fn Char,fn Char Char Char,footnote text Char,ft Char"/>
    <w:basedOn w:val="DefaultParagraphFont"/>
    <w:uiPriority w:val="99"/>
    <w:rPr>
      <w:sz w:val="20"/>
      <w:szCs w:val="20"/>
    </w:rPr>
  </w:style>
  <w:style w:type="character" w:styleId="FootnoteReference">
    <w:name w:val="footnote reference"/>
    <w:aliases w:val="16 Point,BVI fnr,Exposant 3 Point,FO,Footnote Reference Number,Footnote Reference_LVL6,Footnote Reference_LVL61,Footnote Reference_LVL62,Footnote Reference_LVL63,Footnote Reference_LVL64,Ref,Superscript 6 Point,Times 10 Point,fr,ftref"/>
    <w:basedOn w:val="DefaultParagraphFont"/>
    <w:link w:val="CarattereCarattereCharCharCharCharCharCharZchn"/>
    <w:uiPriority w:val="99"/>
    <w:qFormat/>
    <w:rPr>
      <w:position w:val="0"/>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502555"/>
    <w:pPr>
      <w:suppressAutoHyphens w:val="0"/>
      <w:autoSpaceDN/>
      <w:spacing w:line="240" w:lineRule="exact"/>
      <w:jc w:val="left"/>
      <w:textAlignment w:val="auto"/>
    </w:pPr>
    <w:rPr>
      <w:rFonts w:ascii="Calibri" w:hAnsi="Calibri"/>
      <w:vertAlign w:val="superscript"/>
    </w:rPr>
  </w:style>
  <w:style w:type="paragraph" w:styleId="ListParagraph">
    <w:name w:val="List Paragraph"/>
    <w:aliases w:val="3,Akapit z listą BS,Bullet1,Bullets,Citation List,Ha,List Paragraph (numbered (a)),List Paragraph1,List_Paragraph,Liste 1,Main numbered paragraph,Multilevel para_II,NUMBERED PARAGRAPH,Numbered List Paragraph,NumberedParas,References"/>
    <w:basedOn w:val="Normal"/>
    <w:link w:val="ListParagraphChar"/>
    <w:uiPriority w:val="34"/>
    <w:qFormat/>
    <w:pPr>
      <w:ind w:left="720"/>
    </w:pPr>
  </w:style>
  <w:style w:type="character" w:customStyle="1" w:styleId="ListParagraphChar">
    <w:name w:val="List Paragraph Char"/>
    <w:aliases w:val="3 Char,Akapit z listą BS Char,Bullet1 Char,Bullets Char,Citation List Char,Ha Char,List Paragraph (numbered (a)) Char,List Paragraph1 Char,List_Paragraph Char,Liste 1 Char,Main numbered paragraph Char,Multilevel para_II Char"/>
    <w:link w:val="ListParagraph"/>
    <w:uiPriority w:val="34"/>
    <w:qFormat/>
    <w:rsid w:val="00264A5B"/>
    <w:rPr>
      <w:rFonts w:asciiTheme="minorHAnsi" w:hAnsiTheme="minorHAnsi"/>
    </w:rPr>
  </w:style>
  <w:style w:type="paragraph" w:customStyle="1" w:styleId="Default">
    <w:name w:val="Default"/>
    <w:pPr>
      <w:suppressAutoHyphens/>
      <w:autoSpaceDE w:val="0"/>
      <w:spacing w:after="0" w:line="240" w:lineRule="auto"/>
    </w:pPr>
    <w:rPr>
      <w:rFonts w:ascii="Century" w:hAnsi="Century" w:cs="Century"/>
      <w:color w:val="000000"/>
      <w:sz w:val="24"/>
      <w:szCs w:val="24"/>
    </w:rPr>
  </w:style>
  <w:style w:type="paragraph" w:styleId="BalloonText">
    <w:name w:val="Balloon Text"/>
    <w:basedOn w:val="Normal"/>
    <w:link w:val="BalloonTextChar"/>
    <w:uiPriority w:val="99"/>
    <w:semiHidden/>
    <w:unhideWhenUsed/>
    <w:rsid w:val="00A77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5EB"/>
    <w:rPr>
      <w:rFonts w:ascii="Segoe UI" w:hAnsi="Segoe UI" w:cs="Segoe UI"/>
      <w:sz w:val="18"/>
      <w:szCs w:val="18"/>
    </w:rPr>
  </w:style>
  <w:style w:type="character" w:styleId="CommentReference">
    <w:name w:val="annotation reference"/>
    <w:basedOn w:val="DefaultParagraphFont"/>
    <w:uiPriority w:val="99"/>
    <w:semiHidden/>
    <w:unhideWhenUsed/>
    <w:rsid w:val="0045079A"/>
    <w:rPr>
      <w:sz w:val="16"/>
      <w:szCs w:val="16"/>
    </w:rPr>
  </w:style>
  <w:style w:type="paragraph" w:styleId="CommentText">
    <w:name w:val="annotation text"/>
    <w:basedOn w:val="Normal"/>
    <w:link w:val="CommentTextChar"/>
    <w:uiPriority w:val="99"/>
    <w:unhideWhenUsed/>
    <w:rsid w:val="0045079A"/>
    <w:pPr>
      <w:spacing w:line="240" w:lineRule="auto"/>
    </w:pPr>
    <w:rPr>
      <w:sz w:val="20"/>
      <w:szCs w:val="20"/>
    </w:rPr>
  </w:style>
  <w:style w:type="character" w:customStyle="1" w:styleId="CommentTextChar">
    <w:name w:val="Comment Text Char"/>
    <w:basedOn w:val="DefaultParagraphFont"/>
    <w:link w:val="CommentText"/>
    <w:uiPriority w:val="99"/>
    <w:rsid w:val="0045079A"/>
    <w:rPr>
      <w:sz w:val="20"/>
      <w:szCs w:val="20"/>
    </w:rPr>
  </w:style>
  <w:style w:type="paragraph" w:styleId="CommentSubject">
    <w:name w:val="annotation subject"/>
    <w:basedOn w:val="CommentText"/>
    <w:next w:val="CommentText"/>
    <w:link w:val="CommentSubjectChar"/>
    <w:uiPriority w:val="99"/>
    <w:semiHidden/>
    <w:unhideWhenUsed/>
    <w:rsid w:val="0045079A"/>
    <w:rPr>
      <w:b/>
      <w:bCs/>
    </w:rPr>
  </w:style>
  <w:style w:type="character" w:customStyle="1" w:styleId="CommentSubjectChar">
    <w:name w:val="Comment Subject Char"/>
    <w:basedOn w:val="CommentTextChar"/>
    <w:link w:val="CommentSubject"/>
    <w:uiPriority w:val="99"/>
    <w:semiHidden/>
    <w:rsid w:val="0045079A"/>
    <w:rPr>
      <w:b/>
      <w:bCs/>
      <w:sz w:val="20"/>
      <w:szCs w:val="20"/>
    </w:rPr>
  </w:style>
  <w:style w:type="paragraph" w:styleId="TOCHeading">
    <w:name w:val="TOC Heading"/>
    <w:basedOn w:val="Heading1"/>
    <w:next w:val="Normal"/>
    <w:uiPriority w:val="39"/>
    <w:unhideWhenUsed/>
    <w:qFormat/>
    <w:rsid w:val="00146655"/>
    <w:pPr>
      <w:numPr>
        <w:numId w:val="0"/>
      </w:numPr>
      <w:suppressAutoHyphens w:val="0"/>
      <w:autoSpaceDN/>
      <w:spacing w:before="240" w:after="0"/>
      <w:textAlignment w:val="auto"/>
      <w:outlineLvl w:val="9"/>
    </w:pPr>
    <w:rPr>
      <w:rFonts w:asciiTheme="majorHAnsi" w:hAnsiTheme="majorHAnsi"/>
      <w:sz w:val="32"/>
      <w:lang w:val="en-US"/>
    </w:rPr>
  </w:style>
  <w:style w:type="paragraph" w:styleId="TOC1">
    <w:name w:val="toc 1"/>
    <w:basedOn w:val="Normal"/>
    <w:next w:val="Normal"/>
    <w:autoRedefine/>
    <w:uiPriority w:val="39"/>
    <w:unhideWhenUsed/>
    <w:rsid w:val="00146655"/>
    <w:pPr>
      <w:spacing w:after="100"/>
    </w:pPr>
  </w:style>
  <w:style w:type="paragraph" w:styleId="TOC2">
    <w:name w:val="toc 2"/>
    <w:basedOn w:val="Normal"/>
    <w:next w:val="Normal"/>
    <w:autoRedefine/>
    <w:uiPriority w:val="39"/>
    <w:unhideWhenUsed/>
    <w:rsid w:val="00146655"/>
    <w:pPr>
      <w:spacing w:after="100"/>
      <w:ind w:left="220"/>
    </w:pPr>
  </w:style>
  <w:style w:type="character" w:styleId="Hyperlink">
    <w:name w:val="Hyperlink"/>
    <w:basedOn w:val="DefaultParagraphFont"/>
    <w:uiPriority w:val="99"/>
    <w:unhideWhenUsed/>
    <w:rsid w:val="00146655"/>
    <w:rPr>
      <w:color w:val="6B9F25" w:themeColor="hyperlink"/>
      <w:u w:val="single"/>
    </w:rPr>
  </w:style>
  <w:style w:type="paragraph" w:styleId="TOC3">
    <w:name w:val="toc 3"/>
    <w:basedOn w:val="Normal"/>
    <w:next w:val="Normal"/>
    <w:autoRedefine/>
    <w:uiPriority w:val="39"/>
    <w:unhideWhenUsed/>
    <w:rsid w:val="0027089B"/>
    <w:pPr>
      <w:spacing w:after="100"/>
      <w:ind w:left="440"/>
    </w:pPr>
  </w:style>
  <w:style w:type="paragraph" w:styleId="Caption">
    <w:name w:val="caption"/>
    <w:basedOn w:val="Normal"/>
    <w:next w:val="Normal"/>
    <w:link w:val="CaptionChar"/>
    <w:uiPriority w:val="35"/>
    <w:unhideWhenUsed/>
    <w:qFormat/>
    <w:rsid w:val="002601D1"/>
    <w:pPr>
      <w:spacing w:after="200" w:line="240" w:lineRule="auto"/>
    </w:pPr>
    <w:rPr>
      <w:i/>
      <w:iCs/>
      <w:color w:val="373545" w:themeColor="text2"/>
      <w:sz w:val="18"/>
      <w:szCs w:val="18"/>
    </w:rPr>
  </w:style>
  <w:style w:type="paragraph" w:styleId="TableofFigures">
    <w:name w:val="table of figures"/>
    <w:basedOn w:val="Normal"/>
    <w:next w:val="Normal"/>
    <w:uiPriority w:val="99"/>
    <w:unhideWhenUsed/>
    <w:rsid w:val="008A648B"/>
    <w:pPr>
      <w:spacing w:after="0"/>
    </w:pPr>
  </w:style>
  <w:style w:type="table" w:styleId="TableGrid">
    <w:name w:val="Table Grid"/>
    <w:aliases w:val="TNS table,Table long document,mtbs,表格样式,TABLICA_HAOP"/>
    <w:basedOn w:val="TableNormal"/>
    <w:uiPriority w:val="39"/>
    <w:rsid w:val="00BC6AAB"/>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ection Header"/>
    <w:basedOn w:val="Normal"/>
    <w:link w:val="HeaderChar"/>
    <w:uiPriority w:val="99"/>
    <w:unhideWhenUsed/>
    <w:rsid w:val="00873E04"/>
    <w:pPr>
      <w:tabs>
        <w:tab w:val="center" w:pos="4536"/>
        <w:tab w:val="right" w:pos="9072"/>
      </w:tabs>
      <w:spacing w:after="0" w:line="240" w:lineRule="auto"/>
    </w:pPr>
  </w:style>
  <w:style w:type="character" w:customStyle="1" w:styleId="HeaderChar">
    <w:name w:val="Header Char"/>
    <w:aliases w:val="Section Header Char"/>
    <w:basedOn w:val="DefaultParagraphFont"/>
    <w:link w:val="Header"/>
    <w:uiPriority w:val="99"/>
    <w:rsid w:val="00873E04"/>
    <w:rPr>
      <w:rFonts w:ascii="Times New Roman" w:hAnsi="Times New Roman"/>
    </w:rPr>
  </w:style>
  <w:style w:type="paragraph" w:styleId="Footer">
    <w:name w:val="footer"/>
    <w:basedOn w:val="Normal"/>
    <w:link w:val="FooterChar"/>
    <w:uiPriority w:val="99"/>
    <w:unhideWhenUsed/>
    <w:rsid w:val="00873E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3E04"/>
    <w:rPr>
      <w:rFonts w:ascii="Times New Roman" w:hAnsi="Times New Roman"/>
    </w:rPr>
  </w:style>
  <w:style w:type="table" w:customStyle="1" w:styleId="TableGrid1">
    <w:name w:val="Table Grid1"/>
    <w:basedOn w:val="TableNormal"/>
    <w:next w:val="TableGrid"/>
    <w:uiPriority w:val="39"/>
    <w:rsid w:val="00873E04"/>
    <w:pPr>
      <w:autoSpaceDN/>
      <w:spacing w:after="0" w:line="240" w:lineRule="auto"/>
      <w:textAlignment w:val="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3E04"/>
    <w:rPr>
      <w:sz w:val="24"/>
      <w:szCs w:val="24"/>
    </w:rPr>
  </w:style>
  <w:style w:type="character" w:styleId="FollowedHyperlink">
    <w:name w:val="FollowedHyperlink"/>
    <w:basedOn w:val="DefaultParagraphFont"/>
    <w:uiPriority w:val="99"/>
    <w:semiHidden/>
    <w:unhideWhenUsed/>
    <w:rsid w:val="007232A2"/>
    <w:rPr>
      <w:color w:val="9F6715" w:themeColor="followedHyperlink"/>
      <w:u w:val="single"/>
    </w:rPr>
  </w:style>
  <w:style w:type="character" w:customStyle="1" w:styleId="UnresolvedMention1">
    <w:name w:val="Unresolved Mention1"/>
    <w:basedOn w:val="DefaultParagraphFont"/>
    <w:uiPriority w:val="99"/>
    <w:semiHidden/>
    <w:unhideWhenUsed/>
    <w:rsid w:val="00D43BEA"/>
    <w:rPr>
      <w:color w:val="605E5C"/>
      <w:shd w:val="clear" w:color="auto" w:fill="E1DFDD"/>
    </w:rPr>
  </w:style>
  <w:style w:type="paragraph" w:styleId="BodyText">
    <w:name w:val="Body Text"/>
    <w:link w:val="BodyTextChar"/>
    <w:rsid w:val="00484369"/>
    <w:pPr>
      <w:pBdr>
        <w:top w:val="nil"/>
        <w:left w:val="nil"/>
        <w:bottom w:val="nil"/>
        <w:right w:val="nil"/>
        <w:between w:val="nil"/>
        <w:bar w:val="nil"/>
      </w:pBdr>
      <w:autoSpaceDN/>
      <w:spacing w:before="120" w:after="120" w:line="276" w:lineRule="auto"/>
      <w:jc w:val="both"/>
      <w:textAlignment w:val="auto"/>
    </w:pPr>
    <w:rPr>
      <w:rFonts w:cs="Calibri"/>
      <w:color w:val="000000"/>
      <w:u w:color="000000"/>
      <w:bdr w:val="nil"/>
      <w:lang w:val="en-US" w:eastAsia="mk-MK"/>
    </w:rPr>
  </w:style>
  <w:style w:type="character" w:customStyle="1" w:styleId="BodyTextChar">
    <w:name w:val="Body Text Char"/>
    <w:basedOn w:val="DefaultParagraphFont"/>
    <w:link w:val="BodyText"/>
    <w:rsid w:val="00484369"/>
    <w:rPr>
      <w:rFonts w:cs="Calibri"/>
      <w:color w:val="000000"/>
      <w:u w:color="000000"/>
      <w:bdr w:val="nil"/>
      <w:lang w:val="en-US" w:eastAsia="mk-MK"/>
    </w:rPr>
  </w:style>
  <w:style w:type="paragraph" w:customStyle="1" w:styleId="TableParagraph">
    <w:name w:val="Table Paragraph"/>
    <w:basedOn w:val="Normal"/>
    <w:uiPriority w:val="1"/>
    <w:qFormat/>
    <w:rsid w:val="003761C4"/>
    <w:pPr>
      <w:widowControl w:val="0"/>
      <w:suppressAutoHyphens w:val="0"/>
      <w:autoSpaceDE w:val="0"/>
      <w:spacing w:after="0" w:line="240" w:lineRule="auto"/>
      <w:jc w:val="left"/>
      <w:textAlignment w:val="auto"/>
    </w:pPr>
    <w:rPr>
      <w:rFonts w:ascii="Times New Roman" w:eastAsia="Times New Roman" w:hAnsi="Times New Roman"/>
      <w:lang w:val="bs-Latn" w:eastAsia="bs-Latn" w:bidi="bs-Latn"/>
    </w:rPr>
  </w:style>
  <w:style w:type="table" w:customStyle="1" w:styleId="GridTable4-Accent31">
    <w:name w:val="Grid Table 4 - Accent 31"/>
    <w:basedOn w:val="TableNormal"/>
    <w:next w:val="GridTable4-Accent3"/>
    <w:uiPriority w:val="49"/>
    <w:rsid w:val="00763696"/>
    <w:pPr>
      <w:autoSpaceDN/>
      <w:spacing w:after="0" w:line="240" w:lineRule="auto"/>
      <w:textAlignment w:val="auto"/>
    </w:pPr>
    <w:rPr>
      <w:rFonts w:ascii="Times New Roman" w:eastAsia="Times New Roman" w:hAnsi="Times New Roman"/>
      <w:sz w:val="20"/>
      <w:szCs w:val="20"/>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763696"/>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customStyle="1" w:styleId="normaltextrun">
    <w:name w:val="normaltextrun"/>
    <w:basedOn w:val="DefaultParagraphFont"/>
    <w:rsid w:val="00154EC7"/>
  </w:style>
  <w:style w:type="paragraph" w:styleId="HTMLPreformatted">
    <w:name w:val="HTML Preformatted"/>
    <w:basedOn w:val="Normal"/>
    <w:link w:val="HTMLPreformattedChar"/>
    <w:uiPriority w:val="99"/>
    <w:semiHidden/>
    <w:unhideWhenUsed/>
    <w:rsid w:val="0004577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45776"/>
    <w:rPr>
      <w:rFonts w:ascii="Consolas" w:hAnsi="Consolas"/>
      <w:sz w:val="20"/>
      <w:szCs w:val="20"/>
    </w:rPr>
  </w:style>
  <w:style w:type="table" w:customStyle="1" w:styleId="TableGrid2">
    <w:name w:val="Table Grid2"/>
    <w:basedOn w:val="TableNormal"/>
    <w:next w:val="TableGrid"/>
    <w:uiPriority w:val="39"/>
    <w:rsid w:val="00D31951"/>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D161C"/>
    <w:pPr>
      <w:autoSpaceDN/>
      <w:spacing w:after="0" w:line="240" w:lineRule="auto"/>
      <w:textAlignment w:val="auto"/>
    </w:pPr>
    <w:rPr>
      <w:rFonts w:ascii="Times New Roman" w:eastAsiaTheme="minorHAnsi" w:hAnsi="Times New Roman" w:cstheme="minorBidi"/>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A">
    <w:name w:val="Body A"/>
    <w:rsid w:val="003141BA"/>
    <w:pPr>
      <w:pBdr>
        <w:top w:val="nil"/>
        <w:left w:val="nil"/>
        <w:bottom w:val="nil"/>
        <w:right w:val="nil"/>
        <w:between w:val="nil"/>
        <w:bar w:val="nil"/>
      </w:pBdr>
      <w:autoSpaceDN/>
      <w:spacing w:before="120" w:after="120" w:line="276" w:lineRule="auto"/>
      <w:jc w:val="both"/>
      <w:textAlignment w:val="auto"/>
    </w:pPr>
    <w:rPr>
      <w:rFonts w:cs="Calibri"/>
      <w:color w:val="000000"/>
      <w:u w:color="000000"/>
      <w:bdr w:val="nil"/>
      <w:lang w:val="en-US" w:eastAsia="mk-MK"/>
    </w:rPr>
  </w:style>
  <w:style w:type="table" w:styleId="PlainTable1">
    <w:name w:val="Plain Table 1"/>
    <w:basedOn w:val="TableNormal"/>
    <w:uiPriority w:val="41"/>
    <w:rsid w:val="00756F46"/>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DF0703"/>
    <w:pPr>
      <w:autoSpaceDN/>
      <w:spacing w:after="0" w:line="240" w:lineRule="auto"/>
      <w:textAlignment w:val="auto"/>
    </w:pPr>
    <w:rPr>
      <w:rFonts w:asciiTheme="minorHAnsi" w:eastAsiaTheme="minorEastAsia" w:hAnsiTheme="minorHAnsi" w:cstheme="minorBidi"/>
      <w:sz w:val="28"/>
      <w:lang w:val="en-US"/>
    </w:rPr>
  </w:style>
  <w:style w:type="character" w:customStyle="1" w:styleId="NoSpacingChar">
    <w:name w:val="No Spacing Char"/>
    <w:basedOn w:val="DefaultParagraphFont"/>
    <w:link w:val="NoSpacing"/>
    <w:uiPriority w:val="1"/>
    <w:rsid w:val="00DF0703"/>
    <w:rPr>
      <w:rFonts w:asciiTheme="minorHAnsi" w:eastAsiaTheme="minorEastAsia" w:hAnsiTheme="minorHAnsi" w:cstheme="minorBidi"/>
      <w:sz w:val="28"/>
      <w:lang w:val="en-US"/>
    </w:rPr>
  </w:style>
  <w:style w:type="table" w:customStyle="1" w:styleId="TABLICAHAOP1">
    <w:name w:val="TABLICA_HAOP1"/>
    <w:basedOn w:val="TableNormal"/>
    <w:next w:val="TableGrid"/>
    <w:uiPriority w:val="39"/>
    <w:rsid w:val="0094406F"/>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EC6200"/>
    <w:rPr>
      <w:color w:val="0563C1"/>
      <w:u w:val="single"/>
    </w:rPr>
  </w:style>
  <w:style w:type="table" w:customStyle="1" w:styleId="TableGrid3">
    <w:name w:val="Table Grid3"/>
    <w:basedOn w:val="TableNormal"/>
    <w:next w:val="TableGrid"/>
    <w:uiPriority w:val="39"/>
    <w:rsid w:val="00201842"/>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744D2"/>
    <w:pPr>
      <w:suppressAutoHyphens w:val="0"/>
      <w:autoSpaceDN/>
      <w:spacing w:before="0" w:after="100" w:line="259" w:lineRule="auto"/>
      <w:ind w:left="660"/>
      <w:jc w:val="left"/>
      <w:textAlignment w:val="auto"/>
    </w:pPr>
    <w:rPr>
      <w:rFonts w:eastAsiaTheme="minorEastAsia" w:cstheme="minorBidi"/>
      <w:lang w:eastAsia="hr-HR"/>
    </w:rPr>
  </w:style>
  <w:style w:type="paragraph" w:styleId="TOC5">
    <w:name w:val="toc 5"/>
    <w:basedOn w:val="Normal"/>
    <w:next w:val="Normal"/>
    <w:autoRedefine/>
    <w:uiPriority w:val="39"/>
    <w:unhideWhenUsed/>
    <w:rsid w:val="00E744D2"/>
    <w:pPr>
      <w:suppressAutoHyphens w:val="0"/>
      <w:autoSpaceDN/>
      <w:spacing w:before="0" w:after="100" w:line="259" w:lineRule="auto"/>
      <w:ind w:left="880"/>
      <w:jc w:val="left"/>
      <w:textAlignment w:val="auto"/>
    </w:pPr>
    <w:rPr>
      <w:rFonts w:eastAsiaTheme="minorEastAsia" w:cstheme="minorBidi"/>
      <w:lang w:eastAsia="hr-HR"/>
    </w:rPr>
  </w:style>
  <w:style w:type="paragraph" w:styleId="TOC6">
    <w:name w:val="toc 6"/>
    <w:basedOn w:val="Normal"/>
    <w:next w:val="Normal"/>
    <w:autoRedefine/>
    <w:uiPriority w:val="39"/>
    <w:unhideWhenUsed/>
    <w:rsid w:val="00E744D2"/>
    <w:pPr>
      <w:suppressAutoHyphens w:val="0"/>
      <w:autoSpaceDN/>
      <w:spacing w:before="0" w:after="100" w:line="259" w:lineRule="auto"/>
      <w:ind w:left="1100"/>
      <w:jc w:val="left"/>
      <w:textAlignment w:val="auto"/>
    </w:pPr>
    <w:rPr>
      <w:rFonts w:eastAsiaTheme="minorEastAsia" w:cstheme="minorBidi"/>
      <w:lang w:eastAsia="hr-HR"/>
    </w:rPr>
  </w:style>
  <w:style w:type="paragraph" w:styleId="TOC7">
    <w:name w:val="toc 7"/>
    <w:basedOn w:val="Normal"/>
    <w:next w:val="Normal"/>
    <w:autoRedefine/>
    <w:uiPriority w:val="39"/>
    <w:unhideWhenUsed/>
    <w:rsid w:val="00E744D2"/>
    <w:pPr>
      <w:suppressAutoHyphens w:val="0"/>
      <w:autoSpaceDN/>
      <w:spacing w:before="0" w:after="100" w:line="259" w:lineRule="auto"/>
      <w:ind w:left="1320"/>
      <w:jc w:val="left"/>
      <w:textAlignment w:val="auto"/>
    </w:pPr>
    <w:rPr>
      <w:rFonts w:eastAsiaTheme="minorEastAsia" w:cstheme="minorBidi"/>
      <w:lang w:eastAsia="hr-HR"/>
    </w:rPr>
  </w:style>
  <w:style w:type="paragraph" w:styleId="TOC8">
    <w:name w:val="toc 8"/>
    <w:basedOn w:val="Normal"/>
    <w:next w:val="Normal"/>
    <w:autoRedefine/>
    <w:uiPriority w:val="39"/>
    <w:unhideWhenUsed/>
    <w:rsid w:val="00E744D2"/>
    <w:pPr>
      <w:suppressAutoHyphens w:val="0"/>
      <w:autoSpaceDN/>
      <w:spacing w:before="0" w:after="100" w:line="259" w:lineRule="auto"/>
      <w:ind w:left="1540"/>
      <w:jc w:val="left"/>
      <w:textAlignment w:val="auto"/>
    </w:pPr>
    <w:rPr>
      <w:rFonts w:eastAsiaTheme="minorEastAsia" w:cstheme="minorBidi"/>
      <w:lang w:eastAsia="hr-HR"/>
    </w:rPr>
  </w:style>
  <w:style w:type="paragraph" w:styleId="TOC9">
    <w:name w:val="toc 9"/>
    <w:basedOn w:val="Normal"/>
    <w:next w:val="Normal"/>
    <w:autoRedefine/>
    <w:uiPriority w:val="39"/>
    <w:unhideWhenUsed/>
    <w:rsid w:val="00E744D2"/>
    <w:pPr>
      <w:suppressAutoHyphens w:val="0"/>
      <w:autoSpaceDN/>
      <w:spacing w:before="0" w:after="100" w:line="259" w:lineRule="auto"/>
      <w:ind w:left="1760"/>
      <w:jc w:val="left"/>
      <w:textAlignment w:val="auto"/>
    </w:pPr>
    <w:rPr>
      <w:rFonts w:eastAsiaTheme="minorEastAsia" w:cstheme="minorBidi"/>
      <w:lang w:eastAsia="hr-HR"/>
    </w:rPr>
  </w:style>
  <w:style w:type="character" w:customStyle="1" w:styleId="Zadanifontodlomka1">
    <w:name w:val="Zadani font odlomka1"/>
    <w:rsid w:val="00223D3C"/>
  </w:style>
  <w:style w:type="paragraph" w:customStyle="1" w:styleId="Style1">
    <w:name w:val="Style1"/>
    <w:basedOn w:val="Caption"/>
    <w:link w:val="Style1Char"/>
    <w:autoRedefine/>
    <w:qFormat/>
    <w:rsid w:val="007D1E1B"/>
    <w:pPr>
      <w:spacing w:after="60"/>
      <w:jc w:val="left"/>
    </w:pPr>
    <w:rPr>
      <w:sz w:val="20"/>
      <w:lang w:val="en-GB"/>
    </w:rPr>
  </w:style>
  <w:style w:type="paragraph" w:customStyle="1" w:styleId="Style2">
    <w:name w:val="Style2"/>
    <w:basedOn w:val="Caption"/>
    <w:link w:val="Style2Char"/>
    <w:qFormat/>
    <w:rsid w:val="00EC7A1B"/>
    <w:pPr>
      <w:jc w:val="center"/>
    </w:pPr>
    <w:rPr>
      <w:iCs w:val="0"/>
      <w:sz w:val="20"/>
      <w:szCs w:val="22"/>
      <w:lang w:val="en-GB"/>
    </w:rPr>
  </w:style>
  <w:style w:type="character" w:customStyle="1" w:styleId="CaptionChar">
    <w:name w:val="Caption Char"/>
    <w:basedOn w:val="DefaultParagraphFont"/>
    <w:link w:val="Caption"/>
    <w:uiPriority w:val="35"/>
    <w:rsid w:val="0037288C"/>
    <w:rPr>
      <w:rFonts w:asciiTheme="minorHAnsi" w:hAnsiTheme="minorHAnsi"/>
      <w:i/>
      <w:iCs/>
      <w:color w:val="373545" w:themeColor="text2"/>
      <w:sz w:val="18"/>
      <w:szCs w:val="18"/>
    </w:rPr>
  </w:style>
  <w:style w:type="character" w:customStyle="1" w:styleId="Style1Char">
    <w:name w:val="Style1 Char"/>
    <w:basedOn w:val="CaptionChar"/>
    <w:link w:val="Style1"/>
    <w:rsid w:val="007D1E1B"/>
    <w:rPr>
      <w:rFonts w:asciiTheme="minorHAnsi" w:hAnsiTheme="minorHAnsi"/>
      <w:i/>
      <w:iCs/>
      <w:color w:val="373545" w:themeColor="text2"/>
      <w:sz w:val="20"/>
      <w:szCs w:val="18"/>
      <w:lang w:val="en-GB"/>
    </w:rPr>
  </w:style>
  <w:style w:type="character" w:customStyle="1" w:styleId="Style2Char">
    <w:name w:val="Style2 Char"/>
    <w:basedOn w:val="CaptionChar"/>
    <w:link w:val="Style2"/>
    <w:rsid w:val="00EC7A1B"/>
    <w:rPr>
      <w:rFonts w:asciiTheme="minorHAnsi" w:hAnsiTheme="minorHAnsi"/>
      <w:i/>
      <w:iCs w:val="0"/>
      <w:color w:val="373545" w:themeColor="text2"/>
      <w:sz w:val="20"/>
      <w:szCs w:val="18"/>
      <w:lang w:val="en-GB"/>
    </w:rPr>
  </w:style>
  <w:style w:type="paragraph" w:customStyle="1" w:styleId="head2">
    <w:name w:val="head2"/>
    <w:basedOn w:val="ListParagraph"/>
    <w:qFormat/>
    <w:rsid w:val="00FB4824"/>
    <w:pPr>
      <w:keepNext/>
      <w:keepLines/>
      <w:numPr>
        <w:numId w:val="61"/>
      </w:numPr>
      <w:suppressAutoHyphens w:val="0"/>
      <w:autoSpaceDN/>
      <w:spacing w:before="0" w:after="240" w:line="240" w:lineRule="auto"/>
      <w:jc w:val="left"/>
      <w:textAlignment w:val="auto"/>
    </w:pPr>
    <w:rPr>
      <w:rFonts w:ascii="Times New Roman" w:eastAsiaTheme="minorEastAsia" w:hAnsi="Times New Roman"/>
      <w:b/>
      <w:lang w:val="en-US"/>
    </w:rPr>
  </w:style>
  <w:style w:type="character" w:styleId="UnresolvedMention">
    <w:name w:val="Unresolved Mention"/>
    <w:basedOn w:val="DefaultParagraphFont"/>
    <w:uiPriority w:val="99"/>
    <w:semiHidden/>
    <w:unhideWhenUsed/>
    <w:rsid w:val="004B3596"/>
    <w:rPr>
      <w:color w:val="605E5C"/>
      <w:shd w:val="clear" w:color="auto" w:fill="E1DFDD"/>
    </w:rPr>
  </w:style>
  <w:style w:type="table" w:customStyle="1" w:styleId="TableGrid4">
    <w:name w:val="Table Grid4"/>
    <w:basedOn w:val="TableNormal"/>
    <w:next w:val="TableGrid"/>
    <w:uiPriority w:val="39"/>
    <w:rsid w:val="00113C2C"/>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11">
    <w:name w:val="TABLICA_HAOP11"/>
    <w:basedOn w:val="TableNormal"/>
    <w:next w:val="TableGrid"/>
    <w:uiPriority w:val="39"/>
    <w:rsid w:val="00113C2C"/>
    <w:pPr>
      <w:autoSpaceDN/>
      <w:spacing w:after="0" w:line="240" w:lineRule="auto"/>
      <w:textAlignment w:val="auto"/>
    </w:pPr>
    <w:rPr>
      <w:rFonts w:ascii="Times New Roman" w:hAnsi="Times New Roman"/>
      <w:sz w:val="18"/>
      <w:szCs w:val="20"/>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Myriad Pro" w:hAnsi="Myriad Pro"/>
        <w:sz w:val="18"/>
      </w:rPr>
      <w:tblPr/>
      <w:tcPr>
        <w:tcBorders>
          <w:insideV w:val="single" w:sz="4" w:space="0" w:color="FFFFFF"/>
        </w:tcBorders>
        <w:shd w:val="clear" w:color="auto" w:fill="003C71"/>
        <w:vAlign w:val="center"/>
      </w:tcPr>
    </w:tblStylePr>
    <w:tblStylePr w:type="lastRow">
      <w:rPr>
        <w:b/>
      </w:rPr>
    </w:tblStylePr>
    <w:tblStylePr w:type="firstCol">
      <w:rPr>
        <w:rFonts w:ascii="Myriad Pro" w:hAnsi="Myriad Pro"/>
        <w:sz w:val="18"/>
      </w:rPr>
      <w:tblPr/>
      <w:tcPr>
        <w:tcBorders>
          <w:insideH w:val="single" w:sz="4" w:space="0" w:color="FFFFFF"/>
        </w:tcBorders>
        <w:shd w:val="clear" w:color="auto" w:fill="003C71"/>
      </w:tcPr>
    </w:tblStylePr>
    <w:tblStylePr w:type="band1Horz">
      <w:tblPr/>
      <w:tcPr>
        <w:shd w:val="clear" w:color="auto" w:fill="D9E2F3"/>
      </w:tcPr>
    </w:tblStylePr>
  </w:style>
  <w:style w:type="table" w:customStyle="1" w:styleId="TableGridLight1">
    <w:name w:val="Table Grid Light1"/>
    <w:basedOn w:val="TableNormal"/>
    <w:next w:val="TableGridLight"/>
    <w:uiPriority w:val="40"/>
    <w:rsid w:val="00113C2C"/>
    <w:pPr>
      <w:autoSpaceDN/>
      <w:spacing w:after="0" w:line="240" w:lineRule="auto"/>
      <w:textAlignment w:val="auto"/>
    </w:pPr>
    <w:rPr>
      <w:rFonts w:ascii="Times New Roman" w:hAnsi="Times New Roman"/>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ICAHAOP2">
    <w:name w:val="TABLICA_HAOP2"/>
    <w:basedOn w:val="TableNormal"/>
    <w:next w:val="TableGrid"/>
    <w:uiPriority w:val="39"/>
    <w:rsid w:val="00936C61"/>
    <w:pPr>
      <w:autoSpaceDN/>
      <w:spacing w:after="0" w:line="240" w:lineRule="auto"/>
      <w:textAlignment w:val="auto"/>
    </w:pPr>
    <w:rPr>
      <w:rFonts w:ascii="Times New Roman" w:hAnsi="Times New Roman"/>
      <w:sz w:val="18"/>
      <w:szCs w:val="20"/>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cBorders>
        <w:shd w:val="clear" w:color="auto" w:fill="003C71"/>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34100">
      <w:bodyDiv w:val="1"/>
      <w:marLeft w:val="0"/>
      <w:marRight w:val="0"/>
      <w:marTop w:val="0"/>
      <w:marBottom w:val="0"/>
      <w:divBdr>
        <w:top w:val="none" w:sz="0" w:space="0" w:color="auto"/>
        <w:left w:val="none" w:sz="0" w:space="0" w:color="auto"/>
        <w:bottom w:val="none" w:sz="0" w:space="0" w:color="auto"/>
        <w:right w:val="none" w:sz="0" w:space="0" w:color="auto"/>
      </w:divBdr>
    </w:div>
    <w:div w:id="315496634">
      <w:bodyDiv w:val="1"/>
      <w:marLeft w:val="0"/>
      <w:marRight w:val="0"/>
      <w:marTop w:val="0"/>
      <w:marBottom w:val="0"/>
      <w:divBdr>
        <w:top w:val="none" w:sz="0" w:space="0" w:color="auto"/>
        <w:left w:val="none" w:sz="0" w:space="0" w:color="auto"/>
        <w:bottom w:val="none" w:sz="0" w:space="0" w:color="auto"/>
        <w:right w:val="none" w:sz="0" w:space="0" w:color="auto"/>
      </w:divBdr>
    </w:div>
    <w:div w:id="422455684">
      <w:bodyDiv w:val="1"/>
      <w:marLeft w:val="0"/>
      <w:marRight w:val="0"/>
      <w:marTop w:val="0"/>
      <w:marBottom w:val="0"/>
      <w:divBdr>
        <w:top w:val="none" w:sz="0" w:space="0" w:color="auto"/>
        <w:left w:val="none" w:sz="0" w:space="0" w:color="auto"/>
        <w:bottom w:val="none" w:sz="0" w:space="0" w:color="auto"/>
        <w:right w:val="none" w:sz="0" w:space="0" w:color="auto"/>
      </w:divBdr>
    </w:div>
    <w:div w:id="428934378">
      <w:bodyDiv w:val="1"/>
      <w:marLeft w:val="0"/>
      <w:marRight w:val="0"/>
      <w:marTop w:val="0"/>
      <w:marBottom w:val="0"/>
      <w:divBdr>
        <w:top w:val="none" w:sz="0" w:space="0" w:color="auto"/>
        <w:left w:val="none" w:sz="0" w:space="0" w:color="auto"/>
        <w:bottom w:val="none" w:sz="0" w:space="0" w:color="auto"/>
        <w:right w:val="none" w:sz="0" w:space="0" w:color="auto"/>
      </w:divBdr>
    </w:div>
    <w:div w:id="431436353">
      <w:bodyDiv w:val="1"/>
      <w:marLeft w:val="0"/>
      <w:marRight w:val="0"/>
      <w:marTop w:val="0"/>
      <w:marBottom w:val="0"/>
      <w:divBdr>
        <w:top w:val="none" w:sz="0" w:space="0" w:color="auto"/>
        <w:left w:val="none" w:sz="0" w:space="0" w:color="auto"/>
        <w:bottom w:val="none" w:sz="0" w:space="0" w:color="auto"/>
        <w:right w:val="none" w:sz="0" w:space="0" w:color="auto"/>
      </w:divBdr>
    </w:div>
    <w:div w:id="604728297">
      <w:bodyDiv w:val="1"/>
      <w:marLeft w:val="0"/>
      <w:marRight w:val="0"/>
      <w:marTop w:val="0"/>
      <w:marBottom w:val="0"/>
      <w:divBdr>
        <w:top w:val="none" w:sz="0" w:space="0" w:color="auto"/>
        <w:left w:val="none" w:sz="0" w:space="0" w:color="auto"/>
        <w:bottom w:val="none" w:sz="0" w:space="0" w:color="auto"/>
        <w:right w:val="none" w:sz="0" w:space="0" w:color="auto"/>
      </w:divBdr>
    </w:div>
    <w:div w:id="656690906">
      <w:bodyDiv w:val="1"/>
      <w:marLeft w:val="0"/>
      <w:marRight w:val="0"/>
      <w:marTop w:val="0"/>
      <w:marBottom w:val="0"/>
      <w:divBdr>
        <w:top w:val="none" w:sz="0" w:space="0" w:color="auto"/>
        <w:left w:val="none" w:sz="0" w:space="0" w:color="auto"/>
        <w:bottom w:val="none" w:sz="0" w:space="0" w:color="auto"/>
        <w:right w:val="none" w:sz="0" w:space="0" w:color="auto"/>
      </w:divBdr>
    </w:div>
    <w:div w:id="955908487">
      <w:bodyDiv w:val="1"/>
      <w:marLeft w:val="0"/>
      <w:marRight w:val="0"/>
      <w:marTop w:val="0"/>
      <w:marBottom w:val="0"/>
      <w:divBdr>
        <w:top w:val="none" w:sz="0" w:space="0" w:color="auto"/>
        <w:left w:val="none" w:sz="0" w:space="0" w:color="auto"/>
        <w:bottom w:val="none" w:sz="0" w:space="0" w:color="auto"/>
        <w:right w:val="none" w:sz="0" w:space="0" w:color="auto"/>
      </w:divBdr>
    </w:div>
    <w:div w:id="1098910863">
      <w:bodyDiv w:val="1"/>
      <w:marLeft w:val="0"/>
      <w:marRight w:val="0"/>
      <w:marTop w:val="0"/>
      <w:marBottom w:val="0"/>
      <w:divBdr>
        <w:top w:val="none" w:sz="0" w:space="0" w:color="auto"/>
        <w:left w:val="none" w:sz="0" w:space="0" w:color="auto"/>
        <w:bottom w:val="none" w:sz="0" w:space="0" w:color="auto"/>
        <w:right w:val="none" w:sz="0" w:space="0" w:color="auto"/>
      </w:divBdr>
    </w:div>
    <w:div w:id="1155797630">
      <w:bodyDiv w:val="1"/>
      <w:marLeft w:val="0"/>
      <w:marRight w:val="0"/>
      <w:marTop w:val="0"/>
      <w:marBottom w:val="0"/>
      <w:divBdr>
        <w:top w:val="none" w:sz="0" w:space="0" w:color="auto"/>
        <w:left w:val="none" w:sz="0" w:space="0" w:color="auto"/>
        <w:bottom w:val="none" w:sz="0" w:space="0" w:color="auto"/>
        <w:right w:val="none" w:sz="0" w:space="0" w:color="auto"/>
      </w:divBdr>
    </w:div>
    <w:div w:id="1226572390">
      <w:bodyDiv w:val="1"/>
      <w:marLeft w:val="0"/>
      <w:marRight w:val="0"/>
      <w:marTop w:val="0"/>
      <w:marBottom w:val="0"/>
      <w:divBdr>
        <w:top w:val="none" w:sz="0" w:space="0" w:color="auto"/>
        <w:left w:val="none" w:sz="0" w:space="0" w:color="auto"/>
        <w:bottom w:val="none" w:sz="0" w:space="0" w:color="auto"/>
        <w:right w:val="none" w:sz="0" w:space="0" w:color="auto"/>
      </w:divBdr>
    </w:div>
    <w:div w:id="1294143138">
      <w:bodyDiv w:val="1"/>
      <w:marLeft w:val="0"/>
      <w:marRight w:val="0"/>
      <w:marTop w:val="0"/>
      <w:marBottom w:val="0"/>
      <w:divBdr>
        <w:top w:val="none" w:sz="0" w:space="0" w:color="auto"/>
        <w:left w:val="none" w:sz="0" w:space="0" w:color="auto"/>
        <w:bottom w:val="none" w:sz="0" w:space="0" w:color="auto"/>
        <w:right w:val="none" w:sz="0" w:space="0" w:color="auto"/>
      </w:divBdr>
    </w:div>
    <w:div w:id="1327785841">
      <w:bodyDiv w:val="1"/>
      <w:marLeft w:val="0"/>
      <w:marRight w:val="0"/>
      <w:marTop w:val="0"/>
      <w:marBottom w:val="0"/>
      <w:divBdr>
        <w:top w:val="none" w:sz="0" w:space="0" w:color="auto"/>
        <w:left w:val="none" w:sz="0" w:space="0" w:color="auto"/>
        <w:bottom w:val="none" w:sz="0" w:space="0" w:color="auto"/>
        <w:right w:val="none" w:sz="0" w:space="0" w:color="auto"/>
      </w:divBdr>
    </w:div>
    <w:div w:id="1363818335">
      <w:bodyDiv w:val="1"/>
      <w:marLeft w:val="0"/>
      <w:marRight w:val="0"/>
      <w:marTop w:val="0"/>
      <w:marBottom w:val="0"/>
      <w:divBdr>
        <w:top w:val="none" w:sz="0" w:space="0" w:color="auto"/>
        <w:left w:val="none" w:sz="0" w:space="0" w:color="auto"/>
        <w:bottom w:val="none" w:sz="0" w:space="0" w:color="auto"/>
        <w:right w:val="none" w:sz="0" w:space="0" w:color="auto"/>
      </w:divBdr>
    </w:div>
    <w:div w:id="1400060117">
      <w:bodyDiv w:val="1"/>
      <w:marLeft w:val="0"/>
      <w:marRight w:val="0"/>
      <w:marTop w:val="0"/>
      <w:marBottom w:val="0"/>
      <w:divBdr>
        <w:top w:val="none" w:sz="0" w:space="0" w:color="auto"/>
        <w:left w:val="none" w:sz="0" w:space="0" w:color="auto"/>
        <w:bottom w:val="none" w:sz="0" w:space="0" w:color="auto"/>
        <w:right w:val="none" w:sz="0" w:space="0" w:color="auto"/>
      </w:divBdr>
    </w:div>
    <w:div w:id="1461343371">
      <w:bodyDiv w:val="1"/>
      <w:marLeft w:val="0"/>
      <w:marRight w:val="0"/>
      <w:marTop w:val="0"/>
      <w:marBottom w:val="0"/>
      <w:divBdr>
        <w:top w:val="none" w:sz="0" w:space="0" w:color="auto"/>
        <w:left w:val="none" w:sz="0" w:space="0" w:color="auto"/>
        <w:bottom w:val="none" w:sz="0" w:space="0" w:color="auto"/>
        <w:right w:val="none" w:sz="0" w:space="0" w:color="auto"/>
      </w:divBdr>
    </w:div>
    <w:div w:id="1483740223">
      <w:bodyDiv w:val="1"/>
      <w:marLeft w:val="0"/>
      <w:marRight w:val="0"/>
      <w:marTop w:val="0"/>
      <w:marBottom w:val="0"/>
      <w:divBdr>
        <w:top w:val="none" w:sz="0" w:space="0" w:color="auto"/>
        <w:left w:val="none" w:sz="0" w:space="0" w:color="auto"/>
        <w:bottom w:val="none" w:sz="0" w:space="0" w:color="auto"/>
        <w:right w:val="none" w:sz="0" w:space="0" w:color="auto"/>
      </w:divBdr>
    </w:div>
    <w:div w:id="1697460096">
      <w:bodyDiv w:val="1"/>
      <w:marLeft w:val="0"/>
      <w:marRight w:val="0"/>
      <w:marTop w:val="0"/>
      <w:marBottom w:val="0"/>
      <w:divBdr>
        <w:top w:val="none" w:sz="0" w:space="0" w:color="auto"/>
        <w:left w:val="none" w:sz="0" w:space="0" w:color="auto"/>
        <w:bottom w:val="none" w:sz="0" w:space="0" w:color="auto"/>
        <w:right w:val="none" w:sz="0" w:space="0" w:color="auto"/>
      </w:divBdr>
    </w:div>
    <w:div w:id="1852376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www.ifc.org/wps/wcm/connect/topics_ext_content/ifc_external_corporate_site/sustainability-at-ifc/publications/publications_tipsheet_covid-19-ohs" TargetMode="External"/><Relationship Id="rId21" Type="http://schemas.openxmlformats.org/officeDocument/2006/relationships/image" Target="media/image8.emf"/><Relationship Id="rId42" Type="http://schemas.openxmlformats.org/officeDocument/2006/relationships/image" Target="media/image22.png"/><Relationship Id="rId47" Type="http://schemas.openxmlformats.org/officeDocument/2006/relationships/hyperlink" Target="https://www.worldbank.org/en/projects-operations/environmental-and-social-framework/brief/environmental-and-social-standards" TargetMode="External"/><Relationship Id="rId63" Type="http://schemas.openxmlformats.org/officeDocument/2006/relationships/image" Target="media/image36.emf"/><Relationship Id="rId68" Type="http://schemas.openxmlformats.org/officeDocument/2006/relationships/image" Target="media/image39.emf"/><Relationship Id="rId84" Type="http://schemas.openxmlformats.org/officeDocument/2006/relationships/hyperlink" Target="https://narodne-novine.nn.hr/clanci/sluzbeni/2020_07_81_1517.html" TargetMode="External"/><Relationship Id="rId89" Type="http://schemas.openxmlformats.org/officeDocument/2006/relationships/hyperlink" Target="https://narodne-novine.nn.hr/clanci/sluzbeni/2017_08_87_2073.html" TargetMode="External"/><Relationship Id="rId112" Type="http://schemas.openxmlformats.org/officeDocument/2006/relationships/hyperlink" Target="https://www.who.int/who-documents-detail/disability-considerations-during-the-covid-19-outbreak" TargetMode="External"/><Relationship Id="rId16" Type="http://schemas.openxmlformats.org/officeDocument/2006/relationships/image" Target="media/image4.png"/><Relationship Id="rId107" Type="http://schemas.openxmlformats.org/officeDocument/2006/relationships/hyperlink" Target="https://apps.who.int/iris/bitstream/handle/10665/331215/WHO-2019-nCov-IPCPPE_use-2020.1-eng.pdf" TargetMode="External"/><Relationship Id="rId11" Type="http://schemas.openxmlformats.org/officeDocument/2006/relationships/footer" Target="footer1.xml"/><Relationship Id="rId32" Type="http://schemas.openxmlformats.org/officeDocument/2006/relationships/hyperlink" Target="https://infogalactic.com/info/Croatia" TargetMode="External"/><Relationship Id="rId37" Type="http://schemas.openxmlformats.org/officeDocument/2006/relationships/chart" Target="charts/chart1.xml"/><Relationship Id="rId53" Type="http://schemas.openxmlformats.org/officeDocument/2006/relationships/image" Target="media/image30.png"/><Relationship Id="rId58" Type="http://schemas.openxmlformats.org/officeDocument/2006/relationships/hyperlink" Target="https://zdravlje.gov.hr/" TargetMode="External"/><Relationship Id="rId74" Type="http://schemas.openxmlformats.org/officeDocument/2006/relationships/hyperlink" Target="https://narodne-novine.nn.hr/clanci/sluzbeni/2020_07_81_1517.html" TargetMode="External"/><Relationship Id="rId79" Type="http://schemas.openxmlformats.org/officeDocument/2006/relationships/hyperlink" Target="http://regdoz.azo.hr/" TargetMode="External"/><Relationship Id="rId102"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123" Type="http://schemas.openxmlformats.org/officeDocument/2006/relationships/hyperlink" Target="https://civilna-zastita.gov.hr/vijesti/preporuke-za-kucanstva-i-ostale-zatvorene-prostore/2289" TargetMode="External"/><Relationship Id="rId5" Type="http://schemas.openxmlformats.org/officeDocument/2006/relationships/settings" Target="settings.xml"/><Relationship Id="rId90" Type="http://schemas.openxmlformats.org/officeDocument/2006/relationships/hyperlink" Target="https://www.who.int/emergencies/diseases/novel-coronavirus-2019/advice-for-public" TargetMode="External"/><Relationship Id="rId95" Type="http://schemas.openxmlformats.org/officeDocument/2006/relationships/hyperlink" Target="https://www.who.int/publications-detail/laboratory-biosafety-guidance-related-to-coronavirus-disease-2019-(covid-19)" TargetMode="External"/><Relationship Id="rId19" Type="http://schemas.openxmlformats.org/officeDocument/2006/relationships/hyperlink" Target="https://www.ecdc.europa.eu/en/covid-19/country-overviews" TargetMode="External"/><Relationship Id="rId14" Type="http://schemas.openxmlformats.org/officeDocument/2006/relationships/hyperlink" Target="https://www.koronavirus.hr/en"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www.bioportal.hr/gis/" TargetMode="External"/><Relationship Id="rId35" Type="http://schemas.openxmlformats.org/officeDocument/2006/relationships/image" Target="media/image18.png"/><Relationship Id="rId43" Type="http://schemas.openxmlformats.org/officeDocument/2006/relationships/hyperlink" Target="https://mgipu.gov.hr/pristup-informacijama/zakoni-i-ostali-propisi/88"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package" Target="embeddings/Microsoft_Visio_Drawing.vsdx"/><Relationship Id="rId69" Type="http://schemas.openxmlformats.org/officeDocument/2006/relationships/package" Target="embeddings/Microsoft_Visio_Drawing1.vsdx"/><Relationship Id="rId77" Type="http://schemas.openxmlformats.org/officeDocument/2006/relationships/hyperlink" Target="https://narodne-novine.nn.hr/clanci/sluzbeni/2015_05_50_989.html" TargetMode="External"/><Relationship Id="rId100" Type="http://schemas.openxmlformats.org/officeDocument/2006/relationships/hyperlink" Target="https://www.who.int/news-room/articles-detail/key-considerations-for-repatriation-and-quarantine-of-travellers-in-relation-to-the-outbreak-of-novel-coronavirus-2019-ncov" TargetMode="External"/><Relationship Id="rId105" Type="http://schemas.openxmlformats.org/officeDocument/2006/relationships/hyperlink" Target="https://www.who.int/publications-detail/considerations-for-quarantine-of-individuals-in-the-context-of-containment-for-coronavirus-disease-(covid-19)" TargetMode="External"/><Relationship Id="rId113" Type="http://schemas.openxmlformats.org/officeDocument/2006/relationships/hyperlink" Target="https://worldbankgroup.sharepoint.com/sites/wbunits/opcs/Knowledge%20Base/Public%20Consultations%20in%20WB%20Operations.pdf" TargetMode="External"/><Relationship Id="rId118" Type="http://schemas.openxmlformats.org/officeDocument/2006/relationships/hyperlink" Target="https://www.ifc.org/wps/wcm/connect/topics_ext_content/ifc_external_corporate_site/sustainability-at-ifc/publications/publications_tipsheet_covid-19_supportingworkers"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eader" Target="header1.xml"/><Relationship Id="rId80" Type="http://schemas.openxmlformats.org/officeDocument/2006/relationships/hyperlink" Target="https://civilna-zastita.gov.hr/podrucja-djelovanja/radioloska-i-nuklearna-sigurnost/sluzba-za-nuklearnu-sigurnost/odjel-za-okolis-i-radioaktivni-otpad/134" TargetMode="External"/><Relationship Id="rId85" Type="http://schemas.openxmlformats.org/officeDocument/2006/relationships/hyperlink" Target="https://narodne-novine.nn.hr/clanci/sluzbeni/2015_05_50_989.html" TargetMode="External"/><Relationship Id="rId93" Type="http://schemas.openxmlformats.org/officeDocument/2006/relationships/hyperlink" Target="https://www.who.int/publications-detail/severe-acute-respiratory-infections-treatment-centre" TargetMode="External"/><Relationship Id="rId98" Type="http://schemas.openxmlformats.org/officeDocument/2006/relationships/hyperlink" Target="https://apps.who.int/iris/bitstream/handle/10665/331509/WHO-COVID-19-lab_testing-2020.1-eng.pdf" TargetMode="External"/><Relationship Id="rId121" Type="http://schemas.openxmlformats.org/officeDocument/2006/relationships/hyperlink" Target="https://www.ilo.org/wcmsp5/groups/public/---ed_norm/---normes/documents/publication/wcms_739937.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www.voda.hr/sites/default/files/dokumenti/plan_provedbe_vodno-komunalnih_direktiva_-_engleski.pdf" TargetMode="External"/><Relationship Id="rId33" Type="http://schemas.openxmlformats.org/officeDocument/2006/relationships/hyperlink" Target="https://infogalactic.com/info/Counties_of_Croatia" TargetMode="External"/><Relationship Id="rId38" Type="http://schemas.openxmlformats.org/officeDocument/2006/relationships/hyperlink" Target="https://narodne-novine.nn.hr/clanci/sluzbeni/2015_05_50_989.html" TargetMode="External"/><Relationship Id="rId46" Type="http://schemas.openxmlformats.org/officeDocument/2006/relationships/hyperlink" Target="https://registar.kulturnadobra.hr/" TargetMode="External"/><Relationship Id="rId59" Type="http://schemas.openxmlformats.org/officeDocument/2006/relationships/hyperlink" Target="http://www.worldbank.org/GRS" TargetMode="External"/><Relationship Id="rId67" Type="http://schemas.openxmlformats.org/officeDocument/2006/relationships/hyperlink" Target="https://dozvola.mgipu.hr/javnopravna-tijela" TargetMode="External"/><Relationship Id="rId103" Type="http://schemas.openxmlformats.org/officeDocument/2006/relationships/hyperlink" Target="https://www.who.int/publications-detail/oxygen-sources-and-distribution-for-covid-19-treatment-centres" TargetMode="External"/><Relationship Id="rId108" Type="http://schemas.openxmlformats.org/officeDocument/2006/relationships/hyperlink" Target="https://www.who.int/docs/default-source/coronaviruse/getting-workplace-ready-for-covid-19.pdf" TargetMode="External"/><Relationship Id="rId116" Type="http://schemas.openxmlformats.org/officeDocument/2006/relationships/hyperlink" Target="https://worldbankgroup.sharepoint.com/sites/gsg/HealthySocieties/Documents/COVID-19/Technical%20Note%20on%20addressing%20SEAH%20in%20HNP%20COVID%20response%20operations.pdf" TargetMode="External"/><Relationship Id="rId124" Type="http://schemas.openxmlformats.org/officeDocument/2006/relationships/hyperlink" Target="http://uznr.mrms.hr/wp-content/uploads/2020/04/uputa_za_gradilista_2020.pdf"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hyperlink" Target="https://www.who.int/emergencies/diseases/novel-coronavirus-2019/advice-for-public" TargetMode="External"/><Relationship Id="rId75" Type="http://schemas.openxmlformats.org/officeDocument/2006/relationships/hyperlink" Target="https://narodne-novine.nn.hr/clanci/sluzbeni/2018_02_12_271.html" TargetMode="External"/><Relationship Id="rId83" Type="http://schemas.openxmlformats.org/officeDocument/2006/relationships/hyperlink" Target="https://narodne-novine.nn.hr/clanci/sluzbeni/2015_05_50_989.html" TargetMode="External"/><Relationship Id="rId88" Type="http://schemas.openxmlformats.org/officeDocument/2006/relationships/hyperlink" Target="https://narodne-novine.nn.hr/clanci/sluzbeni/2020_03_26_622.html" TargetMode="External"/><Relationship Id="rId91" Type="http://schemas.openxmlformats.org/officeDocument/2006/relationships/hyperlink" Target="https://www.who.int/publications-detail/infection-prevention-and-control-during-health-care-when-novel-coronavirus-(ncov)-infection-is-suspected-20200125" TargetMode="External"/><Relationship Id="rId96" Type="http://schemas.openxmlformats.org/officeDocument/2006/relationships/hyperlink" Target="https://www.who.int/csr/resources/publications/biosafety/Biosafety7.pdf?ua=1" TargetMode="External"/><Relationship Id="rId111" Type="http://schemas.openxmlformats.org/officeDocument/2006/relationships/hyperlink" Target="https://www.who.int/publications-detail/advice-on-the-use-of-masks-in-the-community-during-home-care-and-in-healthcare-settings-in-the-context-of-the-novel-coronavirus-(2019-ncov)-outbrea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koronavirus.hr/latest-news/162-new-covid-19-cases-in-the-last-24-hours-106-people-hospitalized/151"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hyperlink" Target="https://mgipu.gov.hr/" TargetMode="External"/><Relationship Id="rId106" Type="http://schemas.openxmlformats.org/officeDocument/2006/relationships/hyperlink" Target="https://apps.who.int/iris/bitstream/handle/10665/331492/WHO-2019-nCoV-HCF_operations-2020.1-eng.pdf" TargetMode="External"/><Relationship Id="rId114" Type="http://schemas.openxmlformats.org/officeDocument/2006/relationships/hyperlink" Target="https://worldbankgroup.sharepoint.com/sites/wbunits/opcs/Knowledge%20Base/Security%20Forces%20EandS%20issues%20in%20COVID%20projects.pdf" TargetMode="External"/><Relationship Id="rId119"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hyperlink" Target="http://www.inspectionpanel.org" TargetMode="External"/><Relationship Id="rId65" Type="http://schemas.openxmlformats.org/officeDocument/2006/relationships/image" Target="media/image37.png"/><Relationship Id="rId73" Type="http://schemas.openxmlformats.org/officeDocument/2006/relationships/hyperlink" Target="https://narodne-novine.nn.hr/clanci/sluzbeni/2015_08_90_1757.html" TargetMode="External"/><Relationship Id="rId78" Type="http://schemas.openxmlformats.org/officeDocument/2006/relationships/hyperlink" Target="https://narodne-novine.nn.hr/clanci/sluzbeni/2018_02_12_271.html" TargetMode="External"/><Relationship Id="rId81" Type="http://schemas.openxmlformats.org/officeDocument/2006/relationships/hyperlink" Target="https://narodne-novine.nn.hr/clanci/sluzbeni/2020_01_9_171.html" TargetMode="External"/><Relationship Id="rId86" Type="http://schemas.openxmlformats.org/officeDocument/2006/relationships/hyperlink" Target="https://narodne-novine.nn.hr/clanci/sluzbeni/2015_08_87_1727.html" TargetMode="External"/><Relationship Id="rId94" Type="http://schemas.openxmlformats.org/officeDocument/2006/relationships/hyperlink" Target="https://www.who.int/infection-prevention/tools/core-components/facility-manual.pdf" TargetMode="External"/><Relationship Id="rId99" Type="http://schemas.openxmlformats.org/officeDocument/2006/relationships/hyperlink" Target="https://apps.who.int/iris/bitstream/handle/10665/331538/WHO-COVID-19-lPC_DBMgmt-2020.1-eng.pdf" TargetMode="External"/><Relationship Id="rId101" Type="http://schemas.openxmlformats.org/officeDocument/2006/relationships/hyperlink" Target="https://www.who.int/publications-detail/preparedness-prevention-and-control-of-coronavirus-disease-(covid-19)-for-refugees-and-migrants-in-non-camp-settings" TargetMode="External"/><Relationship Id="rId122" Type="http://schemas.openxmlformats.org/officeDocument/2006/relationships/hyperlink" Target="https://www.hzjz.hr/sluzba-epidemiologija-zarazne-bolesti/koronavirus-najnovije-preporuke/"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narodne-novine.nn.hr/clanci/sluzbeni/2017_08_87_2073.html" TargetMode="External"/><Relationship Id="rId109" Type="http://schemas.openxmlformats.org/officeDocument/2006/relationships/hyperlink" Target="https://www.who.int/publications-detail/water-sanitation-hygiene-and-waste-management-for-covid-19" TargetMode="External"/><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s://narodne-novine.nn.hr/clanci/sluzbeni/2020_07_81_1517.html" TargetMode="External"/><Relationship Id="rId97" Type="http://schemas.openxmlformats.org/officeDocument/2006/relationships/hyperlink" Target="https://www.who.int/publications-detail/laboratory-testing-for-2019-novel-coronavirus-in-suspected-human-cases-20200117" TargetMode="External"/><Relationship Id="rId104" Type="http://schemas.openxmlformats.org/officeDocument/2006/relationships/hyperlink" Target="https://www.who.int/publications-detail/risk-communication-and-community-engagement-(rcce)-action-plan-guidance" TargetMode="External"/><Relationship Id="rId120" Type="http://schemas.openxmlformats.org/officeDocument/2006/relationships/hyperlink" Target="https://www.ifc.org/wps/wcm/connect/960ef524-1fa5-4696-8db3-82c60edf5367/Final%2B-%2BHealth%2BCare%2BFacilities.pdf?MOD=AJPERES&amp;CVID=jqeCW2Q&amp;id=1323161961169" TargetMode="External"/><Relationship Id="rId125" Type="http://schemas.openxmlformats.org/officeDocument/2006/relationships/hyperlink" Target="https://koronavirus.hr/en" TargetMode="External"/><Relationship Id="rId7" Type="http://schemas.openxmlformats.org/officeDocument/2006/relationships/footnotes" Target="footnotes.xml"/><Relationship Id="rId71" Type="http://schemas.openxmlformats.org/officeDocument/2006/relationships/hyperlink" Target="https://koronavirus.hr/en" TargetMode="External"/><Relationship Id="rId92" Type="http://schemas.openxmlformats.org/officeDocument/2006/relationships/hyperlink" Target="https://www.who.int/publications-detail/recommendations-to-member-states-to-improve-hand-hygiene-practices-to-help-prevent-the-transmission-of-the-covid-19-virus"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https://mzoe.gov.hr/o-ministarstvu-1065/djelokrug-4925/4925" TargetMode="External"/><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hyperlink" Target="https://narodne-novine.nn.hr/clanci/sluzbeni/2018_02_12_271.html" TargetMode="External"/><Relationship Id="rId110" Type="http://schemas.openxmlformats.org/officeDocument/2006/relationships/hyperlink" Target="https://apps.who.int/iris/bitstream/handle/10665/85349/9789241548564_eng.pdf?sequence=1" TargetMode="External"/><Relationship Id="rId115" Type="http://schemas.openxmlformats.org/officeDocument/2006/relationships/hyperlink" Target="https://worldbankgroup.sharepoint.com/sites/wbunits/opcs/Knowledge%20Base/ESF%20Safeguards%20Interim%20Note%20Construction%20Civil%20Works%20COVID.pdf" TargetMode="External"/><Relationship Id="rId61" Type="http://schemas.openxmlformats.org/officeDocument/2006/relationships/image" Target="media/image34.png"/><Relationship Id="rId82" Type="http://schemas.openxmlformats.org/officeDocument/2006/relationships/hyperlink" Target="https://narodne-novine.nn.hr/clanci/sluzbeni/2020_03_26_622.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iszz.azo.hr/iskzl/" TargetMode="External"/><Relationship Id="rId18" Type="http://schemas.openxmlformats.org/officeDocument/2006/relationships/hyperlink" Target="https://www.hzjz.hr/wp-content/uploads/2019/07/IZVJE%C5%A0TAJ-O-ZDRAVSTVENOJ-ISPRAVNOSTI-VODE-ZA-LJUDSKU-POTRO%C5%A0NJU-U-REPUBLICI-HRVATSKOJ-ZA-2018_v1.pdf" TargetMode="External"/><Relationship Id="rId26" Type="http://schemas.openxmlformats.org/officeDocument/2006/relationships/hyperlink" Target="http://www.haop.hr/sites/default/files/uploads/dokumenti/012_klima/dostava_podataka/Izvjesca/NIR_2019.pdf" TargetMode="External"/><Relationship Id="rId39" Type="http://schemas.openxmlformats.org/officeDocument/2006/relationships/hyperlink" Target="https://www.hnb.hr/statistika/glavni-makroekonomski-indikatori" TargetMode="External"/><Relationship Id="rId21" Type="http://schemas.openxmlformats.org/officeDocument/2006/relationships/hyperlink" Target="https://ec.europa.eu/eurostat/web/products-eurostat-news/-/DDN-20200318-1?inheritRedirect=true&amp;redirect=%2Feurostat%2Fweb%2Fwaste%2Fpublications" TargetMode="External"/><Relationship Id="rId34" Type="http://schemas.openxmlformats.org/officeDocument/2006/relationships/hyperlink" Target="https://www.dzs.hr/Hrv_Eng/publication/2019/07-01-03_01_2019.htm" TargetMode="External"/><Relationship Id="rId42" Type="http://schemas.openxmlformats.org/officeDocument/2006/relationships/hyperlink" Target="https://europa.eu/european-union/about-eu/countries/member-countries/croatia_en" TargetMode="External"/><Relationship Id="rId47" Type="http://schemas.openxmlformats.org/officeDocument/2006/relationships/hyperlink" Target="https://gov.hr/moja-uprava/obitelj-i-zivot/socijalna-skrb/sustav-socijalne-skrbi/367" TargetMode="External"/><Relationship Id="rId50" Type="http://schemas.openxmlformats.org/officeDocument/2006/relationships/hyperlink" Target="https://ec.europa.eu/health/sites/health/files/state/docs/chp_hr_english.pdf" TargetMode="External"/><Relationship Id="rId55" Type="http://schemas.openxmlformats.org/officeDocument/2006/relationships/hyperlink" Target="https://www.zagreb.hr/zakljucak-o-proglasenju-prirodne-nepogode/156586" TargetMode="External"/><Relationship Id="rId63" Type="http://schemas.openxmlformats.org/officeDocument/2006/relationships/hyperlink" Target="https://civilna-zastita.gov.hr/vijesti/preporuke-za-kucanstva-i-ostale-zatvorene-prostore/2289" TargetMode="External"/><Relationship Id="rId7" Type="http://schemas.openxmlformats.org/officeDocument/2006/relationships/hyperlink" Target="https://www.ecdc.europa.eu/en/covid-19/country-overviews" TargetMode="External"/><Relationship Id="rId2" Type="http://schemas.openxmlformats.org/officeDocument/2006/relationships/hyperlink" Target="https://www.koronavirus.hr/vladine-mjere/101" TargetMode="External"/><Relationship Id="rId16" Type="http://schemas.openxmlformats.org/officeDocument/2006/relationships/hyperlink" Target="https://www.voda.hr/sites/default/files/plan_upravljanja_vodnim_podrucjima_2016._-_2021.pdf" TargetMode="External"/><Relationship Id="rId20" Type="http://schemas.openxmlformats.org/officeDocument/2006/relationships/hyperlink" Target="http://www.haop.hr/hr/tematska-podrucja/otpad-registri-oneciscavanja-i-ostali-sektorski-pritisci/gospodarenje-otpadom-10" TargetMode="External"/><Relationship Id="rId29" Type="http://schemas.openxmlformats.org/officeDocument/2006/relationships/hyperlink" Target="http://croatia.eu/index.php?view=article&amp;lang=2&amp;id=6" TargetMode="External"/><Relationship Id="rId41" Type="http://schemas.openxmlformats.org/officeDocument/2006/relationships/hyperlink" Target="https://ec.europa.eu/info/sites/info/files/economy-finance/eb036_en.pdf" TargetMode="External"/><Relationship Id="rId54" Type="http://schemas.openxmlformats.org/officeDocument/2006/relationships/hyperlink" Target="https://www.zakon.hr/z/190/Zakon-o-zdravstvenoj-za%C5%A1titi" TargetMode="External"/><Relationship Id="rId62" Type="http://schemas.openxmlformats.org/officeDocument/2006/relationships/hyperlink" Target="https://narodne-novine.nn.hr/clanci/sluzbeni/2020_03_26_622.html" TargetMode="External"/><Relationship Id="rId1" Type="http://schemas.openxmlformats.org/officeDocument/2006/relationships/hyperlink" Target="http://documents.worldbank.org/curated/en/744431582122665954/pdf/Strengthening-Integrated-Care-in-Central-and-Eastern-Europe.pdf" TargetMode="External"/><Relationship Id="rId6" Type="http://schemas.openxmlformats.org/officeDocument/2006/relationships/hyperlink" Target="https://www.koronavirus.hr/en" TargetMode="External"/><Relationship Id="rId11" Type="http://schemas.openxmlformats.org/officeDocument/2006/relationships/hyperlink" Target="http://www.haop.hr/sites/default/files/uploads/dokumenti/011_zrak/Izvjesca/Emisije%20one%C4%8Di%C5%A1%C4%87uju%C4%87ih%20tvari%20u%20zrak%20na%20podru%C4%8Dju%20Republike%20Hrvatske%20za%202018.%20godinu.pdf" TargetMode="External"/><Relationship Id="rId24" Type="http://schemas.openxmlformats.org/officeDocument/2006/relationships/hyperlink" Target="http://www.haop.hr/sites/default/files/uploads/dokumenti/06_integrirane/dokumenti/niso/IZVJ_OKOLIS_2013-2016.pdf" TargetMode="External"/><Relationship Id="rId32" Type="http://schemas.openxmlformats.org/officeDocument/2006/relationships/hyperlink" Target="https://vlada.gov.hr/news/gov-t-launches-changes-to-country-s-statistical-subdivision/25178" TargetMode="External"/><Relationship Id="rId37" Type="http://schemas.openxmlformats.org/officeDocument/2006/relationships/hyperlink" Target="https://www.hzjz.hr/wp-content/uploads/2019/08/Prirodno_kretanje_2018.pdf" TargetMode="External"/><Relationship Id="rId40" Type="http://schemas.openxmlformats.org/officeDocument/2006/relationships/hyperlink" Target="https://ec.europa.eu/eurostat/statistics-explained/images/9/9f/Gross_value_added_at_current_basic_prices%2C_2008_and_2018_%28%25_share_of_total_gross_value_added%29_FP19.png" TargetMode="External"/><Relationship Id="rId45" Type="http://schemas.openxmlformats.org/officeDocument/2006/relationships/hyperlink" Target="https://www.dzs.hr/Hrv/publication/StatisticsInLine.htm" TargetMode="External"/><Relationship Id="rId53" Type="http://schemas.openxmlformats.org/officeDocument/2006/relationships/hyperlink" Target="https://www.hzjz.hr/periodicne-publikacije/hrvatski-zdravstveno-statisticki-ljetopis-za-2019-tablicni-podaci/" TargetMode="External"/><Relationship Id="rId58" Type="http://schemas.openxmlformats.org/officeDocument/2006/relationships/hyperlink" Target="https://www.zagrebacka-zupanija.hr/media/filer_public/25/7f/257fb285-b06b-4c96-98c3-e90c614fbb4c/odluka_o_proglasenju_nepogode_potres_27032020.pdf" TargetMode="External"/><Relationship Id="rId66" Type="http://schemas.openxmlformats.org/officeDocument/2006/relationships/hyperlink" Target="https://koronavirus.hr/important-phone-numbers/152" TargetMode="External"/><Relationship Id="rId5" Type="http://schemas.openxmlformats.org/officeDocument/2006/relationships/hyperlink" Target="https://www.koronavirus.hr/UserDocsImages/Dokumenti/Tjedno%20izvje%C5%A1%C4%87e%20za%2016.11..pdf" TargetMode="External"/><Relationship Id="rId15" Type="http://schemas.openxmlformats.org/officeDocument/2006/relationships/hyperlink" Target="https://www.voda.hr/sites/default/files/plan_upravljanja_vodnim_podrucjima_2016._-_2021.pdf" TargetMode="External"/><Relationship Id="rId23" Type="http://schemas.openxmlformats.org/officeDocument/2006/relationships/hyperlink" Target="http://www.haop.hr/sites/default/files/uploads/dokumenti/021_otpad/Izvjesca/ostalo/OTP_2Pregled%20podataka%20o%20medicinskom%20otpadu%20u%202018_FINAL%20-%20WEB%201.pdf" TargetMode="External"/><Relationship Id="rId28" Type="http://schemas.openxmlformats.org/officeDocument/2006/relationships/hyperlink" Target="https://registar.kulturnadobra.hr/" TargetMode="External"/><Relationship Id="rId36" Type="http://schemas.openxmlformats.org/officeDocument/2006/relationships/hyperlink" Target="http://croatia.eu/index.php?view=article&amp;lang=2&amp;id=14" TargetMode="External"/><Relationship Id="rId49" Type="http://schemas.openxmlformats.org/officeDocument/2006/relationships/hyperlink" Target="https://www.dzs.hr/Hrv_Eng/publication/2020/10-01-05_01_2020.htm" TargetMode="External"/><Relationship Id="rId57" Type="http://schemas.openxmlformats.org/officeDocument/2006/relationships/hyperlink" Target="http://www.kzz.hr/sadrzaj/novosti/proglasenju-prirodne-nepogode-ds-gs/Odluka.pdf" TargetMode="External"/><Relationship Id="rId61" Type="http://schemas.openxmlformats.org/officeDocument/2006/relationships/hyperlink" Target="https://narodne-novine.nn.hr/clanci/sluzbeni/2017_08_87_2073.html" TargetMode="External"/><Relationship Id="rId10" Type="http://schemas.openxmlformats.org/officeDocument/2006/relationships/hyperlink" Target="http://www.haop.hr/sites/default/files/uploads/dokumenti/011_zrak/Izvjesca/Emisije%20one%C4%8Di%C5%A1%C4%87uju%C4%87ih%20tvari%20u%20zrak%20na%20podru%C4%8Dju%20Republike%20Hrvatske%20za%202018.%20godinu.pdf" TargetMode="External"/><Relationship Id="rId19" Type="http://schemas.openxmlformats.org/officeDocument/2006/relationships/hyperlink" Target="https://www.eea.europa.eu/themes/water/europes-seas-and-coasts/assessments/state-of-bathing-water/european-bathing-water-quality-in-2019" TargetMode="External"/><Relationship Id="rId31" Type="http://schemas.openxmlformats.org/officeDocument/2006/relationships/hyperlink" Target="http://croatia.eu/index.php?view=article&amp;lang=2&amp;id=6" TargetMode="External"/><Relationship Id="rId44" Type="http://schemas.openxmlformats.org/officeDocument/2006/relationships/hyperlink" Target="https://www.worldbank.org/en/country/croatia/overview" TargetMode="External"/><Relationship Id="rId52" Type="http://schemas.openxmlformats.org/officeDocument/2006/relationships/hyperlink" Target="https://www.who.int/health-laws/countries/hrv-en.pdf?ua=1" TargetMode="External"/><Relationship Id="rId60" Type="http://schemas.openxmlformats.org/officeDocument/2006/relationships/hyperlink" Target="https://koronavirus.hr/en" TargetMode="External"/><Relationship Id="rId65" Type="http://schemas.openxmlformats.org/officeDocument/2006/relationships/hyperlink" Target="https://mrms.gov.hr/UserDocsImages/dokumenti/Uprava%20za%20rad/UPUTA%20ZA%20POSLODAVCE%20I%20RADNIKE_COVID%2019_letak-travanj_2020.pdf" TargetMode="External"/><Relationship Id="rId4" Type="http://schemas.openxmlformats.org/officeDocument/2006/relationships/hyperlink" Target="https://civilna-zastita.gov.hr/odluke-stozera-civilne-zastite-rh-za-sprecavanje-sirenja-zaraze-koronavirusom/2304" TargetMode="External"/><Relationship Id="rId9" Type="http://schemas.openxmlformats.org/officeDocument/2006/relationships/hyperlink" Target="http://www.haop.hr/sites/default/files/uploads/dokumenti/011_zrak/Izvjesca/Emisije%20one%C4%8Di%C5%A1%C4%87uju%C4%87ih%20tvari%20u%20zrak%20na%20podru%C4%8Dju%20Republike%20Hrvatske%20za%202018.%20godinu.pdf" TargetMode="External"/><Relationship Id="rId14" Type="http://schemas.openxmlformats.org/officeDocument/2006/relationships/hyperlink" Target="http://www.haop.hr/sites/default/files/uploads/dokumenti/011_zrak/Izvjesca/Godi%C5%A1nje%20izvje%C5%A1%C4%87e%20o%20pra%C4%87enju%20kvalitete%20zraka%20na%20podru%C4%8Dju%20RH%20u%202018.%20godini.pdf" TargetMode="External"/><Relationship Id="rId22" Type="http://schemas.openxmlformats.org/officeDocument/2006/relationships/hyperlink" Target="http://www.haop.hr/sites/default/files/uploads/dokumenti/021_otpad/Izvjesca/ostalo/OTP_2Pregled%20podataka%20o%20medicinskom%20otpadu%20u%202018_FINAL%20-%20WEB%201.pdf" TargetMode="External"/><Relationship Id="rId27" Type="http://schemas.openxmlformats.org/officeDocument/2006/relationships/hyperlink" Target="https://www.insightcruises.com/itinerary_g/ny01_images/Split/Croatian-Cultural-Heritage-2011.pdf" TargetMode="External"/><Relationship Id="rId30" Type="http://schemas.openxmlformats.org/officeDocument/2006/relationships/hyperlink" Target="http://croatia.eu/index.php?view=article&amp;lang=2&amp;id=6" TargetMode="External"/><Relationship Id="rId35" Type="http://schemas.openxmlformats.org/officeDocument/2006/relationships/hyperlink" Target="https://worldpopulationreview.com/countries/croatia-population" TargetMode="External"/><Relationship Id="rId43" Type="http://schemas.openxmlformats.org/officeDocument/2006/relationships/hyperlink" Target="https://www.dzs.hr/Hrv_Eng/publication/2020/12-01-03_01_2020.htm" TargetMode="External"/><Relationship Id="rId48" Type="http://schemas.openxmlformats.org/officeDocument/2006/relationships/hyperlink" Target="https://www.dzs.hr/Hrv/publication/StatisticsInLine.htm" TargetMode="External"/><Relationship Id="rId56" Type="http://schemas.openxmlformats.org/officeDocument/2006/relationships/hyperlink" Target="https://www.zagrebacka-zupanija.hr/media/filer_public/62/9a/629ac179-67fc-4cbd-a252-39cd3c7b890f/sharpzagrebacka-zupanijahr_20200324_150028.pdf" TargetMode="External"/><Relationship Id="rId64" Type="http://schemas.openxmlformats.org/officeDocument/2006/relationships/hyperlink" Target="http://uznr.mrms.hr/uputa-za-provedbu-mjera-sigurnosti-i-zastite-zdravlja-na-radu-prilikom-izvodenja-gradevinskih-radova-na-sanaciji-objekata/" TargetMode="External"/><Relationship Id="rId8" Type="http://schemas.openxmlformats.org/officeDocument/2006/relationships/hyperlink" Target="https://www.ecdc.europa.eu/en/covid-19/country-overviews" TargetMode="External"/><Relationship Id="rId51" Type="http://schemas.openxmlformats.org/officeDocument/2006/relationships/hyperlink" Target="https://ec.europa.eu/health/sites/health/files/state/docs/2019_chp_hr_english.pdf" TargetMode="External"/><Relationship Id="rId3" Type="http://schemas.openxmlformats.org/officeDocument/2006/relationships/hyperlink" Target="https://www.hzjz.hr/sluzba-epidemiologija-zarazne-bolesti/koronavirus-najnovije-preporuke/" TargetMode="External"/><Relationship Id="rId12" Type="http://schemas.openxmlformats.org/officeDocument/2006/relationships/hyperlink" Target="http://www.haop.hr/hr/godisnja-izvjesca-o-pracenju-kvalitete-zraka-na-podrucju-republike-hrvatske/godisnja-izvjesca-o" TargetMode="External"/><Relationship Id="rId17" Type="http://schemas.openxmlformats.org/officeDocument/2006/relationships/hyperlink" Target="https://www.voda.hr/sites/default/files/pdf_clanka/hv_99_2017_17-26_vouk-et-al.pdf" TargetMode="External"/><Relationship Id="rId25" Type="http://schemas.openxmlformats.org/officeDocument/2006/relationships/hyperlink" Target="http://www.bioportal.hr/gis/" TargetMode="External"/><Relationship Id="rId33" Type="http://schemas.openxmlformats.org/officeDocument/2006/relationships/hyperlink" Target="https://razvoj.gov.hr/UserDocsImages/Vijesti%20-%20dokumenti/Izrada%20prijedloga%20nove%20NUTS%20klasifikacije%20u%20RH%20012019.pdf" TargetMode="External"/><Relationship Id="rId38" Type="http://schemas.openxmlformats.org/officeDocument/2006/relationships/hyperlink" Target="https://www.dzs.hr/Hrv_Eng/publication/2019/07-01-01_01_2019.htm" TargetMode="External"/><Relationship Id="rId46" Type="http://schemas.openxmlformats.org/officeDocument/2006/relationships/hyperlink" Target="https://www.worldbank.org/en/country/croatia/overview" TargetMode="External"/><Relationship Id="rId59" Type="http://schemas.openxmlformats.org/officeDocument/2006/relationships/hyperlink" Target="https://www.who.int/emergencies/diseases/novel-coronavirus-2019/advice-for-public"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a:pPr>
            <a:r>
              <a:rPr lang="en-GB" sz="1600" b="0" i="0" u="none" strike="noStrike" baseline="0">
                <a:effectLst/>
              </a:rPr>
              <a:t>GROSS DOMESTIC PRODUCT</a:t>
            </a:r>
            <a:r>
              <a:rPr lang="hr-HR" sz="1600" b="0" i="0" u="none" strike="noStrike" baseline="30000">
                <a:effectLst/>
              </a:rPr>
              <a:t>1) </a:t>
            </a:r>
            <a:endParaRPr lang="en-US" sz="1600" b="0" baseline="30000"/>
          </a:p>
        </c:rich>
      </c:tx>
      <c:layout>
        <c:manualLayout>
          <c:xMode val="edge"/>
          <c:yMode val="edge"/>
          <c:x val="0.2471372491636247"/>
          <c:y val="1.8518518518518517E-2"/>
        </c:manualLayout>
      </c:layout>
      <c:overlay val="0"/>
    </c:title>
    <c:autoTitleDeleted val="0"/>
    <c:plotArea>
      <c:layout>
        <c:manualLayout>
          <c:layoutTarget val="inner"/>
          <c:xMode val="edge"/>
          <c:yMode val="edge"/>
          <c:x val="0.10105072024147832"/>
          <c:y val="0.16674711172428949"/>
          <c:w val="0.8354426499607257"/>
          <c:h val="0.40363740301213435"/>
        </c:manualLayout>
      </c:layout>
      <c:lineChart>
        <c:grouping val="standard"/>
        <c:varyColors val="0"/>
        <c:ser>
          <c:idx val="2"/>
          <c:order val="0"/>
          <c:tx>
            <c:strRef>
              <c:f>'BDP - GDP'!$C$7</c:f>
              <c:strCache>
                <c:ptCount val="1"/>
                <c:pt idx="0">
                  <c:v>Real growth rates, gross indices</c:v>
                </c:pt>
              </c:strCache>
            </c:strRef>
          </c:tx>
          <c:spPr>
            <a:ln>
              <a:solidFill>
                <a:schemeClr val="tx2">
                  <a:lumMod val="60000"/>
                  <a:lumOff val="40000"/>
                </a:schemeClr>
              </a:solidFill>
            </a:ln>
          </c:spPr>
          <c:marker>
            <c:symbol val="none"/>
          </c:marker>
          <c:cat>
            <c:strRef>
              <c:f>'BDP - GDP'!$A$9:$A$85</c:f>
              <c:strCache>
                <c:ptCount val="77"/>
                <c:pt idx="0">
                  <c:v>2001.</c:v>
                </c:pt>
                <c:pt idx="4">
                  <c:v>2002.</c:v>
                </c:pt>
                <c:pt idx="8">
                  <c:v>2003.</c:v>
                </c:pt>
                <c:pt idx="12">
                  <c:v>2004.</c:v>
                </c:pt>
                <c:pt idx="16">
                  <c:v>2005.</c:v>
                </c:pt>
                <c:pt idx="20">
                  <c:v>2006.</c:v>
                </c:pt>
                <c:pt idx="24">
                  <c:v>2007.</c:v>
                </c:pt>
                <c:pt idx="28">
                  <c:v>2008.</c:v>
                </c:pt>
                <c:pt idx="32">
                  <c:v>2009.</c:v>
                </c:pt>
                <c:pt idx="36">
                  <c:v>2010.</c:v>
                </c:pt>
                <c:pt idx="40">
                  <c:v>2011.</c:v>
                </c:pt>
                <c:pt idx="44">
                  <c:v>2012.</c:v>
                </c:pt>
                <c:pt idx="48">
                  <c:v>2013.</c:v>
                </c:pt>
                <c:pt idx="52">
                  <c:v>2014.</c:v>
                </c:pt>
                <c:pt idx="56">
                  <c:v>2015.</c:v>
                </c:pt>
                <c:pt idx="60">
                  <c:v>2016.</c:v>
                </c:pt>
                <c:pt idx="64">
                  <c:v>2017.</c:v>
                </c:pt>
                <c:pt idx="68">
                  <c:v>2018.</c:v>
                </c:pt>
                <c:pt idx="72">
                  <c:v>2019.</c:v>
                </c:pt>
                <c:pt idx="76">
                  <c:v>2020.</c:v>
                </c:pt>
              </c:strCache>
            </c:strRef>
          </c:cat>
          <c:val>
            <c:numRef>
              <c:f>'BDP - GDP'!$C$9:$C$85</c:f>
              <c:numCache>
                <c:formatCode>0.0</c:formatCode>
                <c:ptCount val="77"/>
                <c:pt idx="0">
                  <c:v>3.1835925459392485</c:v>
                </c:pt>
                <c:pt idx="1">
                  <c:v>4.6646066112930242</c:v>
                </c:pt>
                <c:pt idx="2">
                  <c:v>3.1866120072348423</c:v>
                </c:pt>
                <c:pt idx="3">
                  <c:v>2.3662516308528154</c:v>
                </c:pt>
                <c:pt idx="4">
                  <c:v>5.7611197003427606</c:v>
                </c:pt>
                <c:pt idx="5">
                  <c:v>4.9715071116023921</c:v>
                </c:pt>
                <c:pt idx="6">
                  <c:v>6.0401295047224579</c:v>
                </c:pt>
                <c:pt idx="7">
                  <c:v>3.6724267690283057</c:v>
                </c:pt>
                <c:pt idx="8">
                  <c:v>5.975758543729512</c:v>
                </c:pt>
                <c:pt idx="9">
                  <c:v>6.6723426279648947</c:v>
                </c:pt>
                <c:pt idx="10">
                  <c:v>5.0627962071036592</c:v>
                </c:pt>
                <c:pt idx="11">
                  <c:v>4.8994155622266362</c:v>
                </c:pt>
                <c:pt idx="12">
                  <c:v>4.8106978902817872</c:v>
                </c:pt>
                <c:pt idx="13">
                  <c:v>3.5633158386821293</c:v>
                </c:pt>
                <c:pt idx="14">
                  <c:v>3.4414640494622688</c:v>
                </c:pt>
                <c:pt idx="15">
                  <c:v>4.9468876416354277</c:v>
                </c:pt>
                <c:pt idx="16">
                  <c:v>1.3320108326992681</c:v>
                </c:pt>
                <c:pt idx="17">
                  <c:v>5.0810752886051063</c:v>
                </c:pt>
                <c:pt idx="18">
                  <c:v>5.467364744248826</c:v>
                </c:pt>
                <c:pt idx="19">
                  <c:v>5.1321934870718167</c:v>
                </c:pt>
                <c:pt idx="20">
                  <c:v>6.5762501279510275</c:v>
                </c:pt>
                <c:pt idx="21">
                  <c:v>4.1979744499520848</c:v>
                </c:pt>
                <c:pt idx="22">
                  <c:v>4.199377247714466</c:v>
                </c:pt>
                <c:pt idx="23">
                  <c:v>5.2420919651346765</c:v>
                </c:pt>
                <c:pt idx="24">
                  <c:v>6.3900088341466699</c:v>
                </c:pt>
                <c:pt idx="25">
                  <c:v>5.9151569736022083</c:v>
                </c:pt>
                <c:pt idx="26">
                  <c:v>4.7434249558204016</c:v>
                </c:pt>
                <c:pt idx="27">
                  <c:v>4.1200517556200396</c:v>
                </c:pt>
                <c:pt idx="28">
                  <c:v>2.9014868661035678</c:v>
                </c:pt>
                <c:pt idx="29">
                  <c:v>3.0926212642570192</c:v>
                </c:pt>
                <c:pt idx="30">
                  <c:v>1.7035991173792553</c:v>
                </c:pt>
                <c:pt idx="31">
                  <c:v>-0.64648472106200927</c:v>
                </c:pt>
                <c:pt idx="32">
                  <c:v>-8.8169943967401423</c:v>
                </c:pt>
                <c:pt idx="33">
                  <c:v>-8.5892060228062377</c:v>
                </c:pt>
                <c:pt idx="34">
                  <c:v>-7.613715980090987</c:v>
                </c:pt>
                <c:pt idx="35">
                  <c:v>-4.3203717322743529</c:v>
                </c:pt>
                <c:pt idx="36">
                  <c:v>-2.511213415242679</c:v>
                </c:pt>
                <c:pt idx="37">
                  <c:v>-2.939447085478136</c:v>
                </c:pt>
                <c:pt idx="38">
                  <c:v>1.013481423639135</c:v>
                </c:pt>
                <c:pt idx="39">
                  <c:v>-1.7422109868579128</c:v>
                </c:pt>
                <c:pt idx="40">
                  <c:v>-2.346573136289976</c:v>
                </c:pt>
                <c:pt idx="41">
                  <c:v>1.132389929248717</c:v>
                </c:pt>
                <c:pt idx="42">
                  <c:v>2.1107123695230712E-2</c:v>
                </c:pt>
                <c:pt idx="43">
                  <c:v>-0.22934433360873641</c:v>
                </c:pt>
                <c:pt idx="44">
                  <c:v>-1.2048722074554945</c:v>
                </c:pt>
                <c:pt idx="45">
                  <c:v>-2.9945914921394916</c:v>
                </c:pt>
                <c:pt idx="46">
                  <c:v>-1.8047831917015031</c:v>
                </c:pt>
                <c:pt idx="47">
                  <c:v>-2.8823899790260725</c:v>
                </c:pt>
                <c:pt idx="48">
                  <c:v>-1.178175844746832</c:v>
                </c:pt>
                <c:pt idx="49">
                  <c:v>7.5961415204275795E-2</c:v>
                </c:pt>
                <c:pt idx="50">
                  <c:v>-0.75772440304913857</c:v>
                </c:pt>
                <c:pt idx="51">
                  <c:v>-0.36963614954868262</c:v>
                </c:pt>
                <c:pt idx="52">
                  <c:v>-1.0781897487394616</c:v>
                </c:pt>
                <c:pt idx="53">
                  <c:v>-0.37078182194474607</c:v>
                </c:pt>
                <c:pt idx="54">
                  <c:v>0.18597434456131623</c:v>
                </c:pt>
                <c:pt idx="55">
                  <c:v>0.74835852896796951</c:v>
                </c:pt>
                <c:pt idx="56">
                  <c:v>1.4012071331526101</c:v>
                </c:pt>
                <c:pt idx="57">
                  <c:v>1.8522390958708854</c:v>
                </c:pt>
                <c:pt idx="58">
                  <c:v>3.9435859255217309</c:v>
                </c:pt>
                <c:pt idx="59">
                  <c:v>2.3104276376878516</c:v>
                </c:pt>
                <c:pt idx="60">
                  <c:v>3.2795887168851436</c:v>
                </c:pt>
                <c:pt idx="61">
                  <c:v>3.0665060429969628</c:v>
                </c:pt>
                <c:pt idx="62">
                  <c:v>3.5743238155673964</c:v>
                </c:pt>
                <c:pt idx="63">
                  <c:v>3.9873547192121634</c:v>
                </c:pt>
                <c:pt idx="64">
                  <c:v>3.0209334143764153</c:v>
                </c:pt>
                <c:pt idx="65">
                  <c:v>3.3901414600493212</c:v>
                </c:pt>
                <c:pt idx="66">
                  <c:v>3.5717153805701685</c:v>
                </c:pt>
                <c:pt idx="67">
                  <c:v>2.510353382824519</c:v>
                </c:pt>
                <c:pt idx="68">
                  <c:v>2.2466302999344379</c:v>
                </c:pt>
                <c:pt idx="69">
                  <c:v>3.1954440371532797</c:v>
                </c:pt>
                <c:pt idx="70">
                  <c:v>3.0187317397612787</c:v>
                </c:pt>
                <c:pt idx="71">
                  <c:v>2.2246762643535192</c:v>
                </c:pt>
                <c:pt idx="72">
                  <c:v>4.0705329672531292</c:v>
                </c:pt>
                <c:pt idx="73">
                  <c:v>2.4152267073920939</c:v>
                </c:pt>
                <c:pt idx="74">
                  <c:v>2.9208867078742315</c:v>
                </c:pt>
                <c:pt idx="75">
                  <c:v>2.5</c:v>
                </c:pt>
                <c:pt idx="76">
                  <c:v>0.41</c:v>
                </c:pt>
              </c:numCache>
            </c:numRef>
          </c:val>
          <c:smooth val="0"/>
          <c:extLst>
            <c:ext xmlns:c16="http://schemas.microsoft.com/office/drawing/2014/chart" uri="{C3380CC4-5D6E-409C-BE32-E72D297353CC}">
              <c16:uniqueId val="{00000000-FEA5-4E60-A9BB-F021037FAA8C}"/>
            </c:ext>
          </c:extLst>
        </c:ser>
        <c:ser>
          <c:idx val="0"/>
          <c:order val="1"/>
          <c:tx>
            <c:strRef>
              <c:f>'BDP - GDP'!$D$7</c:f>
              <c:strCache>
                <c:ptCount val="1"/>
                <c:pt idx="0">
                  <c:v>Real growth rates – working-day and seasonally adjusted indices</c:v>
                </c:pt>
              </c:strCache>
            </c:strRef>
          </c:tx>
          <c:spPr>
            <a:ln cmpd="sng">
              <a:solidFill>
                <a:srgbClr val="845359"/>
              </a:solidFill>
            </a:ln>
          </c:spPr>
          <c:marker>
            <c:symbol val="none"/>
          </c:marker>
          <c:cat>
            <c:strRef>
              <c:f>'BDP - GDP'!$A$9:$A$85</c:f>
              <c:strCache>
                <c:ptCount val="77"/>
                <c:pt idx="0">
                  <c:v>2001.</c:v>
                </c:pt>
                <c:pt idx="4">
                  <c:v>2002.</c:v>
                </c:pt>
                <c:pt idx="8">
                  <c:v>2003.</c:v>
                </c:pt>
                <c:pt idx="12">
                  <c:v>2004.</c:v>
                </c:pt>
                <c:pt idx="16">
                  <c:v>2005.</c:v>
                </c:pt>
                <c:pt idx="20">
                  <c:v>2006.</c:v>
                </c:pt>
                <c:pt idx="24">
                  <c:v>2007.</c:v>
                </c:pt>
                <c:pt idx="28">
                  <c:v>2008.</c:v>
                </c:pt>
                <c:pt idx="32">
                  <c:v>2009.</c:v>
                </c:pt>
                <c:pt idx="36">
                  <c:v>2010.</c:v>
                </c:pt>
                <c:pt idx="40">
                  <c:v>2011.</c:v>
                </c:pt>
                <c:pt idx="44">
                  <c:v>2012.</c:v>
                </c:pt>
                <c:pt idx="48">
                  <c:v>2013.</c:v>
                </c:pt>
                <c:pt idx="52">
                  <c:v>2014.</c:v>
                </c:pt>
                <c:pt idx="56">
                  <c:v>2015.</c:v>
                </c:pt>
                <c:pt idx="60">
                  <c:v>2016.</c:v>
                </c:pt>
                <c:pt idx="64">
                  <c:v>2017.</c:v>
                </c:pt>
                <c:pt idx="68">
                  <c:v>2018.</c:v>
                </c:pt>
                <c:pt idx="72">
                  <c:v>2019.</c:v>
                </c:pt>
                <c:pt idx="76">
                  <c:v>2020.</c:v>
                </c:pt>
              </c:strCache>
            </c:strRef>
          </c:cat>
          <c:val>
            <c:numRef>
              <c:f>'BDP - GDP'!$D$9:$D$85</c:f>
              <c:numCache>
                <c:formatCode>0.0</c:formatCode>
                <c:ptCount val="77"/>
                <c:pt idx="0">
                  <c:v>2.5469475793146623</c:v>
                </c:pt>
                <c:pt idx="1">
                  <c:v>4.5484466524264633</c:v>
                </c:pt>
                <c:pt idx="2">
                  <c:v>3.0673067308218727</c:v>
                </c:pt>
                <c:pt idx="3">
                  <c:v>3.2169568570134865</c:v>
                </c:pt>
                <c:pt idx="4">
                  <c:v>5.1340358388708651</c:v>
                </c:pt>
                <c:pt idx="5">
                  <c:v>4.8663951529096749</c:v>
                </c:pt>
                <c:pt idx="6">
                  <c:v>5.9482732898035406</c:v>
                </c:pt>
                <c:pt idx="7">
                  <c:v>4.2697319040374992</c:v>
                </c:pt>
                <c:pt idx="8">
                  <c:v>5.7156318725977817</c:v>
                </c:pt>
                <c:pt idx="9">
                  <c:v>6.3716894336320218</c:v>
                </c:pt>
                <c:pt idx="10">
                  <c:v>5.1552093868920013</c:v>
                </c:pt>
                <c:pt idx="11">
                  <c:v>5.1901525817323879</c:v>
                </c:pt>
                <c:pt idx="12">
                  <c:v>4.7044631787763524</c:v>
                </c:pt>
                <c:pt idx="13">
                  <c:v>3.3824701963344417</c:v>
                </c:pt>
                <c:pt idx="14">
                  <c:v>3.5420050634305644</c:v>
                </c:pt>
                <c:pt idx="15">
                  <c:v>4.9494433948271022</c:v>
                </c:pt>
                <c:pt idx="16">
                  <c:v>1.4444203290362889</c:v>
                </c:pt>
                <c:pt idx="17">
                  <c:v>4.8990498574257524</c:v>
                </c:pt>
                <c:pt idx="18">
                  <c:v>5.5792874340128584</c:v>
                </c:pt>
                <c:pt idx="19">
                  <c:v>5.0603827691458658</c:v>
                </c:pt>
                <c:pt idx="20">
                  <c:v>6.6141461537977841</c:v>
                </c:pt>
                <c:pt idx="21">
                  <c:v>4.2172743035699067</c:v>
                </c:pt>
                <c:pt idx="22">
                  <c:v>4.2722072199262939</c:v>
                </c:pt>
                <c:pt idx="23">
                  <c:v>4.9613940064711759</c:v>
                </c:pt>
                <c:pt idx="24">
                  <c:v>6.6040739336415744</c:v>
                </c:pt>
                <c:pt idx="25">
                  <c:v>5.9975140099950641</c:v>
                </c:pt>
                <c:pt idx="26">
                  <c:v>4.7978185918702954</c:v>
                </c:pt>
                <c:pt idx="27">
                  <c:v>3.5399082280776151</c:v>
                </c:pt>
                <c:pt idx="28">
                  <c:v>3.399515675784226</c:v>
                </c:pt>
                <c:pt idx="29">
                  <c:v>3.3572251476920112</c:v>
                </c:pt>
                <c:pt idx="30">
                  <c:v>1.4870778790968764</c:v>
                </c:pt>
                <c:pt idx="31">
                  <c:v>-1.3927988599457874</c:v>
                </c:pt>
                <c:pt idx="32">
                  <c:v>-7.9500698695831318</c:v>
                </c:pt>
                <c:pt idx="33">
                  <c:v>-8.3815377511607387</c:v>
                </c:pt>
                <c:pt idx="34">
                  <c:v>-8.0945152544392496</c:v>
                </c:pt>
                <c:pt idx="35">
                  <c:v>-4.8799724422530888</c:v>
                </c:pt>
                <c:pt idx="36">
                  <c:v>-1.4925048942077357</c:v>
                </c:pt>
                <c:pt idx="37">
                  <c:v>-2.6529321762780778</c:v>
                </c:pt>
                <c:pt idx="38">
                  <c:v>0.12467525436994364</c:v>
                </c:pt>
                <c:pt idx="39">
                  <c:v>-1.8680046378948489</c:v>
                </c:pt>
                <c:pt idx="40">
                  <c:v>-1.4454345179716777</c:v>
                </c:pt>
                <c:pt idx="41">
                  <c:v>1.1718798406973541</c:v>
                </c:pt>
                <c:pt idx="42">
                  <c:v>-0.70791931951723619</c:v>
                </c:pt>
                <c:pt idx="43">
                  <c:v>-7.6928436342960094E-2</c:v>
                </c:pt>
                <c:pt idx="44">
                  <c:v>-0.6596854733376345</c:v>
                </c:pt>
                <c:pt idx="45">
                  <c:v>-2.9958960253493649</c:v>
                </c:pt>
                <c:pt idx="46">
                  <c:v>-2.3540930268394544</c:v>
                </c:pt>
                <c:pt idx="47">
                  <c:v>-2.6278588268814462</c:v>
                </c:pt>
                <c:pt idx="48">
                  <c:v>-0.84199205233708163</c:v>
                </c:pt>
                <c:pt idx="49">
                  <c:v>-5.6734658219237399E-2</c:v>
                </c:pt>
                <c:pt idx="50">
                  <c:v>-1.0140005214055114</c:v>
                </c:pt>
                <c:pt idx="51">
                  <c:v>-0.23621294377024205</c:v>
                </c:pt>
                <c:pt idx="52">
                  <c:v>-0.87669984250544619</c:v>
                </c:pt>
                <c:pt idx="53">
                  <c:v>-0.349488586280855</c:v>
                </c:pt>
                <c:pt idx="54">
                  <c:v>-0.11628750786553121</c:v>
                </c:pt>
                <c:pt idx="55">
                  <c:v>0.87216052291620993</c:v>
                </c:pt>
                <c:pt idx="56">
                  <c:v>1.583092084779536</c:v>
                </c:pt>
                <c:pt idx="57">
                  <c:v>1.946627641817944</c:v>
                </c:pt>
                <c:pt idx="58">
                  <c:v>3.5620027484525085</c:v>
                </c:pt>
                <c:pt idx="59">
                  <c:v>2.4812105911818927</c:v>
                </c:pt>
                <c:pt idx="60">
                  <c:v>3.4171172014253237</c:v>
                </c:pt>
                <c:pt idx="61">
                  <c:v>3.2197181655698959</c:v>
                </c:pt>
                <c:pt idx="62">
                  <c:v>3.1257207639532991</c:v>
                </c:pt>
                <c:pt idx="63">
                  <c:v>4.2693593349174108</c:v>
                </c:pt>
                <c:pt idx="64">
                  <c:v>3.0888660901552623</c:v>
                </c:pt>
                <c:pt idx="65">
                  <c:v>3.4922585835987174</c:v>
                </c:pt>
                <c:pt idx="66">
                  <c:v>3.1692421131338966</c:v>
                </c:pt>
                <c:pt idx="67">
                  <c:v>2.8726436165482427</c:v>
                </c:pt>
                <c:pt idx="68">
                  <c:v>2.2046248250344735</c:v>
                </c:pt>
                <c:pt idx="69">
                  <c:v>3.2446295017974913</c:v>
                </c:pt>
                <c:pt idx="70">
                  <c:v>2.7361977349696254</c:v>
                </c:pt>
                <c:pt idx="71">
                  <c:v>2.5682338977462971</c:v>
                </c:pt>
                <c:pt idx="72">
                  <c:v>3.9552183503115179</c:v>
                </c:pt>
                <c:pt idx="73">
                  <c:v>2.4393816553872627</c:v>
                </c:pt>
                <c:pt idx="74">
                  <c:v>2.7626013780491343</c:v>
                </c:pt>
                <c:pt idx="75">
                  <c:v>2.7064835914413665</c:v>
                </c:pt>
                <c:pt idx="76">
                  <c:v>0.29794117817587562</c:v>
                </c:pt>
              </c:numCache>
            </c:numRef>
          </c:val>
          <c:smooth val="0"/>
          <c:extLst>
            <c:ext xmlns:c16="http://schemas.microsoft.com/office/drawing/2014/chart" uri="{C3380CC4-5D6E-409C-BE32-E72D297353CC}">
              <c16:uniqueId val="{00000001-FEA5-4E60-A9BB-F021037FAA8C}"/>
            </c:ext>
          </c:extLst>
        </c:ser>
        <c:dLbls>
          <c:showLegendKey val="0"/>
          <c:showVal val="0"/>
          <c:showCatName val="0"/>
          <c:showSerName val="0"/>
          <c:showPercent val="0"/>
          <c:showBubbleSize val="0"/>
        </c:dLbls>
        <c:smooth val="0"/>
        <c:axId val="457880088"/>
        <c:axId val="457880480"/>
      </c:lineChart>
      <c:catAx>
        <c:axId val="457880088"/>
        <c:scaling>
          <c:orientation val="minMax"/>
        </c:scaling>
        <c:delete val="0"/>
        <c:axPos val="b"/>
        <c:numFmt formatCode="General" sourceLinked="1"/>
        <c:majorTickMark val="out"/>
        <c:minorTickMark val="none"/>
        <c:tickLblPos val="low"/>
        <c:txPr>
          <a:bodyPr rot="-5400000" vert="horz"/>
          <a:lstStyle/>
          <a:p>
            <a:pPr>
              <a:defRPr sz="1000"/>
            </a:pPr>
            <a:endParaRPr lang="sr-Latn-RS"/>
          </a:p>
        </c:txPr>
        <c:crossAx val="457880480"/>
        <c:crosses val="autoZero"/>
        <c:auto val="1"/>
        <c:lblAlgn val="ctr"/>
        <c:lblOffset val="100"/>
        <c:noMultiLvlLbl val="0"/>
      </c:catAx>
      <c:valAx>
        <c:axId val="457880480"/>
        <c:scaling>
          <c:orientation val="minMax"/>
        </c:scaling>
        <c:delete val="0"/>
        <c:axPos val="l"/>
        <c:majorGridlines>
          <c:spPr>
            <a:ln cmpd="sng"/>
          </c:spPr>
        </c:majorGridlines>
        <c:numFmt formatCode="0.0" sourceLinked="1"/>
        <c:majorTickMark val="out"/>
        <c:minorTickMark val="none"/>
        <c:tickLblPos val="nextTo"/>
        <c:crossAx val="457880088"/>
        <c:crosses val="autoZero"/>
        <c:crossBetween val="between"/>
      </c:valAx>
    </c:plotArea>
    <c:legend>
      <c:legendPos val="b"/>
      <c:legendEntry>
        <c:idx val="0"/>
        <c:txPr>
          <a:bodyPr/>
          <a:lstStyle/>
          <a:p>
            <a:pPr>
              <a:defRPr sz="1000" baseline="0">
                <a:latin typeface="Calibri" panose="020F0502020204030204" pitchFamily="34" charset="0"/>
                <a:cs typeface="Calibri" panose="020F0502020204030204" pitchFamily="34" charset="0"/>
              </a:defRPr>
            </a:pPr>
            <a:endParaRPr lang="sr-Latn-RS"/>
          </a:p>
        </c:txPr>
      </c:legendEntry>
      <c:legendEntry>
        <c:idx val="1"/>
        <c:txPr>
          <a:bodyPr/>
          <a:lstStyle/>
          <a:p>
            <a:pPr>
              <a:defRPr sz="1000" baseline="0">
                <a:latin typeface="Calibri" panose="020F0502020204030204" pitchFamily="34" charset="0"/>
                <a:cs typeface="Calibri" panose="020F0502020204030204" pitchFamily="34" charset="0"/>
              </a:defRPr>
            </a:pPr>
            <a:endParaRPr lang="sr-Latn-RS"/>
          </a:p>
        </c:txPr>
      </c:legendEntry>
      <c:layout>
        <c:manualLayout>
          <c:xMode val="edge"/>
          <c:yMode val="edge"/>
          <c:x val="5.9972268860560257E-2"/>
          <c:y val="0.74561369917318099"/>
          <c:w val="0.88282157676348549"/>
          <c:h val="0.1172165773082936"/>
        </c:manualLayout>
      </c:layout>
      <c:overlay val="1"/>
      <c:txPr>
        <a:bodyPr/>
        <a:lstStyle/>
        <a:p>
          <a:pPr>
            <a:defRPr sz="1000">
              <a:latin typeface="Calibri" panose="020F0502020204030204" pitchFamily="34" charset="0"/>
              <a:cs typeface="Calibri" panose="020F0502020204030204" pitchFamily="34" charset="0"/>
            </a:defRPr>
          </a:pPr>
          <a:endParaRPr lang="sr-Latn-RS"/>
        </a:p>
      </c:tx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0.00997</cdr:x>
      <cdr:y>0.01556</cdr:y>
    </cdr:from>
    <cdr:to>
      <cdr:x>0.04963</cdr:x>
      <cdr:y>0.07825</cdr:y>
    </cdr:to>
    <cdr:sp macro="" textlink="">
      <cdr:nvSpPr>
        <cdr:cNvPr id="2" name="TextBox 21"/>
        <cdr:cNvSpPr txBox="1"/>
      </cdr:nvSpPr>
      <cdr:spPr>
        <a:xfrm xmlns:a="http://schemas.openxmlformats.org/drawingml/2006/main">
          <a:off x="50800" y="50800"/>
          <a:ext cx="202064" cy="204621"/>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hr-HR" sz="1100"/>
        </a:p>
      </cdr:txBody>
    </cdr:sp>
  </cdr:relSizeAnchor>
  <cdr:relSizeAnchor xmlns:cdr="http://schemas.openxmlformats.org/drawingml/2006/chartDrawing">
    <cdr:from>
      <cdr:x>0.13076</cdr:x>
      <cdr:y>0.89106</cdr:y>
    </cdr:from>
    <cdr:to>
      <cdr:x>0.9043</cdr:x>
      <cdr:y>0.96258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1020" y="2430780"/>
          <a:ext cx="3200677" cy="19508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2020-09-01T00:00:00</PublishDate>
  <Abstract/>
  <CompanyAddress>December 2020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F5B432-E372-4E5F-80CD-7C2FC126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180</Pages>
  <Words>69007</Words>
  <Characters>393341</Characters>
  <Application>Microsoft Office Word</Application>
  <DocSecurity>0</DocSecurity>
  <Lines>3277</Lines>
  <Paragraphs>922</Paragraphs>
  <ScaleCrop>false</ScaleCrop>
  <HeadingPairs>
    <vt:vector size="2" baseType="variant">
      <vt:variant>
        <vt:lpstr>Title</vt:lpstr>
      </vt:variant>
      <vt:variant>
        <vt:i4>1</vt:i4>
      </vt:variant>
    </vt:vector>
  </HeadingPairs>
  <TitlesOfParts>
    <vt:vector size="1" baseType="lpstr">
      <vt:lpstr>Croatia Earthquake Recovery and Public Health Preparedness Project (P173998)</vt:lpstr>
    </vt:vector>
  </TitlesOfParts>
  <Company/>
  <LinksUpToDate>false</LinksUpToDate>
  <CharactersWithSpaces>461426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Croatia Earthquake Recovery and Public Health Preparedness Project (P173998)</dc:title>
  <dc:subject>ENVIRONMENTAL AND SOCIAL MANAGEMENT FRAMEWORK FOR COMPONENT (2) – PUBLIC HEALTH SURVEILLANCE AND PREPAREDNESS</dc:subject>
  <dc:creator>Golubovac, Natalija</dc:creator>
  <cp:keywords/>
  <dc:description/>
  <cp:lastModifiedBy>Golubovac, Natalija</cp:lastModifiedBy>
  <cp:revision>13</cp:revision>
  <dcterms:created xsi:type="dcterms:W3CDTF">2020-12-29T21:03:00Z</dcterms:created>
  <dcterms:modified xsi:type="dcterms:W3CDTF">2020-12-29T22:25:00Z</dcterms:modified>
</cp:coreProperties>
</file>